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proofErr w:type="gramStart"/>
      <w:r w:rsidRPr="00F87655">
        <w:rPr>
          <w:b/>
          <w:sz w:val="36"/>
          <w:szCs w:val="36"/>
        </w:rPr>
        <w:t>交银施罗</w:t>
      </w:r>
      <w:proofErr w:type="gramEnd"/>
      <w:r w:rsidRPr="00F87655">
        <w:rPr>
          <w:b/>
          <w:sz w:val="36"/>
          <w:szCs w:val="36"/>
        </w:rPr>
        <w:t>德双轮动债券型证券投资基金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2018</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2018</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rsidSect="00FB2916">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96E0F">
        <w:rPr>
          <w:rFonts w:hint="eastAsia"/>
          <w:b/>
          <w:color w:val="000000"/>
          <w:sz w:val="24"/>
        </w:rPr>
        <w:t>报告送出日期：</w:t>
      </w:r>
      <w:r w:rsidRPr="00996E0F">
        <w:rPr>
          <w:b/>
          <w:color w:val="000000"/>
          <w:sz w:val="24"/>
        </w:rPr>
        <w:t>二〇一九年三月二十七日</w:t>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2019</w:t>
      </w:r>
      <w:r w:rsidRPr="00C97222">
        <w:rPr>
          <w:color w:val="000000"/>
          <w:sz w:val="24"/>
        </w:rPr>
        <w:t>年</w:t>
      </w:r>
      <w:r w:rsidRPr="00C97222">
        <w:rPr>
          <w:color w:val="000000"/>
          <w:sz w:val="24"/>
        </w:rPr>
        <w:t>3</w:t>
      </w:r>
      <w:r w:rsidRPr="00C97222">
        <w:rPr>
          <w:color w:val="000000"/>
          <w:sz w:val="24"/>
        </w:rPr>
        <w:t>月</w:t>
      </w:r>
      <w:r w:rsidRPr="00C97222">
        <w:rPr>
          <w:color w:val="000000"/>
          <w:sz w:val="24"/>
        </w:rPr>
        <w:t>26</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proofErr w:type="gramStart"/>
      <w:r w:rsidR="00200AF2" w:rsidRPr="00C97222">
        <w:rPr>
          <w:rFonts w:hint="eastAsia"/>
          <w:color w:val="000000"/>
          <w:sz w:val="24"/>
        </w:rPr>
        <w:t>作</w:t>
      </w:r>
      <w:r w:rsidRPr="00C97222">
        <w:rPr>
          <w:rFonts w:hint="eastAsia"/>
          <w:color w:val="000000"/>
          <w:sz w:val="24"/>
        </w:rPr>
        <w:t>出</w:t>
      </w:r>
      <w:proofErr w:type="gramEnd"/>
      <w:r w:rsidRPr="00C97222">
        <w:rPr>
          <w:rFonts w:hint="eastAsia"/>
          <w:color w:val="000000"/>
          <w:sz w:val="24"/>
        </w:rPr>
        <w:t>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2018</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交银双轮动债券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519723</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2013</w:t>
            </w:r>
            <w:r w:rsidRPr="00E25C2A">
              <w:rPr>
                <w:sz w:val="24"/>
              </w:rPr>
              <w:t>年</w:t>
            </w:r>
            <w:r w:rsidRPr="00E25C2A">
              <w:rPr>
                <w:sz w:val="24"/>
              </w:rPr>
              <w:t>4</w:t>
            </w:r>
            <w:r w:rsidRPr="00E25C2A">
              <w:rPr>
                <w:sz w:val="24"/>
              </w:rPr>
              <w:t>月</w:t>
            </w:r>
            <w:r w:rsidRPr="00E25C2A">
              <w:rPr>
                <w:sz w:val="24"/>
              </w:rPr>
              <w:t>18</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1,321,247,206.94</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交银双轮动债券</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交银双轮动债券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519723</w:t>
            </w:r>
            <w:r w:rsidRPr="009C503F">
              <w:rPr>
                <w:color w:val="000000" w:themeColor="text1"/>
                <w:sz w:val="24"/>
              </w:rPr>
              <w:t>（前端）、</w:t>
            </w:r>
            <w:r w:rsidRPr="009C503F">
              <w:rPr>
                <w:color w:val="000000" w:themeColor="text1"/>
                <w:sz w:val="24"/>
              </w:rPr>
              <w:t>519724</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519725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1,132,246,754.01</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189,000,452.93</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A</w:t>
      </w:r>
      <w:r w:rsidRPr="00E25C2A">
        <w:rPr>
          <w:kern w:val="0"/>
          <w:sz w:val="24"/>
        </w:rPr>
        <w:t>类基金份额采用前端收费模式，</w:t>
      </w:r>
      <w:r w:rsidRPr="00E25C2A">
        <w:rPr>
          <w:kern w:val="0"/>
          <w:sz w:val="24"/>
        </w:rPr>
        <w:t>B</w:t>
      </w:r>
      <w:r w:rsidRPr="00E25C2A">
        <w:rPr>
          <w:kern w:val="0"/>
          <w:sz w:val="24"/>
        </w:rPr>
        <w:t>类基金份额采用后端收费模式，前端交易代码即为</w:t>
      </w:r>
      <w:r w:rsidRPr="00E25C2A">
        <w:rPr>
          <w:kern w:val="0"/>
          <w:sz w:val="24"/>
        </w:rPr>
        <w:t>A</w:t>
      </w:r>
      <w:r w:rsidRPr="00E25C2A">
        <w:rPr>
          <w:kern w:val="0"/>
          <w:sz w:val="24"/>
        </w:rPr>
        <w:t>类基金份额交易代码，后端交易代码即为</w:t>
      </w:r>
      <w:r w:rsidRPr="00E25C2A">
        <w:rPr>
          <w:kern w:val="0"/>
          <w:sz w:val="24"/>
        </w:rPr>
        <w:t>B</w:t>
      </w:r>
      <w:r w:rsidRPr="00E25C2A">
        <w:rPr>
          <w:kern w:val="0"/>
          <w:sz w:val="24"/>
        </w:rPr>
        <w:t>类基金份额交易代码。</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本基金在严格控制投资风险的基础上，通过积极主动的投资管理，把握债券市场轮</w:t>
            </w:r>
            <w:proofErr w:type="gramStart"/>
            <w:r w:rsidRPr="00CF0C3D">
              <w:rPr>
                <w:sz w:val="24"/>
              </w:rPr>
              <w:t>动带来</w:t>
            </w:r>
            <w:proofErr w:type="gramEnd"/>
            <w:r w:rsidRPr="00CF0C3D">
              <w:rPr>
                <w:sz w:val="24"/>
              </w:rPr>
              <w:t>的机会，力争实现基金资产长期稳健的增值。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w:t>
            </w:r>
            <w:proofErr w:type="gramStart"/>
            <w:r w:rsidRPr="00CF0C3D">
              <w:rPr>
                <w:sz w:val="24"/>
              </w:rPr>
              <w:t>信用债发债主</w:t>
            </w:r>
            <w:proofErr w:type="gramEnd"/>
            <w:r w:rsidRPr="00CF0C3D">
              <w:rPr>
                <w:sz w:val="24"/>
              </w:rPr>
              <w:t>体所处行业的景气轮动判断，并结合内部信用评级系统，综合考察信用债券的信用评级，在严谨深入的分析基础上，综合</w:t>
            </w:r>
            <w:proofErr w:type="gramStart"/>
            <w:r w:rsidRPr="00CF0C3D">
              <w:rPr>
                <w:sz w:val="24"/>
              </w:rPr>
              <w:t>考量</w:t>
            </w:r>
            <w:proofErr w:type="gramEnd"/>
            <w:r w:rsidRPr="00CF0C3D">
              <w:rPr>
                <w:sz w:val="24"/>
              </w:rPr>
              <w:t>各类债券的流动性、供求关系和收益率水平等，自下而上地精选个</w:t>
            </w:r>
            <w:proofErr w:type="gramStart"/>
            <w:r w:rsidRPr="00CF0C3D">
              <w:rPr>
                <w:sz w:val="24"/>
              </w:rPr>
              <w:t>券</w:t>
            </w:r>
            <w:proofErr w:type="gramEnd"/>
            <w:r w:rsidRPr="00CF0C3D">
              <w:rPr>
                <w:sz w:val="24"/>
              </w:rPr>
              <w:t>。</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w:t>
            </w:r>
            <w:proofErr w:type="gramStart"/>
            <w:r w:rsidRPr="00CF0C3D">
              <w:rPr>
                <w:sz w:val="24"/>
              </w:rPr>
              <w:t>债综合全价指数</w:t>
            </w:r>
            <w:proofErr w:type="gramEnd"/>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本基金是一只债券型基金，属于证券投资基金中中等风</w:t>
            </w:r>
            <w:r w:rsidRPr="00CF0C3D">
              <w:rPr>
                <w:sz w:val="24"/>
              </w:rPr>
              <w:lastRenderedPageBreak/>
              <w:t>险的品种，其长期平均的预期收益和预期风险高于货币市场基金，低于混合型基金和股票型基金。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proofErr w:type="gramStart"/>
            <w:r w:rsidRPr="00EF4075">
              <w:rPr>
                <w:color w:val="000000"/>
                <w:kern w:val="0"/>
                <w:sz w:val="24"/>
              </w:rPr>
              <w:t>李修滨</w:t>
            </w:r>
            <w:proofErr w:type="gramEnd"/>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lixiubin@citicbank.com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A/B</w:t>
            </w:r>
          </w:p>
        </w:tc>
        <w:tc>
          <w:tcPr>
            <w:tcW w:w="666" w:type="pct"/>
            <w:vAlign w:val="center"/>
          </w:tcPr>
          <w:p w:rsidR="00B44DBC" w:rsidRPr="00A942AC" w:rsidRDefault="00B44DBC" w:rsidP="009E2529">
            <w:pPr>
              <w:spacing w:before="29" w:line="288" w:lineRule="auto"/>
              <w:rPr>
                <w:szCs w:val="21"/>
              </w:rPr>
            </w:pPr>
            <w:r w:rsidRPr="00A942AC">
              <w:rPr>
                <w:szCs w:val="21"/>
              </w:rPr>
              <w:t>交银双轮动债券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81,924,809.81</w:t>
            </w:r>
          </w:p>
        </w:tc>
        <w:tc>
          <w:tcPr>
            <w:tcW w:w="688" w:type="pct"/>
            <w:vAlign w:val="center"/>
          </w:tcPr>
          <w:p w:rsidR="00B44DBC" w:rsidRPr="00A942AC" w:rsidRDefault="00B44DBC" w:rsidP="00674CBD">
            <w:pPr>
              <w:spacing w:before="29" w:line="288" w:lineRule="auto"/>
              <w:jc w:val="right"/>
              <w:rPr>
                <w:szCs w:val="21"/>
              </w:rPr>
            </w:pPr>
            <w:r w:rsidRPr="00A942AC">
              <w:rPr>
                <w:szCs w:val="21"/>
              </w:rPr>
              <w:t>2,082,800.94</w:t>
            </w:r>
          </w:p>
        </w:tc>
        <w:tc>
          <w:tcPr>
            <w:tcW w:w="687" w:type="pct"/>
            <w:vAlign w:val="center"/>
          </w:tcPr>
          <w:p w:rsidR="00B44DBC" w:rsidRPr="00A942AC" w:rsidRDefault="00B44DBC" w:rsidP="00674CBD">
            <w:pPr>
              <w:spacing w:before="29" w:line="288" w:lineRule="auto"/>
              <w:jc w:val="right"/>
              <w:rPr>
                <w:szCs w:val="21"/>
              </w:rPr>
            </w:pPr>
            <w:r w:rsidRPr="00A942AC">
              <w:rPr>
                <w:szCs w:val="21"/>
              </w:rPr>
              <w:t>11,755,214.06</w:t>
            </w:r>
          </w:p>
        </w:tc>
        <w:tc>
          <w:tcPr>
            <w:tcW w:w="688" w:type="pct"/>
            <w:vAlign w:val="center"/>
          </w:tcPr>
          <w:p w:rsidR="00B44DBC" w:rsidRPr="00A942AC" w:rsidRDefault="00B44DBC" w:rsidP="00674CBD">
            <w:pPr>
              <w:spacing w:before="29" w:line="288" w:lineRule="auto"/>
              <w:jc w:val="right"/>
              <w:rPr>
                <w:szCs w:val="21"/>
              </w:rPr>
            </w:pPr>
            <w:r w:rsidRPr="00A942AC">
              <w:rPr>
                <w:szCs w:val="21"/>
              </w:rPr>
              <w:t>46,806.35</w:t>
            </w:r>
          </w:p>
        </w:tc>
        <w:tc>
          <w:tcPr>
            <w:tcW w:w="762" w:type="pct"/>
            <w:vAlign w:val="center"/>
          </w:tcPr>
          <w:p w:rsidR="00B44DBC" w:rsidRPr="00A942AC" w:rsidRDefault="00B44DBC" w:rsidP="00674CBD">
            <w:pPr>
              <w:spacing w:before="29" w:line="288" w:lineRule="auto"/>
              <w:jc w:val="right"/>
              <w:rPr>
                <w:szCs w:val="21"/>
              </w:rPr>
            </w:pPr>
            <w:r w:rsidRPr="00A942AC">
              <w:rPr>
                <w:szCs w:val="21"/>
              </w:rPr>
              <w:t>117,356,418.55</w:t>
            </w:r>
          </w:p>
        </w:tc>
        <w:tc>
          <w:tcPr>
            <w:tcW w:w="666" w:type="pct"/>
            <w:vAlign w:val="center"/>
          </w:tcPr>
          <w:p w:rsidR="00B44DBC" w:rsidRPr="00A942AC" w:rsidRDefault="00B44DBC" w:rsidP="00674CBD">
            <w:pPr>
              <w:spacing w:before="29" w:line="288" w:lineRule="auto"/>
              <w:jc w:val="right"/>
              <w:rPr>
                <w:szCs w:val="21"/>
              </w:rPr>
            </w:pPr>
            <w:r w:rsidRPr="00A942AC">
              <w:rPr>
                <w:szCs w:val="21"/>
              </w:rPr>
              <w:t>1,949,694.62</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119,221,768.86</w:t>
            </w:r>
          </w:p>
        </w:tc>
        <w:tc>
          <w:tcPr>
            <w:tcW w:w="688" w:type="pct"/>
            <w:vAlign w:val="center"/>
          </w:tcPr>
          <w:p w:rsidR="00B44DBC" w:rsidRPr="00A942AC" w:rsidRDefault="00B44DBC" w:rsidP="00674CBD">
            <w:pPr>
              <w:spacing w:before="29" w:line="288" w:lineRule="auto"/>
              <w:jc w:val="right"/>
              <w:rPr>
                <w:szCs w:val="21"/>
              </w:rPr>
            </w:pPr>
            <w:r w:rsidRPr="00A942AC">
              <w:rPr>
                <w:szCs w:val="21"/>
              </w:rPr>
              <w:t>2,601,947.73</w:t>
            </w:r>
          </w:p>
        </w:tc>
        <w:tc>
          <w:tcPr>
            <w:tcW w:w="687" w:type="pct"/>
            <w:vAlign w:val="center"/>
          </w:tcPr>
          <w:p w:rsidR="00B44DBC" w:rsidRPr="00A942AC" w:rsidRDefault="00B44DBC" w:rsidP="00674CBD">
            <w:pPr>
              <w:spacing w:before="29" w:line="288" w:lineRule="auto"/>
              <w:jc w:val="right"/>
              <w:rPr>
                <w:szCs w:val="21"/>
              </w:rPr>
            </w:pPr>
            <w:r w:rsidRPr="00A942AC">
              <w:rPr>
                <w:szCs w:val="21"/>
              </w:rPr>
              <w:t>41,557,545.71</w:t>
            </w:r>
          </w:p>
        </w:tc>
        <w:tc>
          <w:tcPr>
            <w:tcW w:w="688" w:type="pct"/>
            <w:vAlign w:val="center"/>
          </w:tcPr>
          <w:p w:rsidR="00B44DBC" w:rsidRPr="00A942AC" w:rsidRDefault="00B44DBC" w:rsidP="00674CBD">
            <w:pPr>
              <w:spacing w:before="29" w:line="288" w:lineRule="auto"/>
              <w:jc w:val="right"/>
              <w:rPr>
                <w:szCs w:val="21"/>
              </w:rPr>
            </w:pPr>
            <w:r w:rsidRPr="00A942AC">
              <w:rPr>
                <w:szCs w:val="21"/>
              </w:rPr>
              <w:t>154,850.61</w:t>
            </w:r>
          </w:p>
        </w:tc>
        <w:tc>
          <w:tcPr>
            <w:tcW w:w="762" w:type="pct"/>
            <w:vAlign w:val="center"/>
          </w:tcPr>
          <w:p w:rsidR="00B44DBC" w:rsidRPr="00A942AC" w:rsidRDefault="00B44DBC" w:rsidP="00674CBD">
            <w:pPr>
              <w:spacing w:before="29" w:line="288" w:lineRule="auto"/>
              <w:jc w:val="right"/>
              <w:rPr>
                <w:szCs w:val="21"/>
              </w:rPr>
            </w:pPr>
            <w:r w:rsidRPr="00A942AC">
              <w:rPr>
                <w:szCs w:val="21"/>
              </w:rPr>
              <w:t>32,901,979.82</w:t>
            </w:r>
          </w:p>
        </w:tc>
        <w:tc>
          <w:tcPr>
            <w:tcW w:w="666" w:type="pct"/>
            <w:vAlign w:val="center"/>
          </w:tcPr>
          <w:p w:rsidR="00B44DBC" w:rsidRPr="00A942AC" w:rsidRDefault="00B44DBC" w:rsidP="00674CBD">
            <w:pPr>
              <w:spacing w:before="29" w:line="288" w:lineRule="auto"/>
              <w:jc w:val="right"/>
              <w:rPr>
                <w:szCs w:val="21"/>
              </w:rPr>
            </w:pPr>
            <w:r w:rsidRPr="00A942AC">
              <w:rPr>
                <w:szCs w:val="21"/>
              </w:rPr>
              <w:t>580,712.56</w:t>
            </w:r>
          </w:p>
        </w:tc>
      </w:tr>
      <w:tr w:rsidR="008C42FD" w:rsidRPr="00A942AC" w:rsidTr="009E2529">
        <w:tc>
          <w:tcPr>
            <w:tcW w:w="822" w:type="pct"/>
            <w:vAlign w:val="center"/>
          </w:tcPr>
          <w:p w:rsidR="008C42FD" w:rsidRPr="00E52F9F" w:rsidRDefault="008C42FD" w:rsidP="00DB39E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DB39E5">
            <w:pPr>
              <w:spacing w:before="29" w:line="288" w:lineRule="auto"/>
              <w:jc w:val="right"/>
              <w:rPr>
                <w:szCs w:val="21"/>
              </w:rPr>
            </w:pPr>
            <w:r w:rsidRPr="00E52F9F">
              <w:rPr>
                <w:szCs w:val="21"/>
              </w:rPr>
              <w:t>0.0839</w:t>
            </w:r>
          </w:p>
        </w:tc>
        <w:tc>
          <w:tcPr>
            <w:tcW w:w="688" w:type="pct"/>
            <w:vAlign w:val="center"/>
          </w:tcPr>
          <w:p w:rsidR="008C42FD" w:rsidRPr="00E52F9F" w:rsidRDefault="008C42FD" w:rsidP="00DB39E5">
            <w:pPr>
              <w:spacing w:before="29" w:line="288" w:lineRule="auto"/>
              <w:jc w:val="right"/>
              <w:rPr>
                <w:szCs w:val="21"/>
              </w:rPr>
            </w:pPr>
            <w:r w:rsidRPr="00E52F9F">
              <w:rPr>
                <w:szCs w:val="21"/>
              </w:rPr>
              <w:t>0.0708</w:t>
            </w:r>
          </w:p>
        </w:tc>
        <w:tc>
          <w:tcPr>
            <w:tcW w:w="687" w:type="pct"/>
            <w:vAlign w:val="center"/>
          </w:tcPr>
          <w:p w:rsidR="008C42FD" w:rsidRPr="00E52F9F" w:rsidRDefault="008C42FD" w:rsidP="00DB39E5">
            <w:pPr>
              <w:spacing w:before="29" w:line="288" w:lineRule="auto"/>
              <w:jc w:val="right"/>
              <w:rPr>
                <w:szCs w:val="21"/>
              </w:rPr>
            </w:pPr>
            <w:r w:rsidRPr="00E52F9F">
              <w:rPr>
                <w:szCs w:val="21"/>
              </w:rPr>
              <w:t>0.0249</w:t>
            </w:r>
          </w:p>
        </w:tc>
        <w:tc>
          <w:tcPr>
            <w:tcW w:w="688" w:type="pct"/>
            <w:vAlign w:val="center"/>
          </w:tcPr>
          <w:p w:rsidR="008C42FD" w:rsidRPr="00E52F9F" w:rsidRDefault="008C42FD" w:rsidP="00DB39E5">
            <w:pPr>
              <w:spacing w:before="29" w:line="288" w:lineRule="auto"/>
              <w:jc w:val="right"/>
              <w:rPr>
                <w:szCs w:val="21"/>
              </w:rPr>
            </w:pPr>
            <w:r w:rsidRPr="00E52F9F">
              <w:rPr>
                <w:szCs w:val="21"/>
              </w:rPr>
              <w:t>0.0215</w:t>
            </w:r>
          </w:p>
        </w:tc>
        <w:tc>
          <w:tcPr>
            <w:tcW w:w="762" w:type="pct"/>
            <w:vAlign w:val="center"/>
          </w:tcPr>
          <w:p w:rsidR="008C42FD" w:rsidRPr="00E52F9F" w:rsidRDefault="008C42FD" w:rsidP="00DB39E5">
            <w:pPr>
              <w:spacing w:before="29" w:line="288" w:lineRule="auto"/>
              <w:jc w:val="right"/>
              <w:rPr>
                <w:szCs w:val="21"/>
              </w:rPr>
            </w:pPr>
            <w:r w:rsidRPr="00E52F9F">
              <w:rPr>
                <w:szCs w:val="21"/>
              </w:rPr>
              <w:t>0.0111</w:t>
            </w:r>
          </w:p>
        </w:tc>
        <w:tc>
          <w:tcPr>
            <w:tcW w:w="666" w:type="pct"/>
            <w:vAlign w:val="center"/>
          </w:tcPr>
          <w:p w:rsidR="008C42FD" w:rsidRPr="00E52F9F" w:rsidRDefault="008C42FD" w:rsidP="00DB39E5">
            <w:pPr>
              <w:spacing w:before="29" w:line="288" w:lineRule="auto"/>
              <w:jc w:val="right"/>
              <w:rPr>
                <w:szCs w:val="21"/>
              </w:rPr>
            </w:pPr>
            <w:r w:rsidRPr="00E52F9F">
              <w:rPr>
                <w:szCs w:val="21"/>
              </w:rPr>
              <w:t>0.0129</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8.25%</w:t>
            </w:r>
          </w:p>
        </w:tc>
        <w:tc>
          <w:tcPr>
            <w:tcW w:w="688" w:type="pct"/>
            <w:vAlign w:val="center"/>
          </w:tcPr>
          <w:p w:rsidR="00A62AD8" w:rsidRPr="00A942AC" w:rsidRDefault="00A62AD8" w:rsidP="00674CBD">
            <w:pPr>
              <w:spacing w:before="29" w:line="288" w:lineRule="auto"/>
              <w:jc w:val="right"/>
              <w:rPr>
                <w:szCs w:val="21"/>
              </w:rPr>
            </w:pPr>
            <w:r w:rsidRPr="00A942AC">
              <w:rPr>
                <w:szCs w:val="21"/>
              </w:rPr>
              <w:t>7.84%</w:t>
            </w:r>
          </w:p>
        </w:tc>
        <w:tc>
          <w:tcPr>
            <w:tcW w:w="687" w:type="pct"/>
            <w:vAlign w:val="center"/>
          </w:tcPr>
          <w:p w:rsidR="00A62AD8" w:rsidRPr="00A942AC" w:rsidRDefault="00A62AD8" w:rsidP="00674CBD">
            <w:pPr>
              <w:spacing w:before="29" w:line="288" w:lineRule="auto"/>
              <w:jc w:val="right"/>
              <w:rPr>
                <w:szCs w:val="21"/>
              </w:rPr>
            </w:pPr>
            <w:r w:rsidRPr="00A942AC">
              <w:rPr>
                <w:szCs w:val="21"/>
              </w:rPr>
              <w:t>2.64%</w:t>
            </w:r>
          </w:p>
        </w:tc>
        <w:tc>
          <w:tcPr>
            <w:tcW w:w="688" w:type="pct"/>
            <w:vAlign w:val="center"/>
          </w:tcPr>
          <w:p w:rsidR="00A62AD8" w:rsidRPr="00A942AC" w:rsidRDefault="00A62AD8" w:rsidP="00674CBD">
            <w:pPr>
              <w:spacing w:before="29" w:line="288" w:lineRule="auto"/>
              <w:jc w:val="right"/>
              <w:rPr>
                <w:szCs w:val="21"/>
              </w:rPr>
            </w:pPr>
            <w:r w:rsidRPr="00A942AC">
              <w:rPr>
                <w:szCs w:val="21"/>
              </w:rPr>
              <w:t>2.15%</w:t>
            </w:r>
          </w:p>
        </w:tc>
        <w:tc>
          <w:tcPr>
            <w:tcW w:w="762" w:type="pct"/>
            <w:vAlign w:val="center"/>
          </w:tcPr>
          <w:p w:rsidR="00A62AD8" w:rsidRPr="00A942AC" w:rsidRDefault="00A62AD8" w:rsidP="00674CBD">
            <w:pPr>
              <w:spacing w:before="29" w:line="288" w:lineRule="auto"/>
              <w:jc w:val="right"/>
              <w:rPr>
                <w:szCs w:val="21"/>
              </w:rPr>
            </w:pPr>
            <w:r w:rsidRPr="00A942AC">
              <w:rPr>
                <w:szCs w:val="21"/>
              </w:rPr>
              <w:t>1.11%</w:t>
            </w:r>
          </w:p>
        </w:tc>
        <w:tc>
          <w:tcPr>
            <w:tcW w:w="666" w:type="pct"/>
            <w:vAlign w:val="center"/>
          </w:tcPr>
          <w:p w:rsidR="00A62AD8" w:rsidRPr="00A942AC" w:rsidRDefault="00A62AD8" w:rsidP="00674CBD">
            <w:pPr>
              <w:spacing w:before="29" w:line="288" w:lineRule="auto"/>
              <w:jc w:val="right"/>
              <w:rPr>
                <w:szCs w:val="21"/>
              </w:rPr>
            </w:pPr>
            <w:r w:rsidRPr="00A942AC">
              <w:rPr>
                <w:szCs w:val="21"/>
              </w:rPr>
              <w:t>0.35%</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lastRenderedPageBreak/>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2018</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A/B</w:t>
            </w:r>
          </w:p>
        </w:tc>
        <w:tc>
          <w:tcPr>
            <w:tcW w:w="667" w:type="pct"/>
            <w:vAlign w:val="center"/>
          </w:tcPr>
          <w:p w:rsidR="00B44DBC" w:rsidRPr="00A942AC" w:rsidRDefault="00B44DBC" w:rsidP="00FF4447">
            <w:pPr>
              <w:spacing w:before="29" w:line="288" w:lineRule="auto"/>
              <w:rPr>
                <w:szCs w:val="21"/>
              </w:rPr>
            </w:pPr>
            <w:r w:rsidRPr="00A942AC">
              <w:rPr>
                <w:szCs w:val="21"/>
              </w:rPr>
              <w:t>交银双轮动债券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0.021</w:t>
            </w:r>
          </w:p>
        </w:tc>
        <w:tc>
          <w:tcPr>
            <w:tcW w:w="687" w:type="pct"/>
            <w:vAlign w:val="center"/>
          </w:tcPr>
          <w:p w:rsidR="00B44DBC" w:rsidRPr="00A942AC" w:rsidRDefault="00B44DBC" w:rsidP="00674CBD">
            <w:pPr>
              <w:spacing w:before="29" w:line="288" w:lineRule="auto"/>
              <w:jc w:val="right"/>
              <w:rPr>
                <w:szCs w:val="21"/>
              </w:rPr>
            </w:pPr>
            <w:r w:rsidRPr="00A942AC">
              <w:rPr>
                <w:szCs w:val="21"/>
              </w:rPr>
              <w:t>0.019</w:t>
            </w:r>
          </w:p>
        </w:tc>
        <w:tc>
          <w:tcPr>
            <w:tcW w:w="687" w:type="pct"/>
            <w:vAlign w:val="center"/>
          </w:tcPr>
          <w:p w:rsidR="00B44DBC" w:rsidRPr="00A942AC" w:rsidRDefault="00B44DBC" w:rsidP="00674CBD">
            <w:pPr>
              <w:spacing w:before="29" w:line="288" w:lineRule="auto"/>
              <w:jc w:val="right"/>
              <w:rPr>
                <w:szCs w:val="21"/>
              </w:rPr>
            </w:pPr>
            <w:r w:rsidRPr="00A942AC">
              <w:rPr>
                <w:szCs w:val="21"/>
              </w:rPr>
              <w:t>0.013</w:t>
            </w:r>
          </w:p>
        </w:tc>
        <w:tc>
          <w:tcPr>
            <w:tcW w:w="687" w:type="pct"/>
            <w:vAlign w:val="center"/>
          </w:tcPr>
          <w:p w:rsidR="00B44DBC" w:rsidRPr="00A942AC" w:rsidRDefault="00B44DBC" w:rsidP="00674CBD">
            <w:pPr>
              <w:spacing w:before="29" w:line="288" w:lineRule="auto"/>
              <w:jc w:val="right"/>
              <w:rPr>
                <w:szCs w:val="21"/>
              </w:rPr>
            </w:pPr>
            <w:r w:rsidRPr="00A942AC">
              <w:rPr>
                <w:szCs w:val="21"/>
              </w:rPr>
              <w:t>0.015</w:t>
            </w:r>
          </w:p>
        </w:tc>
        <w:tc>
          <w:tcPr>
            <w:tcW w:w="764" w:type="pct"/>
            <w:vAlign w:val="center"/>
          </w:tcPr>
          <w:p w:rsidR="00B44DBC" w:rsidRPr="00A942AC" w:rsidRDefault="00B44DBC" w:rsidP="00674CBD">
            <w:pPr>
              <w:spacing w:before="29" w:line="288" w:lineRule="auto"/>
              <w:jc w:val="right"/>
              <w:rPr>
                <w:szCs w:val="21"/>
              </w:rPr>
            </w:pPr>
            <w:r w:rsidRPr="00A942AC">
              <w:rPr>
                <w:szCs w:val="21"/>
              </w:rPr>
              <w:t>0.016</w:t>
            </w:r>
          </w:p>
        </w:tc>
        <w:tc>
          <w:tcPr>
            <w:tcW w:w="667" w:type="pct"/>
            <w:vAlign w:val="center"/>
          </w:tcPr>
          <w:p w:rsidR="00B44DBC" w:rsidRPr="00A942AC" w:rsidRDefault="00B44DBC" w:rsidP="00674CBD">
            <w:pPr>
              <w:spacing w:before="29" w:line="288" w:lineRule="auto"/>
              <w:jc w:val="right"/>
              <w:rPr>
                <w:szCs w:val="21"/>
              </w:rPr>
            </w:pPr>
            <w:r w:rsidRPr="00A942AC">
              <w:rPr>
                <w:szCs w:val="21"/>
              </w:rPr>
              <w:t>0.006</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1,221,383,265.52</w:t>
            </w:r>
          </w:p>
        </w:tc>
        <w:tc>
          <w:tcPr>
            <w:tcW w:w="687" w:type="pct"/>
            <w:vAlign w:val="center"/>
          </w:tcPr>
          <w:p w:rsidR="00B44DBC" w:rsidRPr="00A942AC" w:rsidRDefault="00B44DBC" w:rsidP="00674CBD">
            <w:pPr>
              <w:spacing w:before="29" w:line="288" w:lineRule="auto"/>
              <w:jc w:val="right"/>
              <w:rPr>
                <w:szCs w:val="21"/>
              </w:rPr>
            </w:pPr>
            <w:r w:rsidRPr="00A942AC">
              <w:rPr>
                <w:szCs w:val="21"/>
              </w:rPr>
              <w:t>203,432,629.57</w:t>
            </w:r>
          </w:p>
        </w:tc>
        <w:tc>
          <w:tcPr>
            <w:tcW w:w="687" w:type="pct"/>
            <w:vAlign w:val="center"/>
          </w:tcPr>
          <w:p w:rsidR="00B44DBC" w:rsidRPr="00A942AC" w:rsidRDefault="00B44DBC" w:rsidP="00674CBD">
            <w:pPr>
              <w:spacing w:before="29" w:line="288" w:lineRule="auto"/>
              <w:jc w:val="right"/>
              <w:rPr>
                <w:szCs w:val="21"/>
              </w:rPr>
            </w:pPr>
            <w:r w:rsidRPr="00A942AC">
              <w:rPr>
                <w:szCs w:val="21"/>
              </w:rPr>
              <w:t>1,603,698,464.55</w:t>
            </w:r>
          </w:p>
        </w:tc>
        <w:tc>
          <w:tcPr>
            <w:tcW w:w="687" w:type="pct"/>
            <w:vAlign w:val="center"/>
          </w:tcPr>
          <w:p w:rsidR="00B44DBC" w:rsidRPr="00A942AC" w:rsidRDefault="00B44DBC" w:rsidP="00674CBD">
            <w:pPr>
              <w:spacing w:before="29" w:line="288" w:lineRule="auto"/>
              <w:jc w:val="right"/>
              <w:rPr>
                <w:szCs w:val="21"/>
              </w:rPr>
            </w:pPr>
            <w:r w:rsidRPr="00A942AC">
              <w:rPr>
                <w:szCs w:val="21"/>
              </w:rPr>
              <w:t>6,477,078.48</w:t>
            </w:r>
          </w:p>
        </w:tc>
        <w:tc>
          <w:tcPr>
            <w:tcW w:w="764" w:type="pct"/>
            <w:vAlign w:val="center"/>
          </w:tcPr>
          <w:p w:rsidR="00B44DBC" w:rsidRPr="00A942AC" w:rsidRDefault="00B44DBC" w:rsidP="00674CBD">
            <w:pPr>
              <w:spacing w:before="29" w:line="288" w:lineRule="auto"/>
              <w:jc w:val="right"/>
              <w:rPr>
                <w:szCs w:val="21"/>
              </w:rPr>
            </w:pPr>
            <w:r w:rsidRPr="00A942AC">
              <w:rPr>
                <w:szCs w:val="21"/>
              </w:rPr>
              <w:t>2,987,235,117.86</w:t>
            </w:r>
          </w:p>
        </w:tc>
        <w:tc>
          <w:tcPr>
            <w:tcW w:w="667" w:type="pct"/>
            <w:vAlign w:val="center"/>
          </w:tcPr>
          <w:p w:rsidR="00B44DBC" w:rsidRPr="00A942AC" w:rsidRDefault="00B44DBC" w:rsidP="00674CBD">
            <w:pPr>
              <w:spacing w:before="29" w:line="288" w:lineRule="auto"/>
              <w:jc w:val="right"/>
              <w:rPr>
                <w:szCs w:val="21"/>
              </w:rPr>
            </w:pPr>
            <w:r w:rsidRPr="00A942AC">
              <w:rPr>
                <w:szCs w:val="21"/>
              </w:rPr>
              <w:t>7,690,090.23</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1.079</w:t>
            </w:r>
          </w:p>
        </w:tc>
        <w:tc>
          <w:tcPr>
            <w:tcW w:w="687" w:type="pct"/>
            <w:vAlign w:val="center"/>
          </w:tcPr>
          <w:p w:rsidR="00B44DBC" w:rsidRPr="00A942AC" w:rsidRDefault="00B44DBC" w:rsidP="00674CBD">
            <w:pPr>
              <w:spacing w:before="29" w:line="288" w:lineRule="auto"/>
              <w:jc w:val="right"/>
              <w:rPr>
                <w:szCs w:val="21"/>
              </w:rPr>
            </w:pPr>
            <w:r w:rsidRPr="00A942AC">
              <w:rPr>
                <w:szCs w:val="21"/>
              </w:rPr>
              <w:t>1.076</w:t>
            </w:r>
          </w:p>
        </w:tc>
        <w:tc>
          <w:tcPr>
            <w:tcW w:w="687" w:type="pct"/>
            <w:vAlign w:val="center"/>
          </w:tcPr>
          <w:p w:rsidR="00B44DBC" w:rsidRPr="00A942AC" w:rsidRDefault="00B44DBC" w:rsidP="00674CBD">
            <w:pPr>
              <w:spacing w:before="29" w:line="288" w:lineRule="auto"/>
              <w:jc w:val="right"/>
              <w:rPr>
                <w:szCs w:val="21"/>
              </w:rPr>
            </w:pPr>
            <w:r w:rsidRPr="00A942AC">
              <w:rPr>
                <w:szCs w:val="21"/>
              </w:rPr>
              <w:t>1.043</w:t>
            </w:r>
          </w:p>
        </w:tc>
        <w:tc>
          <w:tcPr>
            <w:tcW w:w="687" w:type="pct"/>
            <w:vAlign w:val="center"/>
          </w:tcPr>
          <w:p w:rsidR="00B44DBC" w:rsidRPr="00A942AC" w:rsidRDefault="00B44DBC" w:rsidP="00674CBD">
            <w:pPr>
              <w:spacing w:before="29" w:line="288" w:lineRule="auto"/>
              <w:jc w:val="right"/>
              <w:rPr>
                <w:szCs w:val="21"/>
              </w:rPr>
            </w:pPr>
            <w:r w:rsidRPr="00A942AC">
              <w:rPr>
                <w:szCs w:val="21"/>
              </w:rPr>
              <w:t>1.044</w:t>
            </w:r>
          </w:p>
        </w:tc>
        <w:tc>
          <w:tcPr>
            <w:tcW w:w="764" w:type="pct"/>
            <w:vAlign w:val="center"/>
          </w:tcPr>
          <w:p w:rsidR="00B44DBC" w:rsidRPr="00A942AC" w:rsidRDefault="00B44DBC" w:rsidP="00674CBD">
            <w:pPr>
              <w:spacing w:before="29" w:line="288" w:lineRule="auto"/>
              <w:jc w:val="right"/>
              <w:rPr>
                <w:szCs w:val="21"/>
              </w:rPr>
            </w:pPr>
            <w:r w:rsidRPr="00A942AC">
              <w:rPr>
                <w:szCs w:val="21"/>
              </w:rPr>
              <w:t>1.032</w:t>
            </w:r>
          </w:p>
        </w:tc>
        <w:tc>
          <w:tcPr>
            <w:tcW w:w="667" w:type="pct"/>
            <w:vAlign w:val="center"/>
          </w:tcPr>
          <w:p w:rsidR="00B44DBC" w:rsidRPr="00A942AC" w:rsidRDefault="00B44DBC" w:rsidP="00674CBD">
            <w:pPr>
              <w:spacing w:before="29" w:line="288" w:lineRule="auto"/>
              <w:jc w:val="right"/>
              <w:rPr>
                <w:szCs w:val="21"/>
              </w:rPr>
            </w:pPr>
            <w:r w:rsidRPr="00A942AC">
              <w:rPr>
                <w:szCs w:val="21"/>
              </w:rPr>
              <w:t>1.022</w:t>
            </w:r>
          </w:p>
        </w:tc>
      </w:tr>
    </w:tbl>
    <w:p w:rsidR="00FB0947" w:rsidRDefault="00DB39E5">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FB0947" w:rsidRDefault="00DB39E5">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交银双轮动债券</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FB0947">
        <w:tc>
          <w:tcPr>
            <w:tcW w:w="1286" w:type="dxa"/>
            <w:vAlign w:val="center"/>
          </w:tcPr>
          <w:p w:rsidR="00FB0947" w:rsidRDefault="00DB39E5">
            <w:pPr>
              <w:jc w:val="left"/>
            </w:pPr>
            <w:r>
              <w:rPr>
                <w:color w:val="000000"/>
                <w:sz w:val="24"/>
              </w:rPr>
              <w:t>过去三个月</w:t>
            </w:r>
          </w:p>
        </w:tc>
        <w:tc>
          <w:tcPr>
            <w:tcW w:w="1286" w:type="dxa"/>
            <w:vAlign w:val="center"/>
          </w:tcPr>
          <w:p w:rsidR="00FB0947" w:rsidRDefault="00DB39E5">
            <w:pPr>
              <w:jc w:val="center"/>
            </w:pPr>
            <w:r>
              <w:rPr>
                <w:color w:val="000000"/>
                <w:sz w:val="24"/>
              </w:rPr>
              <w:t>2.46%</w:t>
            </w:r>
          </w:p>
        </w:tc>
        <w:tc>
          <w:tcPr>
            <w:tcW w:w="1286" w:type="dxa"/>
            <w:vAlign w:val="center"/>
          </w:tcPr>
          <w:p w:rsidR="00FB0947" w:rsidRDefault="00DB39E5">
            <w:pPr>
              <w:jc w:val="center"/>
            </w:pPr>
            <w:r>
              <w:rPr>
                <w:color w:val="000000"/>
                <w:sz w:val="24"/>
              </w:rPr>
              <w:t>0.06%</w:t>
            </w:r>
          </w:p>
        </w:tc>
        <w:tc>
          <w:tcPr>
            <w:tcW w:w="1285" w:type="dxa"/>
            <w:vAlign w:val="center"/>
          </w:tcPr>
          <w:p w:rsidR="00FB0947" w:rsidRDefault="00DB39E5">
            <w:pPr>
              <w:jc w:val="center"/>
            </w:pPr>
            <w:r>
              <w:rPr>
                <w:color w:val="000000"/>
                <w:sz w:val="24"/>
              </w:rPr>
              <w:t>1.99%</w:t>
            </w:r>
          </w:p>
        </w:tc>
        <w:tc>
          <w:tcPr>
            <w:tcW w:w="1285" w:type="dxa"/>
            <w:vAlign w:val="center"/>
          </w:tcPr>
          <w:p w:rsidR="00FB0947" w:rsidRDefault="00DB39E5">
            <w:pPr>
              <w:jc w:val="center"/>
            </w:pPr>
            <w:r>
              <w:rPr>
                <w:color w:val="000000"/>
                <w:sz w:val="24"/>
              </w:rPr>
              <w:t>0.05%</w:t>
            </w:r>
          </w:p>
        </w:tc>
        <w:tc>
          <w:tcPr>
            <w:tcW w:w="1285" w:type="dxa"/>
            <w:vAlign w:val="center"/>
          </w:tcPr>
          <w:p w:rsidR="00FB0947" w:rsidRDefault="00DB39E5">
            <w:pPr>
              <w:jc w:val="center"/>
            </w:pPr>
            <w:r>
              <w:rPr>
                <w:color w:val="000000"/>
                <w:sz w:val="24"/>
              </w:rPr>
              <w:t>0.47%</w:t>
            </w:r>
          </w:p>
        </w:tc>
        <w:tc>
          <w:tcPr>
            <w:tcW w:w="1285" w:type="dxa"/>
            <w:vAlign w:val="center"/>
          </w:tcPr>
          <w:p w:rsidR="00FB0947" w:rsidRDefault="00DB39E5">
            <w:pPr>
              <w:jc w:val="center"/>
            </w:pPr>
            <w:r>
              <w:rPr>
                <w:color w:val="000000"/>
                <w:sz w:val="24"/>
              </w:rPr>
              <w:t>0.01%</w:t>
            </w:r>
          </w:p>
        </w:tc>
      </w:tr>
      <w:tr w:rsidR="00FB0947">
        <w:tc>
          <w:tcPr>
            <w:tcW w:w="1286" w:type="dxa"/>
            <w:vAlign w:val="center"/>
          </w:tcPr>
          <w:p w:rsidR="00FB0947" w:rsidRDefault="00DB39E5">
            <w:pPr>
              <w:jc w:val="left"/>
            </w:pPr>
            <w:r>
              <w:rPr>
                <w:color w:val="000000"/>
                <w:sz w:val="24"/>
              </w:rPr>
              <w:t>过去六个月</w:t>
            </w:r>
          </w:p>
        </w:tc>
        <w:tc>
          <w:tcPr>
            <w:tcW w:w="1286" w:type="dxa"/>
            <w:vAlign w:val="center"/>
          </w:tcPr>
          <w:p w:rsidR="00FB0947" w:rsidRDefault="00DB39E5">
            <w:pPr>
              <w:jc w:val="center"/>
            </w:pPr>
            <w:r>
              <w:rPr>
                <w:color w:val="000000"/>
                <w:sz w:val="24"/>
              </w:rPr>
              <w:t>4.80%</w:t>
            </w:r>
          </w:p>
        </w:tc>
        <w:tc>
          <w:tcPr>
            <w:tcW w:w="1286" w:type="dxa"/>
            <w:vAlign w:val="center"/>
          </w:tcPr>
          <w:p w:rsidR="00FB0947" w:rsidRDefault="00DB39E5">
            <w:pPr>
              <w:jc w:val="center"/>
            </w:pPr>
            <w:r>
              <w:rPr>
                <w:color w:val="000000"/>
                <w:sz w:val="24"/>
              </w:rPr>
              <w:t>0.07%</w:t>
            </w:r>
          </w:p>
        </w:tc>
        <w:tc>
          <w:tcPr>
            <w:tcW w:w="1285" w:type="dxa"/>
            <w:vAlign w:val="center"/>
          </w:tcPr>
          <w:p w:rsidR="00FB0947" w:rsidRDefault="00DB39E5">
            <w:pPr>
              <w:jc w:val="center"/>
            </w:pPr>
            <w:r>
              <w:rPr>
                <w:color w:val="000000"/>
                <w:sz w:val="24"/>
              </w:rPr>
              <w:t>2.57%</w:t>
            </w:r>
          </w:p>
        </w:tc>
        <w:tc>
          <w:tcPr>
            <w:tcW w:w="1285" w:type="dxa"/>
            <w:vAlign w:val="center"/>
          </w:tcPr>
          <w:p w:rsidR="00FB0947" w:rsidRDefault="00DB39E5">
            <w:pPr>
              <w:jc w:val="center"/>
            </w:pPr>
            <w:r>
              <w:rPr>
                <w:color w:val="000000"/>
                <w:sz w:val="24"/>
              </w:rPr>
              <w:t>0.06%</w:t>
            </w:r>
          </w:p>
        </w:tc>
        <w:tc>
          <w:tcPr>
            <w:tcW w:w="1285" w:type="dxa"/>
            <w:vAlign w:val="center"/>
          </w:tcPr>
          <w:p w:rsidR="00FB0947" w:rsidRDefault="00DB39E5">
            <w:pPr>
              <w:jc w:val="center"/>
            </w:pPr>
            <w:r>
              <w:rPr>
                <w:color w:val="000000"/>
                <w:sz w:val="24"/>
              </w:rPr>
              <w:t>2.23%</w:t>
            </w:r>
          </w:p>
        </w:tc>
        <w:tc>
          <w:tcPr>
            <w:tcW w:w="1285" w:type="dxa"/>
            <w:vAlign w:val="center"/>
          </w:tcPr>
          <w:p w:rsidR="00FB0947" w:rsidRDefault="00DB39E5">
            <w:pPr>
              <w:jc w:val="center"/>
            </w:pPr>
            <w:r>
              <w:rPr>
                <w:color w:val="000000"/>
                <w:sz w:val="24"/>
              </w:rPr>
              <w:t>0.01%</w:t>
            </w:r>
          </w:p>
        </w:tc>
      </w:tr>
      <w:tr w:rsidR="00FB0947">
        <w:tc>
          <w:tcPr>
            <w:tcW w:w="1286" w:type="dxa"/>
            <w:vAlign w:val="center"/>
          </w:tcPr>
          <w:p w:rsidR="00FB0947" w:rsidRDefault="00DB39E5">
            <w:pPr>
              <w:jc w:val="left"/>
            </w:pPr>
            <w:r>
              <w:rPr>
                <w:color w:val="000000"/>
                <w:sz w:val="24"/>
              </w:rPr>
              <w:t>过去一年</w:t>
            </w:r>
          </w:p>
        </w:tc>
        <w:tc>
          <w:tcPr>
            <w:tcW w:w="1286" w:type="dxa"/>
            <w:vAlign w:val="center"/>
          </w:tcPr>
          <w:p w:rsidR="00FB0947" w:rsidRDefault="00DB39E5">
            <w:pPr>
              <w:jc w:val="center"/>
            </w:pPr>
            <w:r>
              <w:rPr>
                <w:color w:val="000000"/>
                <w:sz w:val="24"/>
              </w:rPr>
              <w:t>8.25%</w:t>
            </w:r>
          </w:p>
        </w:tc>
        <w:tc>
          <w:tcPr>
            <w:tcW w:w="1286" w:type="dxa"/>
            <w:vAlign w:val="center"/>
          </w:tcPr>
          <w:p w:rsidR="00FB0947" w:rsidRDefault="00DB39E5">
            <w:pPr>
              <w:jc w:val="center"/>
            </w:pPr>
            <w:r>
              <w:rPr>
                <w:color w:val="000000"/>
                <w:sz w:val="24"/>
              </w:rPr>
              <w:t>0.07%</w:t>
            </w:r>
          </w:p>
        </w:tc>
        <w:tc>
          <w:tcPr>
            <w:tcW w:w="1285" w:type="dxa"/>
            <w:vAlign w:val="center"/>
          </w:tcPr>
          <w:p w:rsidR="00FB0947" w:rsidRDefault="00DB39E5">
            <w:pPr>
              <w:jc w:val="center"/>
            </w:pPr>
            <w:r>
              <w:rPr>
                <w:color w:val="000000"/>
                <w:sz w:val="24"/>
              </w:rPr>
              <w:t>4.79%</w:t>
            </w:r>
          </w:p>
        </w:tc>
        <w:tc>
          <w:tcPr>
            <w:tcW w:w="1285" w:type="dxa"/>
            <w:vAlign w:val="center"/>
          </w:tcPr>
          <w:p w:rsidR="00FB0947" w:rsidRDefault="00DB39E5">
            <w:pPr>
              <w:jc w:val="center"/>
            </w:pPr>
            <w:r>
              <w:rPr>
                <w:color w:val="000000"/>
                <w:sz w:val="24"/>
              </w:rPr>
              <w:t>0.07%</w:t>
            </w:r>
          </w:p>
        </w:tc>
        <w:tc>
          <w:tcPr>
            <w:tcW w:w="1285" w:type="dxa"/>
            <w:vAlign w:val="center"/>
          </w:tcPr>
          <w:p w:rsidR="00FB0947" w:rsidRDefault="00DB39E5">
            <w:pPr>
              <w:jc w:val="center"/>
            </w:pPr>
            <w:r>
              <w:rPr>
                <w:color w:val="000000"/>
                <w:sz w:val="24"/>
              </w:rPr>
              <w:t>3.46%</w:t>
            </w:r>
          </w:p>
        </w:tc>
        <w:tc>
          <w:tcPr>
            <w:tcW w:w="1285" w:type="dxa"/>
            <w:vAlign w:val="center"/>
          </w:tcPr>
          <w:p w:rsidR="00FB0947" w:rsidRDefault="00DB39E5">
            <w:pPr>
              <w:jc w:val="center"/>
            </w:pPr>
            <w:r>
              <w:rPr>
                <w:color w:val="000000"/>
                <w:sz w:val="24"/>
              </w:rPr>
              <w:t>0.00%</w:t>
            </w:r>
          </w:p>
        </w:tc>
      </w:tr>
      <w:tr w:rsidR="00FB0947">
        <w:tc>
          <w:tcPr>
            <w:tcW w:w="1286" w:type="dxa"/>
            <w:vAlign w:val="center"/>
          </w:tcPr>
          <w:p w:rsidR="00FB0947" w:rsidRDefault="00DB39E5">
            <w:pPr>
              <w:jc w:val="left"/>
            </w:pPr>
            <w:r>
              <w:rPr>
                <w:color w:val="000000"/>
                <w:sz w:val="24"/>
              </w:rPr>
              <w:t>过去三年</w:t>
            </w:r>
          </w:p>
        </w:tc>
        <w:tc>
          <w:tcPr>
            <w:tcW w:w="1286" w:type="dxa"/>
            <w:vAlign w:val="center"/>
          </w:tcPr>
          <w:p w:rsidR="00FB0947" w:rsidRDefault="00DB39E5">
            <w:pPr>
              <w:jc w:val="center"/>
            </w:pPr>
            <w:r>
              <w:rPr>
                <w:color w:val="000000"/>
                <w:sz w:val="24"/>
              </w:rPr>
              <w:t>12.34%</w:t>
            </w:r>
          </w:p>
        </w:tc>
        <w:tc>
          <w:tcPr>
            <w:tcW w:w="1286" w:type="dxa"/>
            <w:vAlign w:val="center"/>
          </w:tcPr>
          <w:p w:rsidR="00FB0947" w:rsidRDefault="00DB39E5">
            <w:pPr>
              <w:jc w:val="center"/>
            </w:pPr>
            <w:r>
              <w:rPr>
                <w:color w:val="000000"/>
                <w:sz w:val="24"/>
              </w:rPr>
              <w:t>0.08%</w:t>
            </w:r>
          </w:p>
        </w:tc>
        <w:tc>
          <w:tcPr>
            <w:tcW w:w="1285" w:type="dxa"/>
            <w:vAlign w:val="center"/>
          </w:tcPr>
          <w:p w:rsidR="00FB0947" w:rsidRDefault="00DB39E5">
            <w:pPr>
              <w:jc w:val="center"/>
            </w:pPr>
            <w:r>
              <w:rPr>
                <w:color w:val="000000"/>
                <w:sz w:val="24"/>
              </w:rPr>
              <w:t>-0.41%</w:t>
            </w:r>
          </w:p>
        </w:tc>
        <w:tc>
          <w:tcPr>
            <w:tcW w:w="1285" w:type="dxa"/>
            <w:vAlign w:val="center"/>
          </w:tcPr>
          <w:p w:rsidR="00FB0947" w:rsidRDefault="00DB39E5">
            <w:pPr>
              <w:jc w:val="center"/>
            </w:pPr>
            <w:r>
              <w:rPr>
                <w:color w:val="000000"/>
                <w:sz w:val="24"/>
              </w:rPr>
              <w:t>0.08%</w:t>
            </w:r>
          </w:p>
        </w:tc>
        <w:tc>
          <w:tcPr>
            <w:tcW w:w="1285" w:type="dxa"/>
            <w:vAlign w:val="center"/>
          </w:tcPr>
          <w:p w:rsidR="00FB0947" w:rsidRDefault="00DB39E5">
            <w:pPr>
              <w:jc w:val="center"/>
            </w:pPr>
            <w:r>
              <w:rPr>
                <w:color w:val="000000"/>
                <w:sz w:val="24"/>
              </w:rPr>
              <w:t>12.75%</w:t>
            </w:r>
          </w:p>
        </w:tc>
        <w:tc>
          <w:tcPr>
            <w:tcW w:w="1285" w:type="dxa"/>
            <w:vAlign w:val="center"/>
          </w:tcPr>
          <w:p w:rsidR="00FB0947" w:rsidRDefault="00DB39E5">
            <w:pPr>
              <w:jc w:val="center"/>
            </w:pPr>
            <w:r>
              <w:rPr>
                <w:color w:val="000000"/>
                <w:sz w:val="24"/>
              </w:rPr>
              <w:t>0.00%</w:t>
            </w:r>
          </w:p>
        </w:tc>
      </w:tr>
      <w:tr w:rsidR="00FB0947">
        <w:tc>
          <w:tcPr>
            <w:tcW w:w="1286" w:type="dxa"/>
            <w:vAlign w:val="center"/>
          </w:tcPr>
          <w:p w:rsidR="00FB0947" w:rsidRDefault="00DB39E5">
            <w:pPr>
              <w:jc w:val="left"/>
            </w:pPr>
            <w:r>
              <w:rPr>
                <w:color w:val="000000"/>
                <w:sz w:val="24"/>
              </w:rPr>
              <w:t>过去五年</w:t>
            </w:r>
          </w:p>
        </w:tc>
        <w:tc>
          <w:tcPr>
            <w:tcW w:w="1286" w:type="dxa"/>
            <w:vAlign w:val="center"/>
          </w:tcPr>
          <w:p w:rsidR="00FB0947" w:rsidRDefault="00DB39E5">
            <w:pPr>
              <w:jc w:val="center"/>
            </w:pPr>
            <w:r>
              <w:rPr>
                <w:color w:val="000000"/>
                <w:sz w:val="24"/>
              </w:rPr>
              <w:t>34.39%</w:t>
            </w:r>
          </w:p>
        </w:tc>
        <w:tc>
          <w:tcPr>
            <w:tcW w:w="1286" w:type="dxa"/>
            <w:vAlign w:val="center"/>
          </w:tcPr>
          <w:p w:rsidR="00FB0947" w:rsidRDefault="00DB39E5">
            <w:pPr>
              <w:jc w:val="center"/>
            </w:pPr>
            <w:r>
              <w:rPr>
                <w:color w:val="000000"/>
                <w:sz w:val="24"/>
              </w:rPr>
              <w:t>0.10%</w:t>
            </w:r>
          </w:p>
        </w:tc>
        <w:tc>
          <w:tcPr>
            <w:tcW w:w="1285" w:type="dxa"/>
            <w:vAlign w:val="center"/>
          </w:tcPr>
          <w:p w:rsidR="00FB0947" w:rsidRDefault="00DB39E5">
            <w:pPr>
              <w:jc w:val="center"/>
            </w:pPr>
            <w:r>
              <w:rPr>
                <w:color w:val="000000"/>
                <w:sz w:val="24"/>
              </w:rPr>
              <w:t>10.54%</w:t>
            </w:r>
          </w:p>
        </w:tc>
        <w:tc>
          <w:tcPr>
            <w:tcW w:w="1285" w:type="dxa"/>
            <w:vAlign w:val="center"/>
          </w:tcPr>
          <w:p w:rsidR="00FB0947" w:rsidRDefault="00DB39E5">
            <w:pPr>
              <w:jc w:val="center"/>
            </w:pPr>
            <w:r>
              <w:rPr>
                <w:color w:val="000000"/>
                <w:sz w:val="24"/>
              </w:rPr>
              <w:t>0.09%</w:t>
            </w:r>
          </w:p>
        </w:tc>
        <w:tc>
          <w:tcPr>
            <w:tcW w:w="1285" w:type="dxa"/>
            <w:vAlign w:val="center"/>
          </w:tcPr>
          <w:p w:rsidR="00FB0947" w:rsidRDefault="00DB39E5">
            <w:pPr>
              <w:jc w:val="center"/>
            </w:pPr>
            <w:r>
              <w:rPr>
                <w:color w:val="000000"/>
                <w:sz w:val="24"/>
              </w:rPr>
              <w:t>23.85%</w:t>
            </w:r>
          </w:p>
        </w:tc>
        <w:tc>
          <w:tcPr>
            <w:tcW w:w="1285" w:type="dxa"/>
            <w:vAlign w:val="center"/>
          </w:tcPr>
          <w:p w:rsidR="00FB0947" w:rsidRDefault="00DB39E5">
            <w:pPr>
              <w:jc w:val="center"/>
            </w:pPr>
            <w:r>
              <w:rPr>
                <w:color w:val="000000"/>
                <w:sz w:val="24"/>
              </w:rPr>
              <w:t>0.01%</w:t>
            </w:r>
          </w:p>
        </w:tc>
      </w:tr>
      <w:tr w:rsidR="00FB0947">
        <w:tc>
          <w:tcPr>
            <w:tcW w:w="1286" w:type="dxa"/>
            <w:vAlign w:val="center"/>
          </w:tcPr>
          <w:p w:rsidR="00FB0947" w:rsidRDefault="00DB39E5">
            <w:pPr>
              <w:jc w:val="left"/>
            </w:pPr>
            <w:r>
              <w:rPr>
                <w:color w:val="000000"/>
                <w:sz w:val="24"/>
              </w:rPr>
              <w:t>自基金合同生效起至今</w:t>
            </w:r>
          </w:p>
        </w:tc>
        <w:tc>
          <w:tcPr>
            <w:tcW w:w="1286" w:type="dxa"/>
            <w:vAlign w:val="center"/>
          </w:tcPr>
          <w:p w:rsidR="00FB0947" w:rsidRDefault="00DB39E5">
            <w:pPr>
              <w:jc w:val="center"/>
            </w:pPr>
            <w:r>
              <w:rPr>
                <w:color w:val="000000"/>
                <w:sz w:val="24"/>
              </w:rPr>
              <w:t>34.24%</w:t>
            </w:r>
          </w:p>
        </w:tc>
        <w:tc>
          <w:tcPr>
            <w:tcW w:w="1286" w:type="dxa"/>
            <w:vAlign w:val="center"/>
          </w:tcPr>
          <w:p w:rsidR="00FB0947" w:rsidRDefault="00DB39E5">
            <w:pPr>
              <w:jc w:val="center"/>
            </w:pPr>
            <w:r>
              <w:rPr>
                <w:color w:val="000000"/>
                <w:sz w:val="24"/>
              </w:rPr>
              <w:t>0.09%</w:t>
            </w:r>
          </w:p>
        </w:tc>
        <w:tc>
          <w:tcPr>
            <w:tcW w:w="1285" w:type="dxa"/>
            <w:vAlign w:val="center"/>
          </w:tcPr>
          <w:p w:rsidR="00FB0947" w:rsidRDefault="00DB39E5">
            <w:pPr>
              <w:jc w:val="center"/>
            </w:pPr>
            <w:r>
              <w:rPr>
                <w:color w:val="000000"/>
                <w:sz w:val="24"/>
              </w:rPr>
              <w:t>5.06%</w:t>
            </w:r>
          </w:p>
        </w:tc>
        <w:tc>
          <w:tcPr>
            <w:tcW w:w="1285" w:type="dxa"/>
            <w:vAlign w:val="center"/>
          </w:tcPr>
          <w:p w:rsidR="00FB0947" w:rsidRDefault="00DB39E5">
            <w:pPr>
              <w:jc w:val="center"/>
            </w:pPr>
            <w:r>
              <w:rPr>
                <w:color w:val="000000"/>
                <w:sz w:val="24"/>
              </w:rPr>
              <w:t>0.09%</w:t>
            </w:r>
          </w:p>
        </w:tc>
        <w:tc>
          <w:tcPr>
            <w:tcW w:w="1285" w:type="dxa"/>
            <w:vAlign w:val="center"/>
          </w:tcPr>
          <w:p w:rsidR="00FB0947" w:rsidRDefault="00DB39E5">
            <w:pPr>
              <w:jc w:val="center"/>
            </w:pPr>
            <w:r>
              <w:rPr>
                <w:color w:val="000000"/>
                <w:sz w:val="24"/>
              </w:rPr>
              <w:t>29.18%</w:t>
            </w:r>
          </w:p>
        </w:tc>
        <w:tc>
          <w:tcPr>
            <w:tcW w:w="1285" w:type="dxa"/>
            <w:vAlign w:val="center"/>
          </w:tcPr>
          <w:p w:rsidR="00FB0947" w:rsidRDefault="00DB39E5">
            <w:pPr>
              <w:jc w:val="center"/>
            </w:pPr>
            <w:r>
              <w:rPr>
                <w:color w:val="000000"/>
                <w:sz w:val="24"/>
              </w:rPr>
              <w:t>0.00%</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w:t>
      </w:r>
      <w:proofErr w:type="gramStart"/>
      <w:r w:rsidRPr="00E25C2A">
        <w:rPr>
          <w:kern w:val="0"/>
          <w:sz w:val="24"/>
        </w:rPr>
        <w:t>债综合</w:t>
      </w:r>
      <w:proofErr w:type="gramEnd"/>
      <w:r w:rsidRPr="00E25C2A">
        <w:rPr>
          <w:kern w:val="0"/>
          <w:sz w:val="24"/>
        </w:rPr>
        <w:t>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交银双轮动债券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w:t>
            </w:r>
            <w:r w:rsidRPr="00D65F82">
              <w:rPr>
                <w:rFonts w:hint="eastAsia"/>
                <w:color w:val="000000"/>
                <w:sz w:val="24"/>
              </w:rPr>
              <w:lastRenderedPageBreak/>
              <w:t>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份额净值</w:t>
            </w:r>
            <w:r w:rsidRPr="00D65F82">
              <w:rPr>
                <w:rFonts w:hint="eastAsia"/>
                <w:color w:val="000000"/>
                <w:sz w:val="24"/>
              </w:rPr>
              <w:lastRenderedPageBreak/>
              <w:t>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业绩比较</w:t>
            </w:r>
            <w:r w:rsidRPr="00D65F82">
              <w:rPr>
                <w:rFonts w:hint="eastAsia"/>
                <w:color w:val="000000"/>
                <w:sz w:val="24"/>
              </w:rPr>
              <w:lastRenderedPageBreak/>
              <w:t>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业绩比较</w:t>
            </w:r>
            <w:r w:rsidRPr="00D65F82">
              <w:rPr>
                <w:rFonts w:hint="eastAsia"/>
                <w:color w:val="000000"/>
                <w:sz w:val="24"/>
              </w:rPr>
              <w:lastRenderedPageBreak/>
              <w:t>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lastRenderedPageBreak/>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FB0947">
        <w:tc>
          <w:tcPr>
            <w:tcW w:w="1286" w:type="dxa"/>
            <w:vAlign w:val="center"/>
          </w:tcPr>
          <w:p w:rsidR="00FB0947" w:rsidRDefault="00DB39E5">
            <w:pPr>
              <w:jc w:val="left"/>
            </w:pPr>
            <w:r>
              <w:rPr>
                <w:color w:val="000000"/>
                <w:sz w:val="24"/>
              </w:rPr>
              <w:t>过去三个月</w:t>
            </w:r>
          </w:p>
        </w:tc>
        <w:tc>
          <w:tcPr>
            <w:tcW w:w="1286" w:type="dxa"/>
            <w:vAlign w:val="center"/>
          </w:tcPr>
          <w:p w:rsidR="00FB0947" w:rsidRDefault="00DB39E5">
            <w:pPr>
              <w:jc w:val="center"/>
            </w:pPr>
            <w:r>
              <w:rPr>
                <w:color w:val="000000"/>
                <w:sz w:val="24"/>
              </w:rPr>
              <w:t>2.27%</w:t>
            </w:r>
          </w:p>
        </w:tc>
        <w:tc>
          <w:tcPr>
            <w:tcW w:w="1286" w:type="dxa"/>
            <w:vAlign w:val="center"/>
          </w:tcPr>
          <w:p w:rsidR="00FB0947" w:rsidRDefault="00DB39E5">
            <w:pPr>
              <w:jc w:val="center"/>
            </w:pPr>
            <w:r>
              <w:rPr>
                <w:color w:val="000000"/>
                <w:sz w:val="24"/>
              </w:rPr>
              <w:t>0.06%</w:t>
            </w:r>
          </w:p>
        </w:tc>
        <w:tc>
          <w:tcPr>
            <w:tcW w:w="1285" w:type="dxa"/>
            <w:vAlign w:val="center"/>
          </w:tcPr>
          <w:p w:rsidR="00FB0947" w:rsidRDefault="00DB39E5">
            <w:pPr>
              <w:jc w:val="center"/>
            </w:pPr>
            <w:r>
              <w:rPr>
                <w:color w:val="000000"/>
                <w:sz w:val="24"/>
              </w:rPr>
              <w:t>1.99%</w:t>
            </w:r>
          </w:p>
        </w:tc>
        <w:tc>
          <w:tcPr>
            <w:tcW w:w="1285" w:type="dxa"/>
            <w:vAlign w:val="center"/>
          </w:tcPr>
          <w:p w:rsidR="00FB0947" w:rsidRDefault="00DB39E5">
            <w:pPr>
              <w:jc w:val="center"/>
            </w:pPr>
            <w:r>
              <w:rPr>
                <w:color w:val="000000"/>
                <w:sz w:val="24"/>
              </w:rPr>
              <w:t>0.05%</w:t>
            </w:r>
          </w:p>
        </w:tc>
        <w:tc>
          <w:tcPr>
            <w:tcW w:w="1285" w:type="dxa"/>
            <w:vAlign w:val="center"/>
          </w:tcPr>
          <w:p w:rsidR="00FB0947" w:rsidRDefault="00DB39E5">
            <w:pPr>
              <w:jc w:val="center"/>
            </w:pPr>
            <w:r>
              <w:rPr>
                <w:color w:val="000000"/>
                <w:sz w:val="24"/>
              </w:rPr>
              <w:t>0.28%</w:t>
            </w:r>
          </w:p>
        </w:tc>
        <w:tc>
          <w:tcPr>
            <w:tcW w:w="1285" w:type="dxa"/>
            <w:vAlign w:val="center"/>
          </w:tcPr>
          <w:p w:rsidR="00FB0947" w:rsidRDefault="00DB39E5">
            <w:pPr>
              <w:jc w:val="center"/>
            </w:pPr>
            <w:r>
              <w:rPr>
                <w:color w:val="000000"/>
                <w:sz w:val="24"/>
              </w:rPr>
              <w:t>0.01%</w:t>
            </w:r>
          </w:p>
        </w:tc>
      </w:tr>
      <w:tr w:rsidR="00FB0947">
        <w:tc>
          <w:tcPr>
            <w:tcW w:w="1286" w:type="dxa"/>
            <w:vAlign w:val="center"/>
          </w:tcPr>
          <w:p w:rsidR="00FB0947" w:rsidRDefault="00DB39E5">
            <w:pPr>
              <w:jc w:val="left"/>
            </w:pPr>
            <w:r>
              <w:rPr>
                <w:color w:val="000000"/>
                <w:sz w:val="24"/>
              </w:rPr>
              <w:t>过去六个月</w:t>
            </w:r>
          </w:p>
        </w:tc>
        <w:tc>
          <w:tcPr>
            <w:tcW w:w="1286" w:type="dxa"/>
            <w:vAlign w:val="center"/>
          </w:tcPr>
          <w:p w:rsidR="00FB0947" w:rsidRDefault="00DB39E5">
            <w:pPr>
              <w:jc w:val="center"/>
            </w:pPr>
            <w:r>
              <w:rPr>
                <w:color w:val="000000"/>
                <w:sz w:val="24"/>
              </w:rPr>
              <w:t>4.51%</w:t>
            </w:r>
          </w:p>
        </w:tc>
        <w:tc>
          <w:tcPr>
            <w:tcW w:w="1286" w:type="dxa"/>
            <w:vAlign w:val="center"/>
          </w:tcPr>
          <w:p w:rsidR="00FB0947" w:rsidRDefault="00DB39E5">
            <w:pPr>
              <w:jc w:val="center"/>
            </w:pPr>
            <w:r>
              <w:rPr>
                <w:color w:val="000000"/>
                <w:sz w:val="24"/>
              </w:rPr>
              <w:t>0.07%</w:t>
            </w:r>
          </w:p>
        </w:tc>
        <w:tc>
          <w:tcPr>
            <w:tcW w:w="1285" w:type="dxa"/>
            <w:vAlign w:val="center"/>
          </w:tcPr>
          <w:p w:rsidR="00FB0947" w:rsidRDefault="00DB39E5">
            <w:pPr>
              <w:jc w:val="center"/>
            </w:pPr>
            <w:r>
              <w:rPr>
                <w:color w:val="000000"/>
                <w:sz w:val="24"/>
              </w:rPr>
              <w:t>2.57%</w:t>
            </w:r>
          </w:p>
        </w:tc>
        <w:tc>
          <w:tcPr>
            <w:tcW w:w="1285" w:type="dxa"/>
            <w:vAlign w:val="center"/>
          </w:tcPr>
          <w:p w:rsidR="00FB0947" w:rsidRDefault="00DB39E5">
            <w:pPr>
              <w:jc w:val="center"/>
            </w:pPr>
            <w:r>
              <w:rPr>
                <w:color w:val="000000"/>
                <w:sz w:val="24"/>
              </w:rPr>
              <w:t>0.06%</w:t>
            </w:r>
          </w:p>
        </w:tc>
        <w:tc>
          <w:tcPr>
            <w:tcW w:w="1285" w:type="dxa"/>
            <w:vAlign w:val="center"/>
          </w:tcPr>
          <w:p w:rsidR="00FB0947" w:rsidRDefault="00DB39E5">
            <w:pPr>
              <w:jc w:val="center"/>
            </w:pPr>
            <w:r>
              <w:rPr>
                <w:color w:val="000000"/>
                <w:sz w:val="24"/>
              </w:rPr>
              <w:t>1.94%</w:t>
            </w:r>
          </w:p>
        </w:tc>
        <w:tc>
          <w:tcPr>
            <w:tcW w:w="1285" w:type="dxa"/>
            <w:vAlign w:val="center"/>
          </w:tcPr>
          <w:p w:rsidR="00FB0947" w:rsidRDefault="00DB39E5">
            <w:pPr>
              <w:jc w:val="center"/>
            </w:pPr>
            <w:r>
              <w:rPr>
                <w:color w:val="000000"/>
                <w:sz w:val="24"/>
              </w:rPr>
              <w:t>0.01%</w:t>
            </w:r>
          </w:p>
        </w:tc>
      </w:tr>
      <w:tr w:rsidR="00FB0947">
        <w:tc>
          <w:tcPr>
            <w:tcW w:w="1286" w:type="dxa"/>
            <w:vAlign w:val="center"/>
          </w:tcPr>
          <w:p w:rsidR="00FB0947" w:rsidRDefault="00DB39E5">
            <w:pPr>
              <w:jc w:val="left"/>
            </w:pPr>
            <w:r>
              <w:rPr>
                <w:color w:val="000000"/>
                <w:sz w:val="24"/>
              </w:rPr>
              <w:t>过去一年</w:t>
            </w:r>
          </w:p>
        </w:tc>
        <w:tc>
          <w:tcPr>
            <w:tcW w:w="1286" w:type="dxa"/>
            <w:vAlign w:val="center"/>
          </w:tcPr>
          <w:p w:rsidR="00FB0947" w:rsidRDefault="00DB39E5">
            <w:pPr>
              <w:jc w:val="center"/>
            </w:pPr>
            <w:r>
              <w:rPr>
                <w:color w:val="000000"/>
                <w:sz w:val="24"/>
              </w:rPr>
              <w:t>7.84%</w:t>
            </w:r>
          </w:p>
        </w:tc>
        <w:tc>
          <w:tcPr>
            <w:tcW w:w="1286" w:type="dxa"/>
            <w:vAlign w:val="center"/>
          </w:tcPr>
          <w:p w:rsidR="00FB0947" w:rsidRDefault="00DB39E5">
            <w:pPr>
              <w:jc w:val="center"/>
            </w:pPr>
            <w:r>
              <w:rPr>
                <w:color w:val="000000"/>
                <w:sz w:val="24"/>
              </w:rPr>
              <w:t>0.07%</w:t>
            </w:r>
          </w:p>
        </w:tc>
        <w:tc>
          <w:tcPr>
            <w:tcW w:w="1285" w:type="dxa"/>
            <w:vAlign w:val="center"/>
          </w:tcPr>
          <w:p w:rsidR="00FB0947" w:rsidRDefault="00DB39E5">
            <w:pPr>
              <w:jc w:val="center"/>
            </w:pPr>
            <w:r>
              <w:rPr>
                <w:color w:val="000000"/>
                <w:sz w:val="24"/>
              </w:rPr>
              <w:t>4.79%</w:t>
            </w:r>
          </w:p>
        </w:tc>
        <w:tc>
          <w:tcPr>
            <w:tcW w:w="1285" w:type="dxa"/>
            <w:vAlign w:val="center"/>
          </w:tcPr>
          <w:p w:rsidR="00FB0947" w:rsidRDefault="00DB39E5">
            <w:pPr>
              <w:jc w:val="center"/>
            </w:pPr>
            <w:r>
              <w:rPr>
                <w:color w:val="000000"/>
                <w:sz w:val="24"/>
              </w:rPr>
              <w:t>0.07%</w:t>
            </w:r>
          </w:p>
        </w:tc>
        <w:tc>
          <w:tcPr>
            <w:tcW w:w="1285" w:type="dxa"/>
            <w:vAlign w:val="center"/>
          </w:tcPr>
          <w:p w:rsidR="00FB0947" w:rsidRDefault="00DB39E5">
            <w:pPr>
              <w:jc w:val="center"/>
            </w:pPr>
            <w:r>
              <w:rPr>
                <w:color w:val="000000"/>
                <w:sz w:val="24"/>
              </w:rPr>
              <w:t>3.05%</w:t>
            </w:r>
          </w:p>
        </w:tc>
        <w:tc>
          <w:tcPr>
            <w:tcW w:w="1285" w:type="dxa"/>
            <w:vAlign w:val="center"/>
          </w:tcPr>
          <w:p w:rsidR="00FB0947" w:rsidRDefault="00DB39E5">
            <w:pPr>
              <w:jc w:val="center"/>
            </w:pPr>
            <w:r>
              <w:rPr>
                <w:color w:val="000000"/>
                <w:sz w:val="24"/>
              </w:rPr>
              <w:t>0.00%</w:t>
            </w:r>
          </w:p>
        </w:tc>
      </w:tr>
      <w:tr w:rsidR="00FB0947">
        <w:tc>
          <w:tcPr>
            <w:tcW w:w="1286" w:type="dxa"/>
            <w:vAlign w:val="center"/>
          </w:tcPr>
          <w:p w:rsidR="00FB0947" w:rsidRDefault="00DB39E5">
            <w:pPr>
              <w:jc w:val="left"/>
            </w:pPr>
            <w:r>
              <w:rPr>
                <w:color w:val="000000"/>
                <w:sz w:val="24"/>
              </w:rPr>
              <w:t>过去三年</w:t>
            </w:r>
          </w:p>
        </w:tc>
        <w:tc>
          <w:tcPr>
            <w:tcW w:w="1286" w:type="dxa"/>
            <w:vAlign w:val="center"/>
          </w:tcPr>
          <w:p w:rsidR="00FB0947" w:rsidRDefault="00DB39E5">
            <w:pPr>
              <w:jc w:val="center"/>
            </w:pPr>
            <w:r>
              <w:rPr>
                <w:color w:val="000000"/>
                <w:sz w:val="24"/>
              </w:rPr>
              <w:t>10.55%</w:t>
            </w:r>
          </w:p>
        </w:tc>
        <w:tc>
          <w:tcPr>
            <w:tcW w:w="1286" w:type="dxa"/>
            <w:vAlign w:val="center"/>
          </w:tcPr>
          <w:p w:rsidR="00FB0947" w:rsidRDefault="00DB39E5">
            <w:pPr>
              <w:jc w:val="center"/>
            </w:pPr>
            <w:r>
              <w:rPr>
                <w:color w:val="000000"/>
                <w:sz w:val="24"/>
              </w:rPr>
              <w:t>0.08%</w:t>
            </w:r>
          </w:p>
        </w:tc>
        <w:tc>
          <w:tcPr>
            <w:tcW w:w="1285" w:type="dxa"/>
            <w:vAlign w:val="center"/>
          </w:tcPr>
          <w:p w:rsidR="00FB0947" w:rsidRDefault="00DB39E5">
            <w:pPr>
              <w:jc w:val="center"/>
            </w:pPr>
            <w:r>
              <w:rPr>
                <w:color w:val="000000"/>
                <w:sz w:val="24"/>
              </w:rPr>
              <w:t>-0.41%</w:t>
            </w:r>
          </w:p>
        </w:tc>
        <w:tc>
          <w:tcPr>
            <w:tcW w:w="1285" w:type="dxa"/>
            <w:vAlign w:val="center"/>
          </w:tcPr>
          <w:p w:rsidR="00FB0947" w:rsidRDefault="00DB39E5">
            <w:pPr>
              <w:jc w:val="center"/>
            </w:pPr>
            <w:r>
              <w:rPr>
                <w:color w:val="000000"/>
                <w:sz w:val="24"/>
              </w:rPr>
              <w:t>0.08%</w:t>
            </w:r>
          </w:p>
        </w:tc>
        <w:tc>
          <w:tcPr>
            <w:tcW w:w="1285" w:type="dxa"/>
            <w:vAlign w:val="center"/>
          </w:tcPr>
          <w:p w:rsidR="00FB0947" w:rsidRDefault="00DB39E5">
            <w:pPr>
              <w:jc w:val="center"/>
            </w:pPr>
            <w:r>
              <w:rPr>
                <w:color w:val="000000"/>
                <w:sz w:val="24"/>
              </w:rPr>
              <w:t>10.96%</w:t>
            </w:r>
          </w:p>
        </w:tc>
        <w:tc>
          <w:tcPr>
            <w:tcW w:w="1285" w:type="dxa"/>
            <w:vAlign w:val="center"/>
          </w:tcPr>
          <w:p w:rsidR="00FB0947" w:rsidRDefault="00DB39E5">
            <w:pPr>
              <w:jc w:val="center"/>
            </w:pPr>
            <w:r>
              <w:rPr>
                <w:color w:val="000000"/>
                <w:sz w:val="24"/>
              </w:rPr>
              <w:t>0.00%</w:t>
            </w:r>
          </w:p>
        </w:tc>
      </w:tr>
      <w:tr w:rsidR="00FB0947">
        <w:tc>
          <w:tcPr>
            <w:tcW w:w="1286" w:type="dxa"/>
            <w:vAlign w:val="center"/>
          </w:tcPr>
          <w:p w:rsidR="00FB0947" w:rsidRDefault="00DB39E5">
            <w:pPr>
              <w:jc w:val="left"/>
            </w:pPr>
            <w:r>
              <w:rPr>
                <w:color w:val="000000"/>
                <w:sz w:val="24"/>
              </w:rPr>
              <w:t>过去五年</w:t>
            </w:r>
          </w:p>
        </w:tc>
        <w:tc>
          <w:tcPr>
            <w:tcW w:w="1286" w:type="dxa"/>
            <w:vAlign w:val="center"/>
          </w:tcPr>
          <w:p w:rsidR="00FB0947" w:rsidRDefault="00DB39E5">
            <w:pPr>
              <w:jc w:val="center"/>
            </w:pPr>
            <w:r>
              <w:rPr>
                <w:color w:val="000000"/>
                <w:sz w:val="24"/>
              </w:rPr>
              <w:t>30.99%</w:t>
            </w:r>
          </w:p>
        </w:tc>
        <w:tc>
          <w:tcPr>
            <w:tcW w:w="1286" w:type="dxa"/>
            <w:vAlign w:val="center"/>
          </w:tcPr>
          <w:p w:rsidR="00FB0947" w:rsidRDefault="00DB39E5">
            <w:pPr>
              <w:jc w:val="center"/>
            </w:pPr>
            <w:r>
              <w:rPr>
                <w:color w:val="000000"/>
                <w:sz w:val="24"/>
              </w:rPr>
              <w:t>0.10%</w:t>
            </w:r>
          </w:p>
        </w:tc>
        <w:tc>
          <w:tcPr>
            <w:tcW w:w="1285" w:type="dxa"/>
            <w:vAlign w:val="center"/>
          </w:tcPr>
          <w:p w:rsidR="00FB0947" w:rsidRDefault="00DB39E5">
            <w:pPr>
              <w:jc w:val="center"/>
            </w:pPr>
            <w:r>
              <w:rPr>
                <w:color w:val="000000"/>
                <w:sz w:val="24"/>
              </w:rPr>
              <w:t>10.54%</w:t>
            </w:r>
          </w:p>
        </w:tc>
        <w:tc>
          <w:tcPr>
            <w:tcW w:w="1285" w:type="dxa"/>
            <w:vAlign w:val="center"/>
          </w:tcPr>
          <w:p w:rsidR="00FB0947" w:rsidRDefault="00DB39E5">
            <w:pPr>
              <w:jc w:val="center"/>
            </w:pPr>
            <w:r>
              <w:rPr>
                <w:color w:val="000000"/>
                <w:sz w:val="24"/>
              </w:rPr>
              <w:t>0.09%</w:t>
            </w:r>
          </w:p>
        </w:tc>
        <w:tc>
          <w:tcPr>
            <w:tcW w:w="1285" w:type="dxa"/>
            <w:vAlign w:val="center"/>
          </w:tcPr>
          <w:p w:rsidR="00FB0947" w:rsidRDefault="00DB39E5">
            <w:pPr>
              <w:jc w:val="center"/>
            </w:pPr>
            <w:r>
              <w:rPr>
                <w:color w:val="000000"/>
                <w:sz w:val="24"/>
              </w:rPr>
              <w:t>20.45%</w:t>
            </w:r>
          </w:p>
        </w:tc>
        <w:tc>
          <w:tcPr>
            <w:tcW w:w="1285" w:type="dxa"/>
            <w:vAlign w:val="center"/>
          </w:tcPr>
          <w:p w:rsidR="00FB0947" w:rsidRDefault="00DB39E5">
            <w:pPr>
              <w:jc w:val="center"/>
            </w:pPr>
            <w:r>
              <w:rPr>
                <w:color w:val="000000"/>
                <w:sz w:val="24"/>
              </w:rPr>
              <w:t>0.01%</w:t>
            </w:r>
          </w:p>
        </w:tc>
      </w:tr>
      <w:tr w:rsidR="00FB0947">
        <w:tc>
          <w:tcPr>
            <w:tcW w:w="1286" w:type="dxa"/>
            <w:vAlign w:val="center"/>
          </w:tcPr>
          <w:p w:rsidR="00FB0947" w:rsidRDefault="00DB39E5">
            <w:pPr>
              <w:jc w:val="left"/>
            </w:pPr>
            <w:r>
              <w:rPr>
                <w:color w:val="000000"/>
                <w:sz w:val="24"/>
              </w:rPr>
              <w:t>自基金合同生效起至今</w:t>
            </w:r>
          </w:p>
        </w:tc>
        <w:tc>
          <w:tcPr>
            <w:tcW w:w="1286" w:type="dxa"/>
            <w:vAlign w:val="center"/>
          </w:tcPr>
          <w:p w:rsidR="00FB0947" w:rsidRDefault="00DB39E5">
            <w:pPr>
              <w:jc w:val="center"/>
            </w:pPr>
            <w:r>
              <w:rPr>
                <w:color w:val="000000"/>
                <w:sz w:val="24"/>
              </w:rPr>
              <w:t>30.45%</w:t>
            </w:r>
          </w:p>
        </w:tc>
        <w:tc>
          <w:tcPr>
            <w:tcW w:w="1286" w:type="dxa"/>
            <w:vAlign w:val="center"/>
          </w:tcPr>
          <w:p w:rsidR="00FB0947" w:rsidRDefault="00DB39E5">
            <w:pPr>
              <w:jc w:val="center"/>
            </w:pPr>
            <w:r>
              <w:rPr>
                <w:color w:val="000000"/>
                <w:sz w:val="24"/>
              </w:rPr>
              <w:t>0.09%</w:t>
            </w:r>
          </w:p>
        </w:tc>
        <w:tc>
          <w:tcPr>
            <w:tcW w:w="1285" w:type="dxa"/>
            <w:vAlign w:val="center"/>
          </w:tcPr>
          <w:p w:rsidR="00FB0947" w:rsidRDefault="00DB39E5">
            <w:pPr>
              <w:jc w:val="center"/>
            </w:pPr>
            <w:r>
              <w:rPr>
                <w:color w:val="000000"/>
                <w:sz w:val="24"/>
              </w:rPr>
              <w:t>5.06%</w:t>
            </w:r>
          </w:p>
        </w:tc>
        <w:tc>
          <w:tcPr>
            <w:tcW w:w="1285" w:type="dxa"/>
            <w:vAlign w:val="center"/>
          </w:tcPr>
          <w:p w:rsidR="00FB0947" w:rsidRDefault="00DB39E5">
            <w:pPr>
              <w:jc w:val="center"/>
            </w:pPr>
            <w:r>
              <w:rPr>
                <w:color w:val="000000"/>
                <w:sz w:val="24"/>
              </w:rPr>
              <w:t>0.09%</w:t>
            </w:r>
          </w:p>
        </w:tc>
        <w:tc>
          <w:tcPr>
            <w:tcW w:w="1285" w:type="dxa"/>
            <w:vAlign w:val="center"/>
          </w:tcPr>
          <w:p w:rsidR="00FB0947" w:rsidRDefault="00DB39E5">
            <w:pPr>
              <w:jc w:val="center"/>
            </w:pPr>
            <w:r>
              <w:rPr>
                <w:color w:val="000000"/>
                <w:sz w:val="24"/>
              </w:rPr>
              <w:t>25.39%</w:t>
            </w:r>
          </w:p>
        </w:tc>
        <w:tc>
          <w:tcPr>
            <w:tcW w:w="1285" w:type="dxa"/>
            <w:vAlign w:val="center"/>
          </w:tcPr>
          <w:p w:rsidR="00FB0947" w:rsidRDefault="00DB39E5">
            <w:pPr>
              <w:jc w:val="center"/>
            </w:pPr>
            <w:r>
              <w:rPr>
                <w:color w:val="000000"/>
                <w:sz w:val="24"/>
              </w:rPr>
              <w:t>0.00%</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w:t>
      </w:r>
      <w:proofErr w:type="gramStart"/>
      <w:r w:rsidRPr="00E25C2A">
        <w:rPr>
          <w:kern w:val="0"/>
          <w:sz w:val="24"/>
        </w:rPr>
        <w:t>债综合</w:t>
      </w:r>
      <w:proofErr w:type="gramEnd"/>
      <w:r w:rsidRPr="00E25C2A">
        <w:rPr>
          <w:kern w:val="0"/>
          <w:sz w:val="24"/>
        </w:rPr>
        <w:t>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交银双轮动债券</w:t>
      </w:r>
      <w:r w:rsidRPr="001B48EA">
        <w:rPr>
          <w:rFonts w:ascii="Times New Roman" w:hAnsi="Times New Roman"/>
          <w:color w:val="auto"/>
        </w:rPr>
        <w:t>A/B</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交银双轮动债券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过去五年</w:t>
      </w:r>
      <w:r w:rsidRPr="00C2179A">
        <w:rPr>
          <w:rFonts w:ascii="Times New Roman" w:hAnsi="Times New Roman" w:hint="eastAsia"/>
          <w:kern w:val="0"/>
          <w:szCs w:val="24"/>
        </w:rPr>
        <w:t>基金每年净值增长率及其与同期业绩比较基准收益率的比较</w:t>
      </w:r>
    </w:p>
    <w:p w:rsidR="001A59F9" w:rsidRPr="00E25C2A" w:rsidRDefault="001A59F9" w:rsidP="00E25C2A">
      <w:pPr>
        <w:tabs>
          <w:tab w:val="left" w:pos="426"/>
        </w:tabs>
        <w:spacing w:before="29" w:line="288" w:lineRule="auto"/>
        <w:jc w:val="left"/>
        <w:rPr>
          <w:kern w:val="0"/>
          <w:sz w:val="24"/>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交银双轮动债券</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FB0947">
        <w:tc>
          <w:tcPr>
            <w:tcW w:w="1276" w:type="dxa"/>
            <w:vAlign w:val="center"/>
          </w:tcPr>
          <w:p w:rsidR="00FB0947" w:rsidRDefault="00DB39E5">
            <w:pPr>
              <w:jc w:val="center"/>
            </w:pPr>
            <w:r>
              <w:rPr>
                <w:color w:val="000000"/>
                <w:sz w:val="24"/>
              </w:rPr>
              <w:t>2018</w:t>
            </w:r>
            <w:r>
              <w:rPr>
                <w:color w:val="000000"/>
                <w:sz w:val="24"/>
              </w:rPr>
              <w:t>年</w:t>
            </w:r>
          </w:p>
        </w:tc>
        <w:tc>
          <w:tcPr>
            <w:tcW w:w="1701" w:type="dxa"/>
            <w:vAlign w:val="center"/>
          </w:tcPr>
          <w:p w:rsidR="00FB0947" w:rsidRDefault="00DB39E5">
            <w:pPr>
              <w:jc w:val="right"/>
            </w:pPr>
            <w:r>
              <w:rPr>
                <w:color w:val="000000"/>
                <w:sz w:val="24"/>
              </w:rPr>
              <w:t>0.480</w:t>
            </w:r>
          </w:p>
        </w:tc>
        <w:tc>
          <w:tcPr>
            <w:tcW w:w="1701" w:type="dxa"/>
            <w:vAlign w:val="center"/>
          </w:tcPr>
          <w:p w:rsidR="00FB0947" w:rsidRDefault="00DB39E5">
            <w:pPr>
              <w:jc w:val="right"/>
            </w:pPr>
            <w:r>
              <w:rPr>
                <w:color w:val="000000"/>
                <w:sz w:val="24"/>
              </w:rPr>
              <w:t>56,622,269.49</w:t>
            </w:r>
          </w:p>
        </w:tc>
        <w:tc>
          <w:tcPr>
            <w:tcW w:w="1701" w:type="dxa"/>
            <w:vAlign w:val="center"/>
          </w:tcPr>
          <w:p w:rsidR="00FB0947" w:rsidRDefault="00DB39E5">
            <w:pPr>
              <w:jc w:val="right"/>
            </w:pPr>
            <w:r>
              <w:rPr>
                <w:color w:val="000000"/>
                <w:sz w:val="24"/>
              </w:rPr>
              <w:t>9,969,232.71</w:t>
            </w:r>
          </w:p>
        </w:tc>
        <w:tc>
          <w:tcPr>
            <w:tcW w:w="1559" w:type="dxa"/>
            <w:vAlign w:val="center"/>
          </w:tcPr>
          <w:p w:rsidR="00FB0947" w:rsidRDefault="00DB39E5">
            <w:pPr>
              <w:jc w:val="right"/>
            </w:pPr>
            <w:r>
              <w:rPr>
                <w:color w:val="000000"/>
                <w:sz w:val="24"/>
              </w:rPr>
              <w:t>66,591,502.20</w:t>
            </w:r>
          </w:p>
        </w:tc>
        <w:tc>
          <w:tcPr>
            <w:tcW w:w="1060" w:type="dxa"/>
            <w:vAlign w:val="center"/>
          </w:tcPr>
          <w:p w:rsidR="00FB0947" w:rsidRDefault="00DB39E5">
            <w:pPr>
              <w:jc w:val="left"/>
            </w:pPr>
            <w:r>
              <w:rPr>
                <w:color w:val="000000"/>
                <w:sz w:val="24"/>
              </w:rPr>
              <w:t>-</w:t>
            </w:r>
          </w:p>
        </w:tc>
      </w:tr>
      <w:tr w:rsidR="00FB0947">
        <w:tc>
          <w:tcPr>
            <w:tcW w:w="1276" w:type="dxa"/>
            <w:vAlign w:val="center"/>
          </w:tcPr>
          <w:p w:rsidR="00FB0947" w:rsidRDefault="00DB39E5">
            <w:pPr>
              <w:jc w:val="center"/>
            </w:pPr>
            <w:r>
              <w:rPr>
                <w:color w:val="000000"/>
                <w:sz w:val="24"/>
              </w:rPr>
              <w:t>2017</w:t>
            </w:r>
            <w:r>
              <w:rPr>
                <w:color w:val="000000"/>
                <w:sz w:val="24"/>
              </w:rPr>
              <w:t>年</w:t>
            </w:r>
          </w:p>
        </w:tc>
        <w:tc>
          <w:tcPr>
            <w:tcW w:w="1701" w:type="dxa"/>
            <w:vAlign w:val="center"/>
          </w:tcPr>
          <w:p w:rsidR="00FB0947" w:rsidRDefault="00DB39E5">
            <w:pPr>
              <w:jc w:val="right"/>
            </w:pPr>
            <w:r>
              <w:rPr>
                <w:color w:val="000000"/>
                <w:sz w:val="24"/>
              </w:rPr>
              <w:t>0.160</w:t>
            </w:r>
          </w:p>
        </w:tc>
        <w:tc>
          <w:tcPr>
            <w:tcW w:w="1701" w:type="dxa"/>
            <w:vAlign w:val="center"/>
          </w:tcPr>
          <w:p w:rsidR="00FB0947" w:rsidRDefault="00DB39E5">
            <w:pPr>
              <w:jc w:val="right"/>
            </w:pPr>
            <w:r>
              <w:rPr>
                <w:color w:val="000000"/>
                <w:sz w:val="24"/>
              </w:rPr>
              <w:t>37,244,326.46</w:t>
            </w:r>
          </w:p>
        </w:tc>
        <w:tc>
          <w:tcPr>
            <w:tcW w:w="1701" w:type="dxa"/>
            <w:vAlign w:val="center"/>
          </w:tcPr>
          <w:p w:rsidR="00FB0947" w:rsidRDefault="00DB39E5">
            <w:pPr>
              <w:jc w:val="right"/>
            </w:pPr>
            <w:r>
              <w:rPr>
                <w:color w:val="000000"/>
                <w:sz w:val="24"/>
              </w:rPr>
              <w:t>920,271.22</w:t>
            </w:r>
          </w:p>
        </w:tc>
        <w:tc>
          <w:tcPr>
            <w:tcW w:w="1559" w:type="dxa"/>
            <w:vAlign w:val="center"/>
          </w:tcPr>
          <w:p w:rsidR="00FB0947" w:rsidRDefault="00DB39E5">
            <w:pPr>
              <w:jc w:val="right"/>
            </w:pPr>
            <w:r>
              <w:rPr>
                <w:color w:val="000000"/>
                <w:sz w:val="24"/>
              </w:rPr>
              <w:t>38,164,597.68</w:t>
            </w:r>
          </w:p>
        </w:tc>
        <w:tc>
          <w:tcPr>
            <w:tcW w:w="1060" w:type="dxa"/>
            <w:vAlign w:val="center"/>
          </w:tcPr>
          <w:p w:rsidR="00FB0947" w:rsidRDefault="00DB39E5">
            <w:pPr>
              <w:jc w:val="left"/>
            </w:pPr>
            <w:r>
              <w:rPr>
                <w:color w:val="000000"/>
                <w:sz w:val="24"/>
              </w:rPr>
              <w:t>-</w:t>
            </w:r>
          </w:p>
        </w:tc>
      </w:tr>
      <w:tr w:rsidR="00FB0947">
        <w:tc>
          <w:tcPr>
            <w:tcW w:w="1276" w:type="dxa"/>
            <w:vAlign w:val="center"/>
          </w:tcPr>
          <w:p w:rsidR="00FB0947" w:rsidRDefault="00DB39E5">
            <w:pPr>
              <w:jc w:val="center"/>
            </w:pPr>
            <w:r>
              <w:rPr>
                <w:color w:val="000000"/>
                <w:sz w:val="24"/>
              </w:rPr>
              <w:t>2016</w:t>
            </w:r>
            <w:r>
              <w:rPr>
                <w:color w:val="000000"/>
                <w:sz w:val="24"/>
              </w:rPr>
              <w:t>年</w:t>
            </w:r>
          </w:p>
        </w:tc>
        <w:tc>
          <w:tcPr>
            <w:tcW w:w="1701" w:type="dxa"/>
            <w:vAlign w:val="center"/>
          </w:tcPr>
          <w:p w:rsidR="00FB0947" w:rsidRDefault="00DB39E5">
            <w:pPr>
              <w:jc w:val="right"/>
            </w:pPr>
            <w:r>
              <w:rPr>
                <w:color w:val="000000"/>
                <w:sz w:val="24"/>
              </w:rPr>
              <w:t>0.460</w:t>
            </w:r>
          </w:p>
        </w:tc>
        <w:tc>
          <w:tcPr>
            <w:tcW w:w="1701" w:type="dxa"/>
            <w:vAlign w:val="center"/>
          </w:tcPr>
          <w:p w:rsidR="00FB0947" w:rsidRDefault="00DB39E5">
            <w:pPr>
              <w:jc w:val="right"/>
            </w:pPr>
            <w:r>
              <w:rPr>
                <w:color w:val="000000"/>
                <w:sz w:val="24"/>
              </w:rPr>
              <w:t>135,297,890.51</w:t>
            </w:r>
          </w:p>
        </w:tc>
        <w:tc>
          <w:tcPr>
            <w:tcW w:w="1701" w:type="dxa"/>
            <w:vAlign w:val="center"/>
          </w:tcPr>
          <w:p w:rsidR="00FB0947" w:rsidRDefault="00DB39E5">
            <w:pPr>
              <w:jc w:val="right"/>
            </w:pPr>
            <w:r>
              <w:rPr>
                <w:color w:val="000000"/>
                <w:sz w:val="24"/>
              </w:rPr>
              <w:t>165,974.34</w:t>
            </w:r>
          </w:p>
        </w:tc>
        <w:tc>
          <w:tcPr>
            <w:tcW w:w="1559" w:type="dxa"/>
            <w:vAlign w:val="center"/>
          </w:tcPr>
          <w:p w:rsidR="00FB0947" w:rsidRDefault="00DB39E5">
            <w:pPr>
              <w:jc w:val="right"/>
            </w:pPr>
            <w:r>
              <w:rPr>
                <w:color w:val="000000"/>
                <w:sz w:val="24"/>
              </w:rPr>
              <w:t>135,463,864.85</w:t>
            </w:r>
          </w:p>
        </w:tc>
        <w:tc>
          <w:tcPr>
            <w:tcW w:w="1060" w:type="dxa"/>
            <w:vAlign w:val="center"/>
          </w:tcPr>
          <w:p w:rsidR="00FB0947" w:rsidRDefault="00DB39E5">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1.100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229,164,486.46</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11,055,478.27</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240,219,964.73</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交银双轮动债券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w:t>
            </w:r>
            <w:r w:rsidRPr="00595119">
              <w:rPr>
                <w:rFonts w:hint="eastAsia"/>
                <w:color w:val="000000"/>
                <w:sz w:val="24"/>
              </w:rPr>
              <w:lastRenderedPageBreak/>
              <w:t>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lastRenderedPageBreak/>
              <w:t>现金形式发放</w:t>
            </w:r>
            <w:r w:rsidRPr="00595119">
              <w:rPr>
                <w:rFonts w:hint="eastAsia"/>
                <w:color w:val="000000"/>
                <w:sz w:val="24"/>
              </w:rPr>
              <w:lastRenderedPageBreak/>
              <w:t>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lastRenderedPageBreak/>
              <w:t>再投资形式发</w:t>
            </w:r>
            <w:r w:rsidRPr="00595119">
              <w:rPr>
                <w:rFonts w:hint="eastAsia"/>
                <w:color w:val="000000"/>
                <w:sz w:val="24"/>
              </w:rPr>
              <w:lastRenderedPageBreak/>
              <w:t>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lastRenderedPageBreak/>
              <w:t>年度利润分</w:t>
            </w:r>
            <w:r w:rsidRPr="00595119">
              <w:rPr>
                <w:rFonts w:hint="eastAsia"/>
                <w:color w:val="000000"/>
                <w:sz w:val="24"/>
              </w:rPr>
              <w:lastRenderedPageBreak/>
              <w:t>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lastRenderedPageBreak/>
              <w:t>备注</w:t>
            </w:r>
          </w:p>
        </w:tc>
      </w:tr>
      <w:tr w:rsidR="00FB0947">
        <w:tc>
          <w:tcPr>
            <w:tcW w:w="1276" w:type="dxa"/>
            <w:vAlign w:val="center"/>
          </w:tcPr>
          <w:p w:rsidR="00FB0947" w:rsidRDefault="00DB39E5">
            <w:pPr>
              <w:jc w:val="center"/>
            </w:pPr>
            <w:r>
              <w:rPr>
                <w:color w:val="000000"/>
                <w:sz w:val="24"/>
              </w:rPr>
              <w:t>2018</w:t>
            </w:r>
            <w:r>
              <w:rPr>
                <w:color w:val="000000"/>
                <w:sz w:val="24"/>
              </w:rPr>
              <w:t>年</w:t>
            </w:r>
          </w:p>
        </w:tc>
        <w:tc>
          <w:tcPr>
            <w:tcW w:w="1701" w:type="dxa"/>
            <w:vAlign w:val="center"/>
          </w:tcPr>
          <w:p w:rsidR="00FB0947" w:rsidRDefault="00DB39E5">
            <w:pPr>
              <w:jc w:val="right"/>
            </w:pPr>
            <w:r>
              <w:rPr>
                <w:color w:val="000000"/>
                <w:sz w:val="24"/>
              </w:rPr>
              <w:t>0.480</w:t>
            </w:r>
          </w:p>
        </w:tc>
        <w:tc>
          <w:tcPr>
            <w:tcW w:w="1701" w:type="dxa"/>
            <w:vAlign w:val="center"/>
          </w:tcPr>
          <w:p w:rsidR="00FB0947" w:rsidRDefault="00DB39E5">
            <w:pPr>
              <w:jc w:val="right"/>
            </w:pPr>
            <w:r>
              <w:rPr>
                <w:color w:val="000000"/>
                <w:sz w:val="24"/>
              </w:rPr>
              <w:t>474,445.64</w:t>
            </w:r>
          </w:p>
        </w:tc>
        <w:tc>
          <w:tcPr>
            <w:tcW w:w="1701" w:type="dxa"/>
            <w:vAlign w:val="center"/>
          </w:tcPr>
          <w:p w:rsidR="00FB0947" w:rsidRDefault="00DB39E5">
            <w:pPr>
              <w:jc w:val="right"/>
            </w:pPr>
            <w:r>
              <w:rPr>
                <w:color w:val="000000"/>
                <w:sz w:val="24"/>
              </w:rPr>
              <w:t>244,637.88</w:t>
            </w:r>
          </w:p>
        </w:tc>
        <w:tc>
          <w:tcPr>
            <w:tcW w:w="1559" w:type="dxa"/>
            <w:vAlign w:val="center"/>
          </w:tcPr>
          <w:p w:rsidR="00FB0947" w:rsidRDefault="00DB39E5">
            <w:pPr>
              <w:jc w:val="right"/>
            </w:pPr>
            <w:r>
              <w:rPr>
                <w:color w:val="000000"/>
                <w:sz w:val="24"/>
              </w:rPr>
              <w:t>719,083.52</w:t>
            </w:r>
          </w:p>
        </w:tc>
        <w:tc>
          <w:tcPr>
            <w:tcW w:w="1060" w:type="dxa"/>
            <w:vAlign w:val="center"/>
          </w:tcPr>
          <w:p w:rsidR="00FB0947" w:rsidRDefault="00DB39E5">
            <w:pPr>
              <w:jc w:val="left"/>
            </w:pPr>
            <w:r>
              <w:rPr>
                <w:color w:val="000000"/>
                <w:sz w:val="24"/>
              </w:rPr>
              <w:t>-</w:t>
            </w:r>
          </w:p>
        </w:tc>
      </w:tr>
      <w:tr w:rsidR="00FB0947">
        <w:tc>
          <w:tcPr>
            <w:tcW w:w="1276" w:type="dxa"/>
            <w:vAlign w:val="center"/>
          </w:tcPr>
          <w:p w:rsidR="00FB0947" w:rsidRDefault="00DB39E5">
            <w:pPr>
              <w:jc w:val="center"/>
            </w:pPr>
            <w:r>
              <w:rPr>
                <w:color w:val="000000"/>
                <w:sz w:val="24"/>
              </w:rPr>
              <w:t>2017</w:t>
            </w:r>
            <w:r>
              <w:rPr>
                <w:color w:val="000000"/>
                <w:sz w:val="24"/>
              </w:rPr>
              <w:t>年</w:t>
            </w:r>
          </w:p>
        </w:tc>
        <w:tc>
          <w:tcPr>
            <w:tcW w:w="1701" w:type="dxa"/>
            <w:vAlign w:val="center"/>
          </w:tcPr>
          <w:p w:rsidR="00FB0947" w:rsidRDefault="00DB39E5">
            <w:pPr>
              <w:jc w:val="right"/>
            </w:pPr>
            <w:r>
              <w:rPr>
                <w:color w:val="000000"/>
                <w:sz w:val="24"/>
              </w:rPr>
              <w:t>-</w:t>
            </w:r>
          </w:p>
        </w:tc>
        <w:tc>
          <w:tcPr>
            <w:tcW w:w="1701" w:type="dxa"/>
            <w:vAlign w:val="center"/>
          </w:tcPr>
          <w:p w:rsidR="00FB0947" w:rsidRDefault="00DB39E5">
            <w:pPr>
              <w:jc w:val="right"/>
            </w:pPr>
            <w:r>
              <w:rPr>
                <w:color w:val="000000"/>
                <w:sz w:val="24"/>
              </w:rPr>
              <w:t>-</w:t>
            </w:r>
          </w:p>
        </w:tc>
        <w:tc>
          <w:tcPr>
            <w:tcW w:w="1701" w:type="dxa"/>
            <w:vAlign w:val="center"/>
          </w:tcPr>
          <w:p w:rsidR="00FB0947" w:rsidRDefault="00DB39E5">
            <w:pPr>
              <w:jc w:val="right"/>
            </w:pPr>
            <w:r>
              <w:rPr>
                <w:color w:val="000000"/>
                <w:sz w:val="24"/>
              </w:rPr>
              <w:t>-</w:t>
            </w:r>
          </w:p>
        </w:tc>
        <w:tc>
          <w:tcPr>
            <w:tcW w:w="1559" w:type="dxa"/>
            <w:vAlign w:val="center"/>
          </w:tcPr>
          <w:p w:rsidR="00FB0947" w:rsidRDefault="00DB39E5">
            <w:pPr>
              <w:jc w:val="right"/>
            </w:pPr>
            <w:r>
              <w:rPr>
                <w:color w:val="000000"/>
                <w:sz w:val="24"/>
              </w:rPr>
              <w:t>-</w:t>
            </w:r>
          </w:p>
        </w:tc>
        <w:tc>
          <w:tcPr>
            <w:tcW w:w="1060" w:type="dxa"/>
            <w:vAlign w:val="center"/>
          </w:tcPr>
          <w:p w:rsidR="00FB0947" w:rsidRDefault="00DB39E5">
            <w:pPr>
              <w:jc w:val="left"/>
            </w:pPr>
            <w:r>
              <w:rPr>
                <w:color w:val="000000"/>
                <w:sz w:val="24"/>
              </w:rPr>
              <w:t>-</w:t>
            </w:r>
          </w:p>
        </w:tc>
      </w:tr>
      <w:tr w:rsidR="00FB0947">
        <w:tc>
          <w:tcPr>
            <w:tcW w:w="1276" w:type="dxa"/>
            <w:vAlign w:val="center"/>
          </w:tcPr>
          <w:p w:rsidR="00FB0947" w:rsidRDefault="00DB39E5">
            <w:pPr>
              <w:jc w:val="center"/>
            </w:pPr>
            <w:r>
              <w:rPr>
                <w:color w:val="000000"/>
                <w:sz w:val="24"/>
              </w:rPr>
              <w:t>2016</w:t>
            </w:r>
            <w:r>
              <w:rPr>
                <w:color w:val="000000"/>
                <w:sz w:val="24"/>
              </w:rPr>
              <w:t>年</w:t>
            </w:r>
          </w:p>
        </w:tc>
        <w:tc>
          <w:tcPr>
            <w:tcW w:w="1701" w:type="dxa"/>
            <w:vAlign w:val="center"/>
          </w:tcPr>
          <w:p w:rsidR="00FB0947" w:rsidRDefault="00DB39E5">
            <w:pPr>
              <w:jc w:val="right"/>
            </w:pPr>
            <w:r>
              <w:rPr>
                <w:color w:val="000000"/>
                <w:sz w:val="24"/>
              </w:rPr>
              <w:t>0.370</w:t>
            </w:r>
          </w:p>
        </w:tc>
        <w:tc>
          <w:tcPr>
            <w:tcW w:w="1701" w:type="dxa"/>
            <w:vAlign w:val="center"/>
          </w:tcPr>
          <w:p w:rsidR="00FB0947" w:rsidRDefault="00DB39E5">
            <w:pPr>
              <w:jc w:val="right"/>
            </w:pPr>
            <w:r>
              <w:rPr>
                <w:color w:val="000000"/>
                <w:sz w:val="24"/>
              </w:rPr>
              <w:t>1,490,004.68</w:t>
            </w:r>
          </w:p>
        </w:tc>
        <w:tc>
          <w:tcPr>
            <w:tcW w:w="1701" w:type="dxa"/>
            <w:vAlign w:val="center"/>
          </w:tcPr>
          <w:p w:rsidR="00FB0947" w:rsidRDefault="00DB39E5">
            <w:pPr>
              <w:jc w:val="right"/>
            </w:pPr>
            <w:r>
              <w:rPr>
                <w:color w:val="000000"/>
                <w:sz w:val="24"/>
              </w:rPr>
              <w:t>350,927.62</w:t>
            </w:r>
          </w:p>
        </w:tc>
        <w:tc>
          <w:tcPr>
            <w:tcW w:w="1559" w:type="dxa"/>
            <w:vAlign w:val="center"/>
          </w:tcPr>
          <w:p w:rsidR="00FB0947" w:rsidRDefault="00DB39E5">
            <w:pPr>
              <w:jc w:val="right"/>
            </w:pPr>
            <w:r>
              <w:rPr>
                <w:color w:val="000000"/>
                <w:sz w:val="24"/>
              </w:rPr>
              <w:t>1,840,932.30</w:t>
            </w:r>
          </w:p>
        </w:tc>
        <w:tc>
          <w:tcPr>
            <w:tcW w:w="1060" w:type="dxa"/>
            <w:vAlign w:val="center"/>
          </w:tcPr>
          <w:p w:rsidR="00FB0947" w:rsidRDefault="00DB39E5">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0.850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1,964,450.32</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595,565.50</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2,560,015.82</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FB0947" w:rsidRDefault="00DB39E5">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proofErr w:type="gramStart"/>
            <w:r w:rsidRPr="00815ED7">
              <w:rPr>
                <w:rFonts w:hint="eastAsia"/>
                <w:color w:val="000000"/>
                <w:sz w:val="24"/>
              </w:rPr>
              <w:t>任本基金</w:t>
            </w:r>
            <w:proofErr w:type="gramEnd"/>
            <w:r w:rsidRPr="00815ED7">
              <w:rPr>
                <w:rFonts w:hint="eastAsia"/>
                <w:color w:val="000000"/>
                <w:sz w:val="24"/>
              </w:rPr>
              <w:t>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FB0947">
        <w:tc>
          <w:tcPr>
            <w:tcW w:w="1499" w:type="dxa"/>
            <w:vAlign w:val="center"/>
          </w:tcPr>
          <w:p w:rsidR="00FB0947" w:rsidRDefault="00DB39E5">
            <w:pPr>
              <w:jc w:val="center"/>
            </w:pPr>
            <w:r>
              <w:rPr>
                <w:color w:val="000000"/>
                <w:sz w:val="24"/>
              </w:rPr>
              <w:t>唐赟</w:t>
            </w:r>
          </w:p>
        </w:tc>
        <w:tc>
          <w:tcPr>
            <w:tcW w:w="1499" w:type="dxa"/>
            <w:vAlign w:val="center"/>
          </w:tcPr>
          <w:p w:rsidR="00FB0947" w:rsidRDefault="00DB39E5">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w:t>
            </w:r>
            <w:proofErr w:type="gramStart"/>
            <w:r>
              <w:rPr>
                <w:color w:val="000000"/>
                <w:sz w:val="24"/>
              </w:rPr>
              <w:t>银裕通纯债</w:t>
            </w:r>
            <w:proofErr w:type="gramEnd"/>
            <w:r>
              <w:rPr>
                <w:color w:val="000000"/>
                <w:sz w:val="24"/>
              </w:rPr>
              <w:t>债券、交银安心收益债券的基金经理</w:t>
            </w:r>
          </w:p>
        </w:tc>
        <w:tc>
          <w:tcPr>
            <w:tcW w:w="1255" w:type="dxa"/>
            <w:vAlign w:val="center"/>
          </w:tcPr>
          <w:p w:rsidR="00FB0947" w:rsidRDefault="00DB39E5">
            <w:pPr>
              <w:jc w:val="center"/>
            </w:pPr>
            <w:r>
              <w:rPr>
                <w:color w:val="000000"/>
                <w:sz w:val="24"/>
              </w:rPr>
              <w:t>2015-08-04</w:t>
            </w:r>
          </w:p>
        </w:tc>
        <w:tc>
          <w:tcPr>
            <w:tcW w:w="1276" w:type="dxa"/>
            <w:vAlign w:val="center"/>
          </w:tcPr>
          <w:p w:rsidR="00FB0947" w:rsidRDefault="00DB39E5">
            <w:pPr>
              <w:jc w:val="center"/>
            </w:pPr>
            <w:r>
              <w:rPr>
                <w:color w:val="000000"/>
                <w:sz w:val="24"/>
              </w:rPr>
              <w:t>-</w:t>
            </w:r>
          </w:p>
        </w:tc>
        <w:tc>
          <w:tcPr>
            <w:tcW w:w="992" w:type="dxa"/>
            <w:vAlign w:val="center"/>
          </w:tcPr>
          <w:p w:rsidR="00FB0947" w:rsidRDefault="00DB39E5">
            <w:pPr>
              <w:jc w:val="center"/>
            </w:pPr>
            <w:r>
              <w:rPr>
                <w:color w:val="000000"/>
                <w:sz w:val="24"/>
              </w:rPr>
              <w:t>8</w:t>
            </w:r>
            <w:r>
              <w:rPr>
                <w:color w:val="000000"/>
                <w:sz w:val="24"/>
              </w:rPr>
              <w:t>年</w:t>
            </w:r>
          </w:p>
        </w:tc>
        <w:tc>
          <w:tcPr>
            <w:tcW w:w="2477" w:type="dxa"/>
            <w:vAlign w:val="center"/>
          </w:tcPr>
          <w:p w:rsidR="00FB0947" w:rsidRDefault="00DB39E5">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w:t>
            </w:r>
            <w:r>
              <w:rPr>
                <w:color w:val="000000"/>
                <w:sz w:val="24"/>
              </w:rPr>
              <w:lastRenderedPageBreak/>
              <w:t>基金经理。</w:t>
            </w:r>
          </w:p>
        </w:tc>
      </w:tr>
      <w:tr w:rsidR="00FB0947">
        <w:tc>
          <w:tcPr>
            <w:tcW w:w="1499" w:type="dxa"/>
            <w:vAlign w:val="center"/>
          </w:tcPr>
          <w:p w:rsidR="00FB0947" w:rsidRDefault="00DB39E5">
            <w:pPr>
              <w:jc w:val="center"/>
            </w:pPr>
            <w:r>
              <w:rPr>
                <w:color w:val="000000"/>
                <w:sz w:val="24"/>
              </w:rPr>
              <w:lastRenderedPageBreak/>
              <w:t>王艺伟</w:t>
            </w:r>
          </w:p>
        </w:tc>
        <w:tc>
          <w:tcPr>
            <w:tcW w:w="1499" w:type="dxa"/>
            <w:vAlign w:val="center"/>
          </w:tcPr>
          <w:p w:rsidR="00FB0947" w:rsidRDefault="00DB39E5">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债券、交银双轮动债券、交银荣祥保本混合、交银定期支付月月丰债券、交</w:t>
            </w:r>
            <w:proofErr w:type="gramStart"/>
            <w:r>
              <w:rPr>
                <w:color w:val="000000"/>
                <w:sz w:val="24"/>
              </w:rPr>
              <w:t>银增强</w:t>
            </w:r>
            <w:proofErr w:type="gramEnd"/>
            <w:r>
              <w:rPr>
                <w:color w:val="000000"/>
                <w:sz w:val="24"/>
              </w:rPr>
              <w:t>收益债券、交银强化回报债券、交</w:t>
            </w:r>
            <w:proofErr w:type="gramStart"/>
            <w:r>
              <w:rPr>
                <w:color w:val="000000"/>
                <w:sz w:val="24"/>
              </w:rPr>
              <w:t>银裕通纯债</w:t>
            </w:r>
            <w:proofErr w:type="gramEnd"/>
            <w:r>
              <w:rPr>
                <w:color w:val="000000"/>
                <w:sz w:val="24"/>
              </w:rPr>
              <w:t>债券、交银荣鑫保本混合、交银安心收益债券的基金经理</w:t>
            </w:r>
          </w:p>
        </w:tc>
        <w:tc>
          <w:tcPr>
            <w:tcW w:w="1255" w:type="dxa"/>
            <w:vAlign w:val="center"/>
          </w:tcPr>
          <w:p w:rsidR="00FB0947" w:rsidRDefault="00DB39E5">
            <w:pPr>
              <w:jc w:val="center"/>
            </w:pPr>
            <w:r>
              <w:rPr>
                <w:color w:val="000000"/>
                <w:sz w:val="24"/>
              </w:rPr>
              <w:t>2018-08-29</w:t>
            </w:r>
          </w:p>
        </w:tc>
        <w:tc>
          <w:tcPr>
            <w:tcW w:w="1276" w:type="dxa"/>
            <w:vAlign w:val="center"/>
          </w:tcPr>
          <w:p w:rsidR="00FB0947" w:rsidRDefault="00DB39E5">
            <w:pPr>
              <w:jc w:val="center"/>
            </w:pPr>
            <w:r>
              <w:rPr>
                <w:color w:val="000000"/>
                <w:sz w:val="24"/>
              </w:rPr>
              <w:t>-</w:t>
            </w:r>
          </w:p>
        </w:tc>
        <w:tc>
          <w:tcPr>
            <w:tcW w:w="992" w:type="dxa"/>
            <w:vAlign w:val="center"/>
          </w:tcPr>
          <w:p w:rsidR="00FB0947" w:rsidRDefault="00DB39E5">
            <w:pPr>
              <w:jc w:val="center"/>
            </w:pPr>
            <w:r>
              <w:rPr>
                <w:color w:val="000000"/>
                <w:sz w:val="24"/>
              </w:rPr>
              <w:t>6</w:t>
            </w:r>
            <w:r>
              <w:rPr>
                <w:color w:val="000000"/>
                <w:sz w:val="24"/>
              </w:rPr>
              <w:t>年</w:t>
            </w:r>
          </w:p>
        </w:tc>
        <w:tc>
          <w:tcPr>
            <w:tcW w:w="2477" w:type="dxa"/>
            <w:vAlign w:val="center"/>
          </w:tcPr>
          <w:p w:rsidR="00FB0947" w:rsidRDefault="00DB39E5">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FB0947" w:rsidRDefault="00DB39E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FB0947" w:rsidRDefault="00DB39E5">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1A59F9" w:rsidRPr="001358D2" w:rsidRDefault="001A59F9" w:rsidP="001358D2">
      <w:pPr>
        <w:spacing w:before="29" w:line="288" w:lineRule="auto"/>
        <w:ind w:firstLineChars="200" w:firstLine="480"/>
        <w:rPr>
          <w:color w:val="000000"/>
          <w:sz w:val="24"/>
        </w:rPr>
      </w:pPr>
      <w:r w:rsidRPr="001358D2">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FB0947" w:rsidRDefault="00DB39E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B0947" w:rsidRDefault="00DB39E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B0947" w:rsidRDefault="00DB39E5">
      <w:pPr>
        <w:spacing w:before="29" w:line="288" w:lineRule="auto"/>
        <w:ind w:firstLineChars="200" w:firstLine="480"/>
        <w:rPr>
          <w:color w:val="000000"/>
          <w:sz w:val="24"/>
        </w:rPr>
      </w:pPr>
      <w:r>
        <w:rPr>
          <w:color w:val="000000"/>
          <w:sz w:val="24"/>
        </w:rPr>
        <w:lastRenderedPageBreak/>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B0947" w:rsidRDefault="00DB39E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B0947" w:rsidRDefault="00DB39E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FB0947" w:rsidRDefault="00DB39E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B0947" w:rsidRDefault="00DB39E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B0947" w:rsidRDefault="00DB39E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报告期内本公司严格执行公平交易制度，公平对待旗下各投资组合，未发现任何违反公平交易的行为。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FB0947" w:rsidRDefault="00DB39E5">
      <w:pPr>
        <w:spacing w:before="29" w:line="288" w:lineRule="auto"/>
        <w:ind w:firstLineChars="200" w:firstLine="480"/>
        <w:rPr>
          <w:color w:val="000000"/>
          <w:sz w:val="24"/>
        </w:rPr>
      </w:pPr>
      <w:r>
        <w:rPr>
          <w:color w:val="000000"/>
          <w:sz w:val="24"/>
        </w:rPr>
        <w:t>2018</w:t>
      </w:r>
      <w:r>
        <w:rPr>
          <w:color w:val="000000"/>
          <w:sz w:val="24"/>
        </w:rPr>
        <w:t>年债券市场逆转了</w:t>
      </w:r>
      <w:r>
        <w:rPr>
          <w:color w:val="000000"/>
          <w:sz w:val="24"/>
        </w:rPr>
        <w:t>2016</w:t>
      </w:r>
      <w:r>
        <w:rPr>
          <w:color w:val="000000"/>
          <w:sz w:val="24"/>
        </w:rPr>
        <w:t>年四季度之后一年多的熊市格局重回牛市行情，利率债收益率大幅下行，期限利差总体走高，高等级信用利差随利率而压缩，低等级信用利差在违约频发的利空下不断走扩。中美贸易争端不断发酵和去杠杆政策下非标融资大幅收缩成为主导债市走势的两大基本面因素。</w:t>
      </w:r>
      <w:r>
        <w:rPr>
          <w:color w:val="000000"/>
          <w:sz w:val="24"/>
        </w:rPr>
        <w:t>2018</w:t>
      </w:r>
      <w:r>
        <w:rPr>
          <w:color w:val="000000"/>
          <w:sz w:val="24"/>
        </w:rPr>
        <w:t>年全年，债券市场演绎了</w:t>
      </w:r>
      <w:proofErr w:type="gramStart"/>
      <w:r>
        <w:rPr>
          <w:color w:val="000000"/>
          <w:sz w:val="24"/>
        </w:rPr>
        <w:t>宽货币紧</w:t>
      </w:r>
      <w:proofErr w:type="gramEnd"/>
      <w:r>
        <w:rPr>
          <w:color w:val="000000"/>
          <w:sz w:val="24"/>
        </w:rPr>
        <w:t>信用的格局，央行四次</w:t>
      </w:r>
      <w:proofErr w:type="gramStart"/>
      <w:r>
        <w:rPr>
          <w:color w:val="000000"/>
          <w:sz w:val="24"/>
        </w:rPr>
        <w:t>降准导致短端利率</w:t>
      </w:r>
      <w:proofErr w:type="gramEnd"/>
      <w:r>
        <w:rPr>
          <w:color w:val="000000"/>
          <w:sz w:val="24"/>
        </w:rPr>
        <w:t>大幅下行，长</w:t>
      </w:r>
      <w:proofErr w:type="gramStart"/>
      <w:r>
        <w:rPr>
          <w:color w:val="000000"/>
          <w:sz w:val="24"/>
        </w:rPr>
        <w:t>端利率</w:t>
      </w:r>
      <w:proofErr w:type="gramEnd"/>
      <w:r>
        <w:rPr>
          <w:color w:val="000000"/>
          <w:sz w:val="24"/>
        </w:rPr>
        <w:t>也在贸易</w:t>
      </w:r>
      <w:proofErr w:type="gramStart"/>
      <w:r>
        <w:rPr>
          <w:color w:val="000000"/>
          <w:sz w:val="24"/>
        </w:rPr>
        <w:t>战反复</w:t>
      </w:r>
      <w:proofErr w:type="gramEnd"/>
      <w:r>
        <w:rPr>
          <w:color w:val="000000"/>
          <w:sz w:val="24"/>
        </w:rPr>
        <w:t>发酵、去杠杆</w:t>
      </w:r>
      <w:proofErr w:type="gramStart"/>
      <w:r>
        <w:rPr>
          <w:color w:val="000000"/>
          <w:sz w:val="24"/>
        </w:rPr>
        <w:t>导致社融下滑</w:t>
      </w:r>
      <w:proofErr w:type="gramEnd"/>
      <w:r>
        <w:rPr>
          <w:color w:val="000000"/>
          <w:sz w:val="24"/>
        </w:rPr>
        <w:t>、经济预期明显回落等诸多因素的影响下不断走低。</w:t>
      </w:r>
    </w:p>
    <w:p w:rsidR="00FB0947" w:rsidRDefault="00DB39E5">
      <w:pPr>
        <w:spacing w:before="29" w:line="288" w:lineRule="auto"/>
        <w:ind w:firstLineChars="200" w:firstLine="480"/>
        <w:rPr>
          <w:color w:val="000000"/>
          <w:sz w:val="24"/>
        </w:rPr>
      </w:pPr>
      <w:r>
        <w:rPr>
          <w:color w:val="000000"/>
          <w:sz w:val="24"/>
        </w:rPr>
        <w:t>具体节奏上，</w:t>
      </w:r>
      <w:r>
        <w:rPr>
          <w:color w:val="000000"/>
          <w:sz w:val="24"/>
        </w:rPr>
        <w:t>2018</w:t>
      </w:r>
      <w:r>
        <w:rPr>
          <w:color w:val="000000"/>
          <w:sz w:val="24"/>
        </w:rPr>
        <w:t>年春节后基本面和资金面预期开始修复，复工弱于往年，大宗商品库存高企，大宗商品价格回落，经济增长预期出现分歧。流动性超预期宽松，货币政策没有边际上收紧，推动了债券收益率实现当年第一波下行。四月开始，在央行意外降准、表外融资持续收缩、经济通胀趋弱以及贸易战局势反复发酵等多方面因素交织的背景下，债券收益率呈现出先下后上继而再次大幅下行的宽幅波动中。进入六月之后</w:t>
      </w:r>
      <w:proofErr w:type="gramStart"/>
      <w:r>
        <w:rPr>
          <w:color w:val="000000"/>
          <w:sz w:val="24"/>
        </w:rPr>
        <w:t>央行再</w:t>
      </w:r>
      <w:proofErr w:type="gramEnd"/>
      <w:r>
        <w:rPr>
          <w:color w:val="000000"/>
          <w:sz w:val="24"/>
        </w:rPr>
        <w:t>一次降准，市场在反复预期中确认货币政策已经实质性转松，大规模投放流动性使得资金面非常宽松，回购利率中枢一度下行至</w:t>
      </w:r>
      <w:r>
        <w:rPr>
          <w:color w:val="000000"/>
          <w:sz w:val="24"/>
        </w:rPr>
        <w:t>2017</w:t>
      </w:r>
      <w:r>
        <w:rPr>
          <w:color w:val="000000"/>
          <w:sz w:val="24"/>
        </w:rPr>
        <w:t>年以来的新低点，带动债券市场收益率开启大幅下行空间。八月和九月，利空因素逐渐增多，地方债供给大幅放量、国常会和政治局会议发出</w:t>
      </w:r>
      <w:proofErr w:type="gramStart"/>
      <w:r>
        <w:rPr>
          <w:color w:val="000000"/>
          <w:sz w:val="24"/>
        </w:rPr>
        <w:t>宽货币宽</w:t>
      </w:r>
      <w:proofErr w:type="gramEnd"/>
      <w:r>
        <w:rPr>
          <w:color w:val="000000"/>
          <w:sz w:val="24"/>
        </w:rPr>
        <w:t>信用的信号、市场对通胀回暖的预期提升以及进出口数据表现坚挺等多个空方因素的出现，导致市场回调，收益率震荡上行。四季度伊始，央行再次</w:t>
      </w:r>
      <w:proofErr w:type="gramStart"/>
      <w:r>
        <w:rPr>
          <w:color w:val="000000"/>
          <w:sz w:val="24"/>
        </w:rPr>
        <w:t>降准且</w:t>
      </w:r>
      <w:proofErr w:type="gramEnd"/>
      <w:r>
        <w:rPr>
          <w:color w:val="000000"/>
          <w:sz w:val="24"/>
        </w:rPr>
        <w:t>对资金投向方面的限制放宽松，回购利率中枢又一次快速下行，加之地方债政府专项债发行量减少以及经济基本面数据持续弱势，带动债券市场继续走强。接着，信贷和</w:t>
      </w:r>
      <w:proofErr w:type="gramStart"/>
      <w:r>
        <w:rPr>
          <w:color w:val="000000"/>
          <w:sz w:val="24"/>
        </w:rPr>
        <w:t>社融数据</w:t>
      </w:r>
      <w:proofErr w:type="gramEnd"/>
      <w:r>
        <w:rPr>
          <w:color w:val="000000"/>
          <w:sz w:val="24"/>
        </w:rPr>
        <w:t>断崖式下跌、贸易</w:t>
      </w:r>
      <w:proofErr w:type="gramStart"/>
      <w:r>
        <w:rPr>
          <w:color w:val="000000"/>
          <w:sz w:val="24"/>
        </w:rPr>
        <w:t>战谈判</w:t>
      </w:r>
      <w:proofErr w:type="gramEnd"/>
      <w:r>
        <w:rPr>
          <w:color w:val="000000"/>
          <w:sz w:val="24"/>
        </w:rPr>
        <w:t>带动市场情绪波动，带动长</w:t>
      </w:r>
      <w:proofErr w:type="gramStart"/>
      <w:r>
        <w:rPr>
          <w:color w:val="000000"/>
          <w:sz w:val="24"/>
        </w:rPr>
        <w:t>端利率</w:t>
      </w:r>
      <w:proofErr w:type="gramEnd"/>
      <w:r>
        <w:rPr>
          <w:color w:val="000000"/>
          <w:sz w:val="24"/>
        </w:rPr>
        <w:t>延续下行趋势。临近</w:t>
      </w:r>
      <w:r>
        <w:rPr>
          <w:color w:val="000000"/>
          <w:sz w:val="24"/>
        </w:rPr>
        <w:t>2018</w:t>
      </w:r>
      <w:r>
        <w:rPr>
          <w:color w:val="000000"/>
          <w:sz w:val="24"/>
        </w:rPr>
        <w:t>年底，政治局会议和中央经济工作会议均侧重稳增长，强调逆周期调节，提出稳定总需求，利率债双向波动加大，体现出小幅震荡的格局。</w:t>
      </w:r>
    </w:p>
    <w:p w:rsidR="001A59F9" w:rsidRPr="001358D2" w:rsidRDefault="001A59F9" w:rsidP="001358D2">
      <w:pPr>
        <w:spacing w:before="29" w:line="288" w:lineRule="auto"/>
        <w:ind w:firstLineChars="200" w:firstLine="480"/>
        <w:rPr>
          <w:color w:val="000000"/>
          <w:sz w:val="24"/>
        </w:rPr>
      </w:pPr>
      <w:r w:rsidRPr="001358D2">
        <w:rPr>
          <w:color w:val="000000"/>
          <w:sz w:val="24"/>
        </w:rPr>
        <w:t>报告期内，基于对经济基本面下滑、资金面维持大体宽松、长</w:t>
      </w:r>
      <w:proofErr w:type="gramStart"/>
      <w:r w:rsidRPr="001358D2">
        <w:rPr>
          <w:color w:val="000000"/>
          <w:sz w:val="24"/>
        </w:rPr>
        <w:t>端利率</w:t>
      </w:r>
      <w:proofErr w:type="gramEnd"/>
      <w:r w:rsidRPr="001358D2">
        <w:rPr>
          <w:color w:val="000000"/>
          <w:sz w:val="24"/>
        </w:rPr>
        <w:t>下行空间较大以及信用利差主动压缩的判断，本基金在</w:t>
      </w:r>
      <w:r w:rsidRPr="001358D2">
        <w:rPr>
          <w:color w:val="000000"/>
          <w:sz w:val="24"/>
        </w:rPr>
        <w:t>2018</w:t>
      </w:r>
      <w:r w:rsidRPr="001358D2">
        <w:rPr>
          <w:color w:val="000000"/>
          <w:sz w:val="24"/>
        </w:rPr>
        <w:t>年初及时拉长了组合</w:t>
      </w:r>
      <w:proofErr w:type="gramStart"/>
      <w:r w:rsidRPr="001358D2">
        <w:rPr>
          <w:color w:val="000000"/>
          <w:sz w:val="24"/>
        </w:rPr>
        <w:t>的久期和</w:t>
      </w:r>
      <w:proofErr w:type="gramEnd"/>
      <w:r w:rsidRPr="001358D2">
        <w:rPr>
          <w:color w:val="000000"/>
          <w:sz w:val="24"/>
        </w:rPr>
        <w:t>杠杆，之后一直维持较高</w:t>
      </w:r>
      <w:proofErr w:type="gramStart"/>
      <w:r w:rsidRPr="001358D2">
        <w:rPr>
          <w:color w:val="000000"/>
          <w:sz w:val="24"/>
        </w:rPr>
        <w:t>的久期配置</w:t>
      </w:r>
      <w:proofErr w:type="gramEnd"/>
      <w:r w:rsidRPr="001358D2">
        <w:rPr>
          <w:color w:val="000000"/>
          <w:sz w:val="24"/>
        </w:rPr>
        <w:t>，并选择部分</w:t>
      </w:r>
      <w:proofErr w:type="gramStart"/>
      <w:r w:rsidRPr="001358D2">
        <w:rPr>
          <w:color w:val="000000"/>
          <w:sz w:val="24"/>
        </w:rPr>
        <w:t>仓位</w:t>
      </w:r>
      <w:proofErr w:type="gramEnd"/>
      <w:r w:rsidRPr="001358D2">
        <w:rPr>
          <w:color w:val="000000"/>
          <w:sz w:val="24"/>
        </w:rPr>
        <w:t>进行长久期利率债波段交易，增厚组合收益。整体上把握到了债券收益率下行带来的机会，组合净值取得了相对较好的回报。</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本基金（各类）份额净值及业绩表现请见</w:t>
      </w:r>
      <w:r w:rsidRPr="001358D2">
        <w:rPr>
          <w:color w:val="000000"/>
          <w:sz w:val="24"/>
        </w:rPr>
        <w:t>“3.1</w:t>
      </w:r>
      <w:r w:rsidRPr="001358D2">
        <w:rPr>
          <w:color w:val="000000"/>
          <w:sz w:val="24"/>
        </w:rPr>
        <w:t>主要会计数据和财务指标</w:t>
      </w:r>
      <w:r w:rsidRPr="001358D2">
        <w:rPr>
          <w:color w:val="000000"/>
          <w:sz w:val="24"/>
        </w:rPr>
        <w:t xml:space="preserve">” </w:t>
      </w:r>
      <w:r w:rsidRPr="001358D2">
        <w:rPr>
          <w:color w:val="000000"/>
          <w:sz w:val="24"/>
        </w:rPr>
        <w:t>及</w:t>
      </w:r>
      <w:r w:rsidRPr="001358D2">
        <w:rPr>
          <w:color w:val="000000"/>
          <w:sz w:val="24"/>
        </w:rPr>
        <w:t>“3.2.1</w:t>
      </w:r>
      <w:r w:rsidRPr="001358D2">
        <w:rPr>
          <w:color w:val="000000"/>
          <w:sz w:val="24"/>
        </w:rPr>
        <w:lastRenderedPageBreak/>
        <w:t>基金份额净值增长率及其与同期业绩比较基准收益率的比较</w:t>
      </w:r>
      <w:r w:rsidRPr="001358D2">
        <w:rPr>
          <w:color w:val="000000"/>
          <w:sz w:val="24"/>
        </w:rPr>
        <w:t>”</w:t>
      </w:r>
      <w:r w:rsidRPr="001358D2">
        <w:rPr>
          <w:color w:val="000000"/>
          <w:sz w:val="24"/>
        </w:rPr>
        <w:t>部分披露。</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2019</w:t>
      </w:r>
      <w:r w:rsidRPr="001358D2">
        <w:rPr>
          <w:color w:val="000000"/>
          <w:sz w:val="24"/>
        </w:rPr>
        <w:t>年，我们认为一方面，国内的宏观基本</w:t>
      </w:r>
      <w:proofErr w:type="gramStart"/>
      <w:r w:rsidRPr="001358D2">
        <w:rPr>
          <w:color w:val="000000"/>
          <w:sz w:val="24"/>
        </w:rPr>
        <w:t>面整体</w:t>
      </w:r>
      <w:proofErr w:type="gramEnd"/>
      <w:r w:rsidRPr="001358D2">
        <w:rPr>
          <w:color w:val="000000"/>
          <w:sz w:val="24"/>
        </w:rPr>
        <w:t>仍将有利于债券市场，货币政策仍将维持宽松，利率的下行趋势仍能持续，后续可能会看到期限利差和信用利差的进一步收窄。但需要关注的是，一方面经过</w:t>
      </w:r>
      <w:r w:rsidRPr="001358D2">
        <w:rPr>
          <w:color w:val="000000"/>
          <w:sz w:val="24"/>
        </w:rPr>
        <w:t>2018</w:t>
      </w:r>
      <w:r w:rsidRPr="001358D2">
        <w:rPr>
          <w:color w:val="000000"/>
          <w:sz w:val="24"/>
        </w:rPr>
        <w:t>年一年的牛市之后，目前的收益率水平已较</w:t>
      </w:r>
      <w:r w:rsidRPr="001358D2">
        <w:rPr>
          <w:color w:val="000000"/>
          <w:sz w:val="24"/>
        </w:rPr>
        <w:t>2018</w:t>
      </w:r>
      <w:r w:rsidRPr="001358D2">
        <w:rPr>
          <w:color w:val="000000"/>
          <w:sz w:val="24"/>
        </w:rPr>
        <w:t>年初明显下降，债券组合的静态收益率相对</w:t>
      </w:r>
      <w:r w:rsidRPr="001358D2">
        <w:rPr>
          <w:color w:val="000000"/>
          <w:sz w:val="24"/>
        </w:rPr>
        <w:t>2018</w:t>
      </w:r>
      <w:r w:rsidRPr="001358D2">
        <w:rPr>
          <w:color w:val="000000"/>
          <w:sz w:val="24"/>
        </w:rPr>
        <w:t>年较低。另一方面，而债券类资产相比权益类资产的相对估值已处于历史高位，年内收益率的下行空间很可能要小于</w:t>
      </w:r>
      <w:r w:rsidRPr="001358D2">
        <w:rPr>
          <w:color w:val="000000"/>
          <w:sz w:val="24"/>
        </w:rPr>
        <w:t>2018</w:t>
      </w:r>
      <w:r w:rsidRPr="001358D2">
        <w:rPr>
          <w:color w:val="000000"/>
          <w:sz w:val="24"/>
        </w:rPr>
        <w:t>年。</w:t>
      </w:r>
      <w:r w:rsidRPr="001358D2">
        <w:rPr>
          <w:color w:val="000000"/>
          <w:sz w:val="24"/>
        </w:rPr>
        <w:t>2019</w:t>
      </w:r>
      <w:r w:rsidRPr="001358D2">
        <w:rPr>
          <w:color w:val="000000"/>
          <w:sz w:val="24"/>
        </w:rPr>
        <w:t>年债券类资产取得较高的绝对收益的难度较</w:t>
      </w:r>
      <w:r w:rsidRPr="001358D2">
        <w:rPr>
          <w:color w:val="000000"/>
          <w:sz w:val="24"/>
        </w:rPr>
        <w:t>2018</w:t>
      </w:r>
      <w:r w:rsidRPr="001358D2">
        <w:rPr>
          <w:color w:val="000000"/>
          <w:sz w:val="24"/>
        </w:rPr>
        <w:t>年明显增加。</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FB0947" w:rsidRDefault="00DB39E5">
      <w:pPr>
        <w:spacing w:before="29" w:line="288" w:lineRule="auto"/>
        <w:ind w:firstLineChars="200" w:firstLine="480"/>
        <w:rPr>
          <w:rFonts w:asciiTheme="minorEastAsia" w:eastAsiaTheme="minorEastAsia" w:hAnsiTheme="minorEastAsia"/>
          <w:color w:val="000000"/>
          <w:szCs w:val="21"/>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FB0947" w:rsidRDefault="00DB39E5">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根据相关法律法规和基金合同的规定，本基金对上一年度及本报告期应分配的可供分配利润进行了收益分配，具体情况参见</w:t>
      </w:r>
      <w:r w:rsidR="00DB39E5" w:rsidRPr="00DB39E5">
        <w:rPr>
          <w:rFonts w:hint="eastAsia"/>
          <w:color w:val="000000"/>
          <w:sz w:val="24"/>
        </w:rPr>
        <w:t>年度报告正文</w:t>
      </w:r>
      <w:r w:rsidRPr="001358D2">
        <w:rPr>
          <w:color w:val="000000"/>
          <w:sz w:val="24"/>
        </w:rPr>
        <w:t>7.4.8.2</w:t>
      </w:r>
      <w:r w:rsidRPr="001358D2">
        <w:rPr>
          <w:color w:val="000000"/>
          <w:sz w:val="24"/>
        </w:rPr>
        <w:t>资产负债表日后事项及</w:t>
      </w:r>
      <w:r w:rsidRPr="001358D2">
        <w:rPr>
          <w:color w:val="000000"/>
          <w:sz w:val="24"/>
        </w:rPr>
        <w:t>7.4.11</w:t>
      </w:r>
      <w:r w:rsidRPr="001358D2">
        <w:rPr>
          <w:color w:val="000000"/>
          <w:sz w:val="24"/>
        </w:rPr>
        <w:t>利润分配情况。</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244F18" w:rsidRPr="001358D2" w:rsidRDefault="00244F18" w:rsidP="001358D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lastRenderedPageBreak/>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作为本基金的托管人，中信银行严格遵守了《证券投资基金法》及其他有关法律法规、基金合同和托管协议的规定，对交银施罗德双轮动债券型证券投资基金</w:t>
      </w:r>
      <w:r w:rsidRPr="005A1E76">
        <w:rPr>
          <w:color w:val="000000"/>
          <w:sz w:val="24"/>
        </w:rPr>
        <w:t>2018</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双轮动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的信息披露事务符合《证券投资基金信息披露管理办法》及其他相关法律法规的规定，基金管理人所编制和披露的交银施罗德双轮动债券型证券投资基金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交银施罗德双轮动债券型证券投资基金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21532</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lastRenderedPageBreak/>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交银施罗德双轮动债券型证券投资基金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2018</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2018</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6,322,119.42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539,595.31</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2,439,727.93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1,696,108.64</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134,056.44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8,424.79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1,240,849,604.40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1,936,847,015.00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1,235,849,604.40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1,924,147,015.00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5,000,000.00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12,700,000.00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146,300,558.00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27,000,000.00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23,283,713.40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35,586,895.33</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13,159,876.60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22,490.03</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1,432,489,656.19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2,001,700,529.10</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2018</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363,055,167.92</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5,790,145.14</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26,179,059.79</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w:t>
            </w:r>
            <w:proofErr w:type="gramStart"/>
            <w:r w:rsidRPr="00F73D78">
              <w:rPr>
                <w:rFonts w:hint="eastAsia"/>
                <w:color w:val="000000"/>
                <w:sz w:val="24"/>
              </w:rPr>
              <w:t>赎回款</w:t>
            </w:r>
            <w:proofErr w:type="gramEnd"/>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241,183.94</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230,012.31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lastRenderedPageBreak/>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732,721.15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820,258.63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244,240.40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273,419.52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77,957.56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2,228.59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23,952.10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25,955.58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224,158.39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84,558.27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524,120.78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339,402.42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330,204.68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7,673,761.10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391,524,986.07</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1,321,247,206.94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1,544,390,304.32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103,568,688.15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65,785,238.71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1,424,815,895.09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1,610,175,543.03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1,432,489,656.19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2,001,700,529.10</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2018</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1.079</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1.076</w:t>
      </w:r>
      <w:r w:rsidR="001A59F9" w:rsidRPr="00E25C2A">
        <w:rPr>
          <w:kern w:val="0"/>
          <w:sz w:val="24"/>
        </w:rPr>
        <w:t>元，基金份额总额</w:t>
      </w:r>
      <w:r w:rsidR="001A59F9" w:rsidRPr="00E25C2A">
        <w:rPr>
          <w:kern w:val="0"/>
          <w:sz w:val="24"/>
        </w:rPr>
        <w:t>1,321,247,206.94</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1,132,246,754.01</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189,000,452.93</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交银施罗德双轮动债券型证券投资基金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2018</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141,976,667.12</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61,956,283.86</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78,665,763.77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86,112,005.90</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243,475.37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532,841.00</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77,567,849.99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82,039,143.48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369,608.99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2,873,067.48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484,829.42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666,953.94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lastRenderedPageBreak/>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25,360,259.39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-54,326,863.60</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25,360,259.39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-52,436,814.79</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-1,890,048.81</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37,816,105.84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29,910,375.91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134,538.12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260,765.65</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20,152,950.53</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20,243,887.54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9,225,765.69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10,529,715.15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3,075,255.19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3,509,904.94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154,986.21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29,815.72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55,831.56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43,038.73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6,994,627.61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5,717,583.10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6,994,627.61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5,717,583.10</w:t>
            </w:r>
          </w:p>
        </w:tc>
      </w:tr>
      <w:tr w:rsidR="00FB2916" w:rsidRPr="008B2C7A" w:rsidTr="00DB39E5">
        <w:tc>
          <w:tcPr>
            <w:tcW w:w="3544" w:type="dxa"/>
            <w:vAlign w:val="center"/>
          </w:tcPr>
          <w:p w:rsidR="00FB2916" w:rsidRPr="00FB2916" w:rsidRDefault="00FB2916" w:rsidP="00DB39E5">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2" w:type="dxa"/>
            <w:vAlign w:val="center"/>
          </w:tcPr>
          <w:p w:rsidR="00FB2916" w:rsidRPr="00FB2916" w:rsidRDefault="00FB2916" w:rsidP="00DB39E5">
            <w:pPr>
              <w:pStyle w:val="af6"/>
              <w:jc w:val="center"/>
              <w:rPr>
                <w:rFonts w:ascii="Times New Roman" w:eastAsiaTheme="minorEastAsia" w:hAnsi="Times New Roman"/>
                <w:color w:val="000000"/>
              </w:rPr>
            </w:pPr>
          </w:p>
        </w:tc>
        <w:tc>
          <w:tcPr>
            <w:tcW w:w="2268" w:type="dxa"/>
            <w:vAlign w:val="bottom"/>
          </w:tcPr>
          <w:p w:rsidR="00FB2916" w:rsidRPr="00FB2916" w:rsidRDefault="00FB2916" w:rsidP="00DB39E5">
            <w:pPr>
              <w:jc w:val="right"/>
              <w:rPr>
                <w:rFonts w:eastAsiaTheme="minorEastAsia"/>
                <w:color w:val="000000"/>
                <w:sz w:val="24"/>
              </w:rPr>
            </w:pPr>
            <w:r w:rsidRPr="00FB2916">
              <w:rPr>
                <w:rFonts w:eastAsiaTheme="minorEastAsia"/>
                <w:color w:val="000000"/>
                <w:sz w:val="24"/>
              </w:rPr>
              <w:t>230,969.27</w:t>
            </w:r>
          </w:p>
        </w:tc>
        <w:tc>
          <w:tcPr>
            <w:tcW w:w="2207" w:type="dxa"/>
            <w:vAlign w:val="bottom"/>
          </w:tcPr>
          <w:p w:rsidR="00FB2916" w:rsidRPr="00FB2916" w:rsidRDefault="00FB2916" w:rsidP="00DB39E5">
            <w:pPr>
              <w:jc w:val="right"/>
              <w:rPr>
                <w:rFonts w:eastAsiaTheme="minorEastAsia"/>
                <w:color w:val="000000"/>
                <w:sz w:val="24"/>
              </w:rPr>
            </w:pPr>
            <w:r w:rsidRPr="00FB2916">
              <w:rPr>
                <w:rFonts w:eastAsiaTheme="minorEastAsia"/>
                <w:color w:val="000000"/>
                <w:sz w:val="24"/>
              </w:rPr>
              <w:t>-</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Pr>
                <w:rFonts w:hint="eastAsia"/>
                <w:color w:val="000000"/>
                <w:sz w:val="24"/>
              </w:rPr>
              <w:t>7</w:t>
            </w:r>
            <w:r w:rsidRPr="00F73D78">
              <w:rPr>
                <w:rFonts w:hint="eastAsia"/>
                <w:color w:val="000000"/>
                <w:sz w:val="24"/>
              </w:rPr>
              <w:t>．其他费用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r>
              <w:t>7.4.7.20</w:t>
            </w: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415,515.00</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413,829.90</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三、利润总额（亏损总额以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121,823,716.59</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41,712,396.32</w:t>
            </w:r>
          </w:p>
        </w:tc>
      </w:tr>
      <w:tr w:rsidR="00FB2916" w:rsidRPr="008B2C7A" w:rsidTr="00591BC9">
        <w:tc>
          <w:tcPr>
            <w:tcW w:w="3544" w:type="dxa"/>
            <w:vAlign w:val="center"/>
          </w:tcPr>
          <w:p w:rsidR="00FB2916" w:rsidRPr="00F73D78" w:rsidRDefault="00FB2916"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c>
          <w:tcPr>
            <w:tcW w:w="2207" w:type="dxa"/>
            <w:vAlign w:val="center"/>
          </w:tcPr>
          <w:p w:rsidR="00FB2916" w:rsidRPr="003971A1" w:rsidRDefault="00FB2916" w:rsidP="003971A1">
            <w:pPr>
              <w:spacing w:before="29" w:line="288" w:lineRule="auto"/>
              <w:jc w:val="right"/>
              <w:rPr>
                <w:color w:val="000000"/>
                <w:sz w:val="24"/>
              </w:rPr>
            </w:pPr>
            <w:r w:rsidRPr="003971A1">
              <w:rPr>
                <w:color w:val="000000"/>
                <w:sz w:val="24"/>
              </w:rPr>
              <w:t>-</w:t>
            </w:r>
          </w:p>
        </w:tc>
      </w:tr>
      <w:tr w:rsidR="00FB2916" w:rsidRPr="008B2C7A" w:rsidTr="00591BC9">
        <w:tc>
          <w:tcPr>
            <w:tcW w:w="3544" w:type="dxa"/>
            <w:vAlign w:val="center"/>
          </w:tcPr>
          <w:p w:rsidR="00FB2916" w:rsidRPr="00BC542E" w:rsidRDefault="00FB2916" w:rsidP="00F73D78">
            <w:pPr>
              <w:spacing w:before="29" w:line="288" w:lineRule="auto"/>
              <w:rPr>
                <w:b/>
                <w:color w:val="000000"/>
                <w:sz w:val="24"/>
              </w:rPr>
            </w:pPr>
            <w:r w:rsidRPr="00BC542E">
              <w:rPr>
                <w:rFonts w:hint="eastAsia"/>
                <w:b/>
                <w:color w:val="000000"/>
                <w:sz w:val="24"/>
              </w:rPr>
              <w:t>四、净利润（净亏损以</w:t>
            </w:r>
            <w:r w:rsidRPr="00BC542E">
              <w:rPr>
                <w:b/>
                <w:color w:val="000000"/>
                <w:sz w:val="24"/>
              </w:rPr>
              <w:t>“-”</w:t>
            </w:r>
            <w:r w:rsidRPr="00BC542E">
              <w:rPr>
                <w:rFonts w:hint="eastAsia"/>
                <w:b/>
                <w:color w:val="000000"/>
                <w:sz w:val="24"/>
              </w:rPr>
              <w:t>号填列）</w:t>
            </w:r>
          </w:p>
        </w:tc>
        <w:tc>
          <w:tcPr>
            <w:tcW w:w="992" w:type="dxa"/>
            <w:vAlign w:val="center"/>
          </w:tcPr>
          <w:p w:rsidR="00FB2916" w:rsidRPr="00F73D78" w:rsidRDefault="00FB2916" w:rsidP="00E1424F">
            <w:pPr>
              <w:widowControl/>
              <w:autoSpaceDE w:val="0"/>
              <w:autoSpaceDN w:val="0"/>
              <w:ind w:right="-15"/>
              <w:jc w:val="center"/>
              <w:textAlignment w:val="bottom"/>
              <w:rPr>
                <w:color w:val="000000"/>
                <w:sz w:val="24"/>
              </w:rPr>
            </w:pPr>
          </w:p>
        </w:tc>
        <w:tc>
          <w:tcPr>
            <w:tcW w:w="2268" w:type="dxa"/>
            <w:vAlign w:val="center"/>
          </w:tcPr>
          <w:p w:rsidR="00FB2916" w:rsidRPr="008D2949" w:rsidRDefault="00FB2916" w:rsidP="003971A1">
            <w:pPr>
              <w:spacing w:before="29" w:line="288" w:lineRule="auto"/>
              <w:jc w:val="right"/>
              <w:rPr>
                <w:b/>
                <w:color w:val="000000"/>
                <w:sz w:val="24"/>
              </w:rPr>
            </w:pPr>
            <w:r w:rsidRPr="008D2949">
              <w:rPr>
                <w:b/>
                <w:color w:val="000000"/>
                <w:sz w:val="24"/>
              </w:rPr>
              <w:t>121,823,716.59</w:t>
            </w:r>
          </w:p>
        </w:tc>
        <w:tc>
          <w:tcPr>
            <w:tcW w:w="2207" w:type="dxa"/>
            <w:vAlign w:val="center"/>
          </w:tcPr>
          <w:p w:rsidR="00FB2916" w:rsidRPr="008D2949" w:rsidRDefault="00FB2916" w:rsidP="003971A1">
            <w:pPr>
              <w:spacing w:before="29" w:line="288" w:lineRule="auto"/>
              <w:jc w:val="right"/>
              <w:rPr>
                <w:b/>
                <w:color w:val="000000"/>
                <w:sz w:val="24"/>
              </w:rPr>
            </w:pPr>
            <w:r w:rsidRPr="008D2949">
              <w:rPr>
                <w:b/>
                <w:color w:val="000000"/>
                <w:sz w:val="24"/>
              </w:rPr>
              <w:t>41,712,396.32</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交银施罗德双轮动债券型证券投资基金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2018</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2018</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2018</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1,544,390,304.32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65,785,238.71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1,610,175,543.03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121,823,716.59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121,823,716.59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-223,143,097.38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-16,729,681.43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-239,872,778.81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1,564,158,467.33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105,235,946.00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1,669,394,413.33</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-1,787,301,564.71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-121,965,627.43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-1,909,267,192.14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-67,310,585.72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-67,310,585.72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1,321,247,206.94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103,568,688.15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1,424,815,895.09</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2,901,113,626.72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93,811,581.37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2,994,925,208.09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41,712,396.32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41,712,396.32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-1,356,723,322.40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-31,574,141.30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-1,388,297,463.70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449,172,977.73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17,247,493.07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466,420,470.80</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-1,805,896,300.13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-48,821,634.37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-1,854,717,934.50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-38,164,597.68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-38,164,597.68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1,544,390,304.32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65,785,238.71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1,610,175,543.03</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负责人：谢卫，主管会计工作负责人：</w:t>
      </w:r>
      <w:proofErr w:type="gramStart"/>
      <w:r w:rsidR="001F790F" w:rsidRPr="00C52806">
        <w:rPr>
          <w:rFonts w:hint="eastAsia"/>
          <w:sz w:val="24"/>
        </w:rPr>
        <w:t>夏华龙</w:t>
      </w:r>
      <w:proofErr w:type="gramEnd"/>
      <w:r w:rsidR="001F790F" w:rsidRPr="00C52806">
        <w:rPr>
          <w:rFonts w:hint="eastAsia"/>
          <w:sz w:val="24"/>
        </w:rPr>
        <w:t>，会计机构负责人：单江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FB0947" w:rsidRDefault="00DB39E5">
      <w:pPr>
        <w:spacing w:before="29" w:line="288" w:lineRule="auto"/>
        <w:ind w:firstLineChars="200" w:firstLine="480"/>
        <w:rPr>
          <w:color w:val="000000"/>
          <w:sz w:val="24"/>
        </w:rPr>
      </w:pPr>
      <w:r>
        <w:rPr>
          <w:color w:val="000000"/>
          <w:sz w:val="24"/>
        </w:rPr>
        <w:t>交银施罗德双轮动债券型证券投资基金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[2013]97</w:t>
      </w:r>
      <w:r>
        <w:rPr>
          <w:color w:val="000000"/>
          <w:sz w:val="24"/>
        </w:rPr>
        <w:t>号《关于核准交银施罗德双轮动债券型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人民币</w:t>
      </w:r>
      <w:r>
        <w:rPr>
          <w:color w:val="000000"/>
          <w:sz w:val="24"/>
        </w:rPr>
        <w:t>1,865,093,311.08</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(2013)</w:t>
      </w:r>
      <w:r>
        <w:rPr>
          <w:color w:val="000000"/>
          <w:sz w:val="24"/>
        </w:rPr>
        <w:t>第</w:t>
      </w:r>
      <w:r>
        <w:rPr>
          <w:color w:val="000000"/>
          <w:sz w:val="24"/>
        </w:rPr>
        <w:t>217</w:t>
      </w:r>
      <w:r>
        <w:rPr>
          <w:color w:val="000000"/>
          <w:sz w:val="24"/>
        </w:rPr>
        <w:t>号验资报告予以验证。经向中国证监会备案，《交银施罗德双轮动债券型证券投资基金基金合同》于</w:t>
      </w:r>
      <w:r>
        <w:rPr>
          <w:color w:val="000000"/>
          <w:sz w:val="24"/>
        </w:rPr>
        <w:t>2013</w:t>
      </w:r>
      <w:r>
        <w:rPr>
          <w:color w:val="000000"/>
          <w:sz w:val="24"/>
        </w:rPr>
        <w:t>年</w:t>
      </w:r>
      <w:r>
        <w:rPr>
          <w:color w:val="000000"/>
          <w:sz w:val="24"/>
        </w:rPr>
        <w:t>4</w:t>
      </w:r>
      <w:r>
        <w:rPr>
          <w:color w:val="000000"/>
          <w:sz w:val="24"/>
        </w:rPr>
        <w:t>月</w:t>
      </w:r>
      <w:r>
        <w:rPr>
          <w:color w:val="000000"/>
          <w:sz w:val="24"/>
        </w:rPr>
        <w:t>18</w:t>
      </w:r>
      <w:r>
        <w:rPr>
          <w:color w:val="000000"/>
          <w:sz w:val="24"/>
        </w:rPr>
        <w:t>日正式生效，基金合同生效日的基金份额总额为</w:t>
      </w:r>
      <w:r>
        <w:rPr>
          <w:color w:val="000000"/>
          <w:sz w:val="24"/>
        </w:rPr>
        <w:t>1,866,490,071.43</w:t>
      </w:r>
      <w:r>
        <w:rPr>
          <w:color w:val="000000"/>
          <w:sz w:val="24"/>
        </w:rPr>
        <w:t>份基金份额，其中认购资金利息折合</w:t>
      </w:r>
      <w:r>
        <w:rPr>
          <w:color w:val="000000"/>
          <w:sz w:val="24"/>
        </w:rPr>
        <w:t>1,396,760.35</w:t>
      </w:r>
      <w:r>
        <w:rPr>
          <w:color w:val="000000"/>
          <w:sz w:val="24"/>
        </w:rPr>
        <w:t>份基金份额。本基金的基金管理人为交银施罗德基金管理有限公司，基金托管人为中信银行股份有限公司。</w:t>
      </w:r>
    </w:p>
    <w:p w:rsidR="00FB0947" w:rsidRDefault="00DB39E5">
      <w:pPr>
        <w:spacing w:before="29" w:line="288" w:lineRule="auto"/>
        <w:ind w:firstLineChars="200" w:firstLine="480"/>
        <w:rPr>
          <w:color w:val="000000"/>
          <w:sz w:val="24"/>
        </w:rPr>
      </w:pPr>
      <w:r>
        <w:rPr>
          <w:color w:val="000000"/>
          <w:sz w:val="24"/>
        </w:rPr>
        <w:t>根据《交银施罗德双轮动债券型证券投资基金基金合同》和《交银施罗德双轮动债券型证券投资基金招募说明书》，本基金自募集期</w:t>
      </w:r>
      <w:proofErr w:type="gramStart"/>
      <w:r>
        <w:rPr>
          <w:color w:val="000000"/>
          <w:sz w:val="24"/>
        </w:rPr>
        <w:t>起根据</w:t>
      </w:r>
      <w:proofErr w:type="gramEnd"/>
      <w:r>
        <w:rPr>
          <w:color w:val="000000"/>
          <w:sz w:val="24"/>
        </w:rPr>
        <w:t>费用收取方式的不同，将基金份额分为不同的类别。在投资人认购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申购费用，赎回时收取短期赎回费，并从该类别基金资产中计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w:t>
      </w:r>
    </w:p>
    <w:p w:rsidR="00FB0947" w:rsidRDefault="00DB39E5">
      <w:pPr>
        <w:spacing w:before="29" w:line="288" w:lineRule="auto"/>
        <w:ind w:firstLineChars="200" w:firstLine="480"/>
        <w:rPr>
          <w:color w:val="000000"/>
          <w:sz w:val="24"/>
        </w:rPr>
      </w:pPr>
      <w:r>
        <w:rPr>
          <w:color w:val="00000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w:t>
      </w:r>
      <w:proofErr w:type="gramStart"/>
      <w:r>
        <w:rPr>
          <w:color w:val="000000"/>
          <w:sz w:val="24"/>
        </w:rPr>
        <w:t>券</w:t>
      </w:r>
      <w:proofErr w:type="gramEnd"/>
      <w:r>
        <w:rPr>
          <w:color w:val="000000"/>
          <w:sz w:val="24"/>
        </w:rPr>
        <w:t>、中期票据、公司债、分离交易可转债、资产支持证券、债券回购、银行存款等固定收益类资产以及法律法规或中国证监会允许基金投资的其他金融工具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。本基金不直接在二级市场买入股票、权证等权益类资产，也不参与一级市场新股申购和新股增发。因投资于分离交易可转债而产生的权证，在其可交易之日起的</w:t>
      </w:r>
      <w:r>
        <w:rPr>
          <w:color w:val="000000"/>
          <w:sz w:val="24"/>
        </w:rPr>
        <w:t>30</w:t>
      </w:r>
      <w:r>
        <w:rPr>
          <w:color w:val="000000"/>
          <w:sz w:val="24"/>
        </w:rPr>
        <w:t>个交易日内卖出。同时本基金不参与可转换债券投资</w:t>
      </w:r>
      <w:r>
        <w:rPr>
          <w:color w:val="000000"/>
          <w:sz w:val="24"/>
        </w:rPr>
        <w:t>(</w:t>
      </w:r>
      <w:r>
        <w:rPr>
          <w:color w:val="000000"/>
          <w:sz w:val="24"/>
        </w:rPr>
        <w:t>分离交易可转债除外</w:t>
      </w:r>
      <w:r>
        <w:rPr>
          <w:color w:val="000000"/>
          <w:sz w:val="24"/>
        </w:rPr>
        <w:t>)</w:t>
      </w:r>
      <w:r>
        <w:rPr>
          <w:color w:val="000000"/>
          <w:sz w:val="24"/>
        </w:rPr>
        <w:t>。基金的投资组合比例为：固定收益类资产的比例不低于基金资产净值的</w:t>
      </w:r>
      <w:r>
        <w:rPr>
          <w:color w:val="000000"/>
          <w:sz w:val="24"/>
        </w:rPr>
        <w:t>80%</w:t>
      </w:r>
      <w:r>
        <w:rPr>
          <w:color w:val="000000"/>
          <w:sz w:val="24"/>
        </w:rPr>
        <w:t>；现金或到期日在一年以内的政府债券的比例合</w:t>
      </w:r>
      <w:r>
        <w:rPr>
          <w:color w:val="000000"/>
          <w:sz w:val="24"/>
        </w:rPr>
        <w:lastRenderedPageBreak/>
        <w:t>计不低于基金资产净值的</w:t>
      </w:r>
      <w:r>
        <w:rPr>
          <w:color w:val="000000"/>
          <w:sz w:val="24"/>
        </w:rPr>
        <w:t>5%</w:t>
      </w:r>
      <w:r>
        <w:rPr>
          <w:color w:val="000000"/>
          <w:sz w:val="24"/>
        </w:rPr>
        <w:t>，其中现金不包括结算备付金、存出保证金及应收申购款。本基金的业绩比较基准为中</w:t>
      </w:r>
      <w:proofErr w:type="gramStart"/>
      <w:r>
        <w:rPr>
          <w:color w:val="000000"/>
          <w:sz w:val="24"/>
        </w:rPr>
        <w:t>债综合</w:t>
      </w:r>
      <w:proofErr w:type="gramEnd"/>
      <w:r>
        <w:rPr>
          <w:color w:val="000000"/>
          <w:sz w:val="24"/>
        </w:rPr>
        <w:t>全价指数。</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2019</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FB0947" w:rsidRDefault="00DB39E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颁布的《证券投资基金会计核算业务指引》、《交银施罗德双轮动债券型证券投资基金基金合同》和在财务报表附注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2018</w:t>
      </w:r>
      <w:r w:rsidRPr="00592B92">
        <w:rPr>
          <w:color w:val="000000"/>
          <w:sz w:val="24"/>
        </w:rPr>
        <w:t>年度财务报表符合企业会计准则的要求，真实、完整地反映了本基金</w:t>
      </w:r>
      <w:r w:rsidRPr="00592B92">
        <w:rPr>
          <w:color w:val="000000"/>
          <w:sz w:val="24"/>
        </w:rPr>
        <w:t>2018</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2018</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w:t>
      </w:r>
      <w:proofErr w:type="gramStart"/>
      <w:r w:rsidR="00F947D6" w:rsidRPr="00C2179A">
        <w:rPr>
          <w:rFonts w:ascii="Times New Roman" w:hAnsi="Times New Roman" w:hint="eastAsia"/>
          <w:kern w:val="0"/>
          <w:szCs w:val="24"/>
        </w:rPr>
        <w:t>度报告</w:t>
      </w:r>
      <w:proofErr w:type="gramEnd"/>
      <w:r w:rsidR="00F947D6" w:rsidRPr="00C2179A">
        <w:rPr>
          <w:rFonts w:ascii="Times New Roman" w:hAnsi="Times New Roman" w:hint="eastAsia"/>
          <w:kern w:val="0"/>
          <w:szCs w:val="24"/>
        </w:rPr>
        <w:t>相一致的说明</w:t>
      </w:r>
    </w:p>
    <w:p w:rsidR="001A59F9" w:rsidRPr="0086614D"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w:t>
      </w:r>
      <w:proofErr w:type="gramStart"/>
      <w:r w:rsidRPr="0086614D">
        <w:rPr>
          <w:color w:val="000000"/>
          <w:sz w:val="24"/>
        </w:rPr>
        <w:t>度报告</w:t>
      </w:r>
      <w:proofErr w:type="gramEnd"/>
      <w:r w:rsidRPr="0086614D">
        <w:rPr>
          <w:color w:val="000000"/>
          <w:sz w:val="24"/>
        </w:rPr>
        <w:t>相一致。</w:t>
      </w:r>
    </w:p>
    <w:p w:rsidR="00DB39E5" w:rsidRDefault="00DB39E5" w:rsidP="00C2179A">
      <w:pPr>
        <w:pStyle w:val="20"/>
        <w:spacing w:before="29" w:after="0" w:line="288" w:lineRule="auto"/>
        <w:rPr>
          <w:rFonts w:ascii="Times New Roman" w:hAnsi="Times New Roman"/>
          <w:kern w:val="0"/>
          <w:szCs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FB0947" w:rsidRDefault="00DB39E5">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w:t>
      </w:r>
      <w:r>
        <w:rPr>
          <w:color w:val="000000"/>
          <w:sz w:val="24"/>
        </w:rPr>
        <w:lastRenderedPageBreak/>
        <w:t>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FB0947" w:rsidRDefault="00DB39E5">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FB0947" w:rsidRDefault="00DB39E5">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FB0947" w:rsidRDefault="00DB39E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FB0947" w:rsidRDefault="00DB39E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FB0947" w:rsidRDefault="00DB39E5">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(5) </w:t>
      </w:r>
      <w:r w:rsidRPr="0076649F">
        <w:rPr>
          <w:color w:val="000000"/>
          <w:sz w:val="24"/>
        </w:rPr>
        <w:t>本基金的城市维护建设税、教育费附加和地方教育费附加等税费按照实际缴纳增值税额的适用比例计算缴纳。</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FB0947">
        <w:tc>
          <w:tcPr>
            <w:tcW w:w="5219" w:type="dxa"/>
            <w:vAlign w:val="center"/>
          </w:tcPr>
          <w:p w:rsidR="00FB0947" w:rsidRDefault="00DB39E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B0947" w:rsidRDefault="00DB39E5">
            <w:pPr>
              <w:jc w:val="center"/>
            </w:pPr>
            <w:r>
              <w:rPr>
                <w:color w:val="000000"/>
                <w:sz w:val="24"/>
              </w:rPr>
              <w:t>基金管理人、基金销售机构</w:t>
            </w:r>
          </w:p>
        </w:tc>
      </w:tr>
      <w:tr w:rsidR="00FB0947">
        <w:tc>
          <w:tcPr>
            <w:tcW w:w="5219" w:type="dxa"/>
            <w:vAlign w:val="center"/>
          </w:tcPr>
          <w:p w:rsidR="00FB0947" w:rsidRDefault="00DB39E5">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FB0947" w:rsidRDefault="00DB39E5">
            <w:pPr>
              <w:jc w:val="center"/>
            </w:pPr>
            <w:r>
              <w:rPr>
                <w:color w:val="000000"/>
                <w:sz w:val="24"/>
              </w:rPr>
              <w:t>基金托管人、基金销售机构</w:t>
            </w:r>
          </w:p>
        </w:tc>
      </w:tr>
      <w:tr w:rsidR="00FB0947">
        <w:tc>
          <w:tcPr>
            <w:tcW w:w="5219" w:type="dxa"/>
            <w:vAlign w:val="center"/>
          </w:tcPr>
          <w:p w:rsidR="00FB0947" w:rsidRDefault="00DB39E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B0947" w:rsidRDefault="00DB39E5">
            <w:pPr>
              <w:jc w:val="center"/>
            </w:pPr>
            <w:r>
              <w:rPr>
                <w:color w:val="000000"/>
                <w:sz w:val="24"/>
              </w:rPr>
              <w:t>基金管理人的股东、基金销售机构</w:t>
            </w:r>
          </w:p>
        </w:tc>
      </w:tr>
      <w:tr w:rsidR="00FB0947">
        <w:tc>
          <w:tcPr>
            <w:tcW w:w="5219" w:type="dxa"/>
            <w:vAlign w:val="center"/>
          </w:tcPr>
          <w:p w:rsidR="00FB0947" w:rsidRDefault="00DB39E5">
            <w:pPr>
              <w:jc w:val="left"/>
            </w:pPr>
            <w:r>
              <w:rPr>
                <w:color w:val="000000"/>
                <w:sz w:val="24"/>
              </w:rPr>
              <w:lastRenderedPageBreak/>
              <w:t>施罗德投资管理有限公司</w:t>
            </w:r>
          </w:p>
        </w:tc>
        <w:tc>
          <w:tcPr>
            <w:tcW w:w="3779" w:type="dxa"/>
            <w:vAlign w:val="center"/>
          </w:tcPr>
          <w:p w:rsidR="00FB0947" w:rsidRDefault="00DB39E5">
            <w:pPr>
              <w:jc w:val="center"/>
            </w:pPr>
            <w:r>
              <w:rPr>
                <w:color w:val="000000"/>
                <w:sz w:val="24"/>
              </w:rPr>
              <w:t>基金管理人的股东</w:t>
            </w:r>
          </w:p>
        </w:tc>
      </w:tr>
      <w:tr w:rsidR="00FB0947">
        <w:tc>
          <w:tcPr>
            <w:tcW w:w="5219" w:type="dxa"/>
            <w:vAlign w:val="center"/>
          </w:tcPr>
          <w:p w:rsidR="00FB0947" w:rsidRDefault="00DB39E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FB0947" w:rsidRDefault="00DB39E5">
            <w:pPr>
              <w:jc w:val="center"/>
            </w:pPr>
            <w:r>
              <w:rPr>
                <w:color w:val="000000"/>
                <w:sz w:val="24"/>
              </w:rPr>
              <w:t>基金管理人的股东</w:t>
            </w:r>
          </w:p>
        </w:tc>
      </w:tr>
      <w:tr w:rsidR="00FB0947">
        <w:tc>
          <w:tcPr>
            <w:tcW w:w="5219" w:type="dxa"/>
            <w:vAlign w:val="center"/>
          </w:tcPr>
          <w:p w:rsidR="00FB0947" w:rsidRDefault="00DB39E5">
            <w:pPr>
              <w:jc w:val="left"/>
            </w:pPr>
            <w:r>
              <w:rPr>
                <w:color w:val="000000"/>
                <w:sz w:val="24"/>
              </w:rPr>
              <w:t>交银施罗德资产管理有限公司</w:t>
            </w:r>
          </w:p>
        </w:tc>
        <w:tc>
          <w:tcPr>
            <w:tcW w:w="3779" w:type="dxa"/>
            <w:vAlign w:val="center"/>
          </w:tcPr>
          <w:p w:rsidR="00FB0947" w:rsidRDefault="00DB39E5">
            <w:pPr>
              <w:jc w:val="center"/>
            </w:pPr>
            <w:r>
              <w:rPr>
                <w:color w:val="000000"/>
                <w:sz w:val="24"/>
              </w:rPr>
              <w:t>基金管理人的子公司</w:t>
            </w:r>
          </w:p>
        </w:tc>
      </w:tr>
      <w:tr w:rsidR="00FB0947">
        <w:tc>
          <w:tcPr>
            <w:tcW w:w="5219" w:type="dxa"/>
            <w:vAlign w:val="center"/>
          </w:tcPr>
          <w:p w:rsidR="00FB0947" w:rsidRDefault="00DB39E5">
            <w:pPr>
              <w:jc w:val="left"/>
            </w:pPr>
            <w:r>
              <w:rPr>
                <w:color w:val="000000"/>
                <w:sz w:val="24"/>
              </w:rPr>
              <w:t>上海直源投资管理有限公司</w:t>
            </w:r>
          </w:p>
        </w:tc>
        <w:tc>
          <w:tcPr>
            <w:tcW w:w="3779" w:type="dxa"/>
            <w:vAlign w:val="center"/>
          </w:tcPr>
          <w:p w:rsidR="00FB0947" w:rsidRDefault="00DB39E5">
            <w:pPr>
              <w:jc w:val="center"/>
            </w:pPr>
            <w:r>
              <w:rPr>
                <w:color w:val="000000"/>
                <w:sz w:val="24"/>
              </w:rPr>
              <w:t>受基金管理人控制的公司</w:t>
            </w:r>
          </w:p>
        </w:tc>
      </w:tr>
      <w:tr w:rsidR="00FB0947">
        <w:tc>
          <w:tcPr>
            <w:tcW w:w="5219" w:type="dxa"/>
            <w:vAlign w:val="center"/>
          </w:tcPr>
          <w:p w:rsidR="00FB0947" w:rsidRDefault="00DB39E5">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FB0947" w:rsidRDefault="00DB39E5">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w:t>
      </w:r>
      <w:proofErr w:type="gramStart"/>
      <w:r w:rsidRPr="00CD0071">
        <w:rPr>
          <w:color w:val="000000"/>
          <w:sz w:val="24"/>
        </w:rPr>
        <w:t>无通过</w:t>
      </w:r>
      <w:proofErr w:type="gramEnd"/>
      <w:r w:rsidRPr="00CD0071">
        <w:rPr>
          <w:color w:val="000000"/>
          <w:sz w:val="24"/>
        </w:rPr>
        <w:t>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9,225,765.69</w:t>
            </w:r>
          </w:p>
        </w:tc>
        <w:tc>
          <w:tcPr>
            <w:tcW w:w="2657" w:type="dxa"/>
            <w:vAlign w:val="center"/>
          </w:tcPr>
          <w:p w:rsidR="001A59F9" w:rsidRPr="00817316" w:rsidRDefault="001A59F9" w:rsidP="00817316">
            <w:pPr>
              <w:spacing w:before="29" w:line="288" w:lineRule="auto"/>
              <w:jc w:val="right"/>
              <w:rPr>
                <w:sz w:val="24"/>
              </w:rPr>
            </w:pPr>
            <w:r w:rsidRPr="00817316">
              <w:rPr>
                <w:sz w:val="24"/>
              </w:rPr>
              <w:t>10,529,715.15</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540,197.82</w:t>
            </w:r>
          </w:p>
        </w:tc>
        <w:tc>
          <w:tcPr>
            <w:tcW w:w="2657" w:type="dxa"/>
            <w:vAlign w:val="center"/>
          </w:tcPr>
          <w:p w:rsidR="001A59F9" w:rsidRPr="00817316" w:rsidRDefault="001A59F9" w:rsidP="00817316">
            <w:pPr>
              <w:spacing w:before="29" w:line="288" w:lineRule="auto"/>
              <w:jc w:val="right"/>
              <w:rPr>
                <w:sz w:val="24"/>
              </w:rPr>
            </w:pPr>
            <w:r w:rsidRPr="00817316">
              <w:rPr>
                <w:sz w:val="24"/>
              </w:rPr>
              <w:t>83,525.26</w:t>
            </w:r>
          </w:p>
        </w:tc>
      </w:tr>
    </w:tbl>
    <w:p w:rsidR="00FB0947" w:rsidRDefault="00DB39E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×0.60%÷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2018</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2018</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3,075,255.19</w:t>
            </w:r>
          </w:p>
        </w:tc>
        <w:tc>
          <w:tcPr>
            <w:tcW w:w="2657" w:type="dxa"/>
            <w:vAlign w:val="center"/>
          </w:tcPr>
          <w:p w:rsidR="001A59F9" w:rsidRPr="00817316" w:rsidRDefault="001A59F9" w:rsidP="00817316">
            <w:pPr>
              <w:spacing w:before="29" w:line="288" w:lineRule="auto"/>
              <w:jc w:val="right"/>
              <w:rPr>
                <w:sz w:val="24"/>
              </w:rPr>
            </w:pPr>
            <w:r w:rsidRPr="00817316">
              <w:rPr>
                <w:sz w:val="24"/>
              </w:rPr>
              <w:t>3,509,904.94</w:t>
            </w:r>
          </w:p>
        </w:tc>
      </w:tr>
    </w:tbl>
    <w:p w:rsidR="00FB0947" w:rsidRDefault="00DB39E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DB39E5">
        <w:tc>
          <w:tcPr>
            <w:tcW w:w="2110" w:type="dxa"/>
            <w:vMerge w:val="restart"/>
            <w:vAlign w:val="center"/>
          </w:tcPr>
          <w:p w:rsidR="0007161E" w:rsidRPr="00251201" w:rsidRDefault="0007161E" w:rsidP="00DB39E5">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DB39E5">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DB39E5">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DB39E5">
        <w:tc>
          <w:tcPr>
            <w:tcW w:w="2110" w:type="dxa"/>
            <w:vMerge/>
          </w:tcPr>
          <w:p w:rsidR="0007161E" w:rsidRPr="00251201" w:rsidRDefault="0007161E" w:rsidP="00DB39E5">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DB39E5">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DB39E5">
        <w:tc>
          <w:tcPr>
            <w:tcW w:w="2110" w:type="dxa"/>
            <w:vMerge/>
          </w:tcPr>
          <w:p w:rsidR="0007161E" w:rsidRPr="00251201" w:rsidRDefault="0007161E" w:rsidP="00DB39E5">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DB39E5">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07161E" w:rsidRPr="00251201" w:rsidRDefault="0007161E" w:rsidP="00DB39E5">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07161E" w:rsidRPr="00251201" w:rsidRDefault="0007161E" w:rsidP="00DB39E5">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B0947">
        <w:tc>
          <w:tcPr>
            <w:tcW w:w="2045" w:type="dxa"/>
            <w:vAlign w:val="center"/>
          </w:tcPr>
          <w:p w:rsidR="00FB0947" w:rsidRDefault="00DB39E5">
            <w:pPr>
              <w:jc w:val="left"/>
            </w:pPr>
            <w:r>
              <w:rPr>
                <w:sz w:val="24"/>
              </w:rPr>
              <w:t>交通银行</w:t>
            </w:r>
          </w:p>
        </w:tc>
        <w:tc>
          <w:tcPr>
            <w:tcW w:w="2455" w:type="dxa"/>
            <w:vAlign w:val="center"/>
          </w:tcPr>
          <w:p w:rsidR="00FB0947" w:rsidRDefault="00DB39E5">
            <w:pPr>
              <w:jc w:val="right"/>
            </w:pPr>
            <w:r>
              <w:rPr>
                <w:sz w:val="24"/>
              </w:rPr>
              <w:t>-</w:t>
            </w:r>
          </w:p>
        </w:tc>
        <w:tc>
          <w:tcPr>
            <w:tcW w:w="2609" w:type="dxa"/>
            <w:vAlign w:val="center"/>
          </w:tcPr>
          <w:p w:rsidR="00FB0947" w:rsidRDefault="00DB39E5">
            <w:pPr>
              <w:jc w:val="right"/>
            </w:pPr>
            <w:r>
              <w:rPr>
                <w:sz w:val="24"/>
              </w:rPr>
              <w:t>1,317.33</w:t>
            </w:r>
          </w:p>
        </w:tc>
        <w:tc>
          <w:tcPr>
            <w:tcW w:w="1889" w:type="dxa"/>
            <w:vAlign w:val="center"/>
          </w:tcPr>
          <w:p w:rsidR="00FB0947" w:rsidRDefault="00DB39E5">
            <w:pPr>
              <w:jc w:val="right"/>
            </w:pPr>
            <w:r>
              <w:rPr>
                <w:sz w:val="24"/>
              </w:rPr>
              <w:t>1,317.33</w:t>
            </w:r>
          </w:p>
        </w:tc>
      </w:tr>
      <w:tr w:rsidR="00FB0947">
        <w:tc>
          <w:tcPr>
            <w:tcW w:w="2045" w:type="dxa"/>
            <w:vAlign w:val="center"/>
          </w:tcPr>
          <w:p w:rsidR="00FB0947" w:rsidRDefault="00DB39E5">
            <w:pPr>
              <w:jc w:val="left"/>
            </w:pPr>
            <w:r>
              <w:rPr>
                <w:sz w:val="24"/>
              </w:rPr>
              <w:t>中信银行</w:t>
            </w:r>
          </w:p>
        </w:tc>
        <w:tc>
          <w:tcPr>
            <w:tcW w:w="2455" w:type="dxa"/>
            <w:vAlign w:val="center"/>
          </w:tcPr>
          <w:p w:rsidR="00FB0947" w:rsidRDefault="00DB39E5">
            <w:pPr>
              <w:jc w:val="right"/>
            </w:pPr>
            <w:r>
              <w:rPr>
                <w:sz w:val="24"/>
              </w:rPr>
              <w:t>-</w:t>
            </w:r>
          </w:p>
        </w:tc>
        <w:tc>
          <w:tcPr>
            <w:tcW w:w="2609" w:type="dxa"/>
            <w:vAlign w:val="center"/>
          </w:tcPr>
          <w:p w:rsidR="00FB0947" w:rsidRDefault="00DB39E5">
            <w:pPr>
              <w:jc w:val="right"/>
            </w:pPr>
            <w:r>
              <w:rPr>
                <w:sz w:val="24"/>
              </w:rPr>
              <w:t>16,651.08</w:t>
            </w:r>
          </w:p>
        </w:tc>
        <w:tc>
          <w:tcPr>
            <w:tcW w:w="1889" w:type="dxa"/>
            <w:vAlign w:val="center"/>
          </w:tcPr>
          <w:p w:rsidR="00FB0947" w:rsidRDefault="00DB39E5">
            <w:pPr>
              <w:jc w:val="right"/>
            </w:pPr>
            <w:r>
              <w:rPr>
                <w:sz w:val="24"/>
              </w:rPr>
              <w:t>16,651.08</w:t>
            </w:r>
          </w:p>
        </w:tc>
      </w:tr>
      <w:tr w:rsidR="00FB0947">
        <w:tc>
          <w:tcPr>
            <w:tcW w:w="2045" w:type="dxa"/>
            <w:vAlign w:val="center"/>
          </w:tcPr>
          <w:p w:rsidR="00FB0947" w:rsidRDefault="00DB39E5">
            <w:pPr>
              <w:jc w:val="left"/>
            </w:pPr>
            <w:r>
              <w:rPr>
                <w:sz w:val="24"/>
              </w:rPr>
              <w:t>交银施罗德基金公司</w:t>
            </w:r>
          </w:p>
        </w:tc>
        <w:tc>
          <w:tcPr>
            <w:tcW w:w="2455" w:type="dxa"/>
            <w:vAlign w:val="center"/>
          </w:tcPr>
          <w:p w:rsidR="00FB0947" w:rsidRDefault="00DB39E5">
            <w:pPr>
              <w:jc w:val="right"/>
            </w:pPr>
            <w:r>
              <w:rPr>
                <w:sz w:val="24"/>
              </w:rPr>
              <w:t>-</w:t>
            </w:r>
          </w:p>
        </w:tc>
        <w:tc>
          <w:tcPr>
            <w:tcW w:w="2609" w:type="dxa"/>
            <w:vAlign w:val="center"/>
          </w:tcPr>
          <w:p w:rsidR="00FB0947" w:rsidRDefault="00DB39E5">
            <w:pPr>
              <w:jc w:val="right"/>
            </w:pPr>
            <w:r>
              <w:rPr>
                <w:sz w:val="24"/>
              </w:rPr>
              <w:t>81,045.31</w:t>
            </w:r>
          </w:p>
        </w:tc>
        <w:tc>
          <w:tcPr>
            <w:tcW w:w="1889" w:type="dxa"/>
            <w:vAlign w:val="center"/>
          </w:tcPr>
          <w:p w:rsidR="00FB0947" w:rsidRDefault="00DB39E5">
            <w:pPr>
              <w:jc w:val="right"/>
            </w:pPr>
            <w:r>
              <w:rPr>
                <w:sz w:val="24"/>
              </w:rPr>
              <w:t>81,045.31</w:t>
            </w:r>
          </w:p>
        </w:tc>
      </w:tr>
      <w:tr w:rsidR="0007161E" w:rsidTr="00DB39E5">
        <w:tc>
          <w:tcPr>
            <w:tcW w:w="2110" w:type="dxa"/>
            <w:vAlign w:val="center"/>
          </w:tcPr>
          <w:p w:rsidR="0007161E" w:rsidRDefault="0007161E" w:rsidP="00DB39E5">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DB39E5">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DB39E5">
            <w:pPr>
              <w:spacing w:before="29" w:line="288" w:lineRule="auto"/>
              <w:jc w:val="center"/>
              <w:rPr>
                <w:color w:val="000000"/>
                <w:kern w:val="0"/>
                <w:sz w:val="24"/>
              </w:rPr>
            </w:pPr>
            <w:r w:rsidRPr="00C2276D">
              <w:rPr>
                <w:color w:val="000000"/>
                <w:kern w:val="0"/>
                <w:sz w:val="24"/>
              </w:rPr>
              <w:t>99,013.72</w:t>
            </w:r>
          </w:p>
        </w:tc>
        <w:tc>
          <w:tcPr>
            <w:tcW w:w="1948" w:type="dxa"/>
            <w:vAlign w:val="center"/>
          </w:tcPr>
          <w:p w:rsidR="0007161E" w:rsidRPr="00C2276D" w:rsidRDefault="0007161E" w:rsidP="00DB39E5">
            <w:pPr>
              <w:spacing w:before="29" w:line="288" w:lineRule="auto"/>
              <w:jc w:val="center"/>
              <w:rPr>
                <w:color w:val="000000"/>
                <w:kern w:val="0"/>
                <w:sz w:val="24"/>
              </w:rPr>
            </w:pPr>
            <w:r w:rsidRPr="00C2276D">
              <w:rPr>
                <w:color w:val="000000"/>
                <w:kern w:val="0"/>
                <w:sz w:val="24"/>
              </w:rPr>
              <w:t>99,013.72</w:t>
            </w:r>
          </w:p>
        </w:tc>
      </w:tr>
      <w:tr w:rsidR="0007161E" w:rsidTr="00DB39E5">
        <w:tc>
          <w:tcPr>
            <w:tcW w:w="2110" w:type="dxa"/>
            <w:vMerge w:val="restart"/>
            <w:vAlign w:val="center"/>
          </w:tcPr>
          <w:p w:rsidR="0007161E" w:rsidRPr="00251201" w:rsidRDefault="0007161E" w:rsidP="00DB39E5">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DB39E5">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DB39E5">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DB39E5">
        <w:tc>
          <w:tcPr>
            <w:tcW w:w="2110" w:type="dxa"/>
            <w:vMerge/>
          </w:tcPr>
          <w:p w:rsidR="0007161E" w:rsidRPr="00251201" w:rsidRDefault="0007161E" w:rsidP="00DB39E5">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DB39E5">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DB39E5">
        <w:tc>
          <w:tcPr>
            <w:tcW w:w="2110" w:type="dxa"/>
            <w:vMerge/>
          </w:tcPr>
          <w:p w:rsidR="0007161E" w:rsidRPr="00251201" w:rsidRDefault="0007161E" w:rsidP="00DB39E5">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DB39E5">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A/B</w:t>
            </w:r>
          </w:p>
        </w:tc>
        <w:tc>
          <w:tcPr>
            <w:tcW w:w="2694" w:type="dxa"/>
            <w:vAlign w:val="center"/>
          </w:tcPr>
          <w:p w:rsidR="0007161E" w:rsidRPr="00251201" w:rsidRDefault="0007161E" w:rsidP="00DB39E5">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交银双轮动债券</w:t>
            </w:r>
            <w:r w:rsidRPr="00251201">
              <w:rPr>
                <w:color w:val="000000"/>
                <w:sz w:val="24"/>
              </w:rPr>
              <w:t>C</w:t>
            </w:r>
          </w:p>
        </w:tc>
        <w:tc>
          <w:tcPr>
            <w:tcW w:w="1948" w:type="dxa"/>
            <w:vAlign w:val="center"/>
          </w:tcPr>
          <w:p w:rsidR="0007161E" w:rsidRPr="00251201" w:rsidRDefault="0007161E" w:rsidP="00DB39E5">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B0947">
        <w:tc>
          <w:tcPr>
            <w:tcW w:w="2045" w:type="dxa"/>
            <w:vAlign w:val="center"/>
          </w:tcPr>
          <w:p w:rsidR="00FB0947" w:rsidRDefault="00DB39E5">
            <w:pPr>
              <w:jc w:val="left"/>
            </w:pPr>
            <w:r>
              <w:rPr>
                <w:sz w:val="24"/>
              </w:rPr>
              <w:t>交通银行</w:t>
            </w:r>
          </w:p>
        </w:tc>
        <w:tc>
          <w:tcPr>
            <w:tcW w:w="2455" w:type="dxa"/>
            <w:vAlign w:val="center"/>
          </w:tcPr>
          <w:p w:rsidR="00FB0947" w:rsidRDefault="00DB39E5">
            <w:pPr>
              <w:jc w:val="right"/>
            </w:pPr>
            <w:r>
              <w:rPr>
                <w:sz w:val="24"/>
              </w:rPr>
              <w:t>-</w:t>
            </w:r>
          </w:p>
        </w:tc>
        <w:tc>
          <w:tcPr>
            <w:tcW w:w="2609" w:type="dxa"/>
            <w:vAlign w:val="center"/>
          </w:tcPr>
          <w:p w:rsidR="00FB0947" w:rsidRDefault="00DB39E5">
            <w:pPr>
              <w:jc w:val="right"/>
            </w:pPr>
            <w:r>
              <w:rPr>
                <w:sz w:val="24"/>
              </w:rPr>
              <w:t>3,649.98</w:t>
            </w:r>
          </w:p>
        </w:tc>
        <w:tc>
          <w:tcPr>
            <w:tcW w:w="1889" w:type="dxa"/>
            <w:vAlign w:val="center"/>
          </w:tcPr>
          <w:p w:rsidR="00FB0947" w:rsidRDefault="00DB39E5">
            <w:pPr>
              <w:jc w:val="right"/>
            </w:pPr>
            <w:r>
              <w:rPr>
                <w:sz w:val="24"/>
              </w:rPr>
              <w:t>3,649.98</w:t>
            </w:r>
          </w:p>
        </w:tc>
      </w:tr>
      <w:tr w:rsidR="00FB0947">
        <w:tc>
          <w:tcPr>
            <w:tcW w:w="2045" w:type="dxa"/>
            <w:vAlign w:val="center"/>
          </w:tcPr>
          <w:p w:rsidR="00FB0947" w:rsidRDefault="00DB39E5">
            <w:pPr>
              <w:jc w:val="left"/>
            </w:pPr>
            <w:r>
              <w:rPr>
                <w:sz w:val="24"/>
              </w:rPr>
              <w:t>中信银行</w:t>
            </w:r>
          </w:p>
        </w:tc>
        <w:tc>
          <w:tcPr>
            <w:tcW w:w="2455" w:type="dxa"/>
            <w:vAlign w:val="center"/>
          </w:tcPr>
          <w:p w:rsidR="00FB0947" w:rsidRDefault="00DB39E5">
            <w:pPr>
              <w:jc w:val="right"/>
            </w:pPr>
            <w:r>
              <w:rPr>
                <w:sz w:val="24"/>
              </w:rPr>
              <w:t>-</w:t>
            </w:r>
          </w:p>
        </w:tc>
        <w:tc>
          <w:tcPr>
            <w:tcW w:w="2609" w:type="dxa"/>
            <w:vAlign w:val="center"/>
          </w:tcPr>
          <w:p w:rsidR="00FB0947" w:rsidRDefault="00DB39E5">
            <w:pPr>
              <w:jc w:val="right"/>
            </w:pPr>
            <w:r>
              <w:rPr>
                <w:sz w:val="24"/>
              </w:rPr>
              <w:t>22,060.69</w:t>
            </w:r>
          </w:p>
        </w:tc>
        <w:tc>
          <w:tcPr>
            <w:tcW w:w="1889" w:type="dxa"/>
            <w:vAlign w:val="center"/>
          </w:tcPr>
          <w:p w:rsidR="00FB0947" w:rsidRDefault="00DB39E5">
            <w:pPr>
              <w:jc w:val="right"/>
            </w:pPr>
            <w:r>
              <w:rPr>
                <w:sz w:val="24"/>
              </w:rPr>
              <w:t>22,060.69</w:t>
            </w:r>
          </w:p>
        </w:tc>
      </w:tr>
      <w:tr w:rsidR="00FB0947">
        <w:tc>
          <w:tcPr>
            <w:tcW w:w="2045" w:type="dxa"/>
            <w:vAlign w:val="center"/>
          </w:tcPr>
          <w:p w:rsidR="00FB0947" w:rsidRDefault="00DB39E5">
            <w:pPr>
              <w:jc w:val="left"/>
            </w:pPr>
            <w:r>
              <w:rPr>
                <w:sz w:val="24"/>
              </w:rPr>
              <w:t>交银施罗德基金公司</w:t>
            </w:r>
          </w:p>
        </w:tc>
        <w:tc>
          <w:tcPr>
            <w:tcW w:w="2455" w:type="dxa"/>
            <w:vAlign w:val="center"/>
          </w:tcPr>
          <w:p w:rsidR="00FB0947" w:rsidRDefault="00DB39E5">
            <w:pPr>
              <w:jc w:val="right"/>
            </w:pPr>
            <w:r>
              <w:rPr>
                <w:sz w:val="24"/>
              </w:rPr>
              <w:t>-</w:t>
            </w:r>
          </w:p>
        </w:tc>
        <w:tc>
          <w:tcPr>
            <w:tcW w:w="2609" w:type="dxa"/>
            <w:vAlign w:val="center"/>
          </w:tcPr>
          <w:p w:rsidR="00FB0947" w:rsidRDefault="00DB39E5">
            <w:pPr>
              <w:jc w:val="right"/>
            </w:pPr>
            <w:r>
              <w:rPr>
                <w:sz w:val="24"/>
              </w:rPr>
              <w:t>864.50</w:t>
            </w:r>
          </w:p>
        </w:tc>
        <w:tc>
          <w:tcPr>
            <w:tcW w:w="1889" w:type="dxa"/>
            <w:vAlign w:val="center"/>
          </w:tcPr>
          <w:p w:rsidR="00FB0947" w:rsidRDefault="00DB39E5">
            <w:pPr>
              <w:jc w:val="right"/>
            </w:pPr>
            <w:r>
              <w:rPr>
                <w:sz w:val="24"/>
              </w:rPr>
              <w:t>864.50</w:t>
            </w:r>
          </w:p>
        </w:tc>
      </w:tr>
      <w:tr w:rsidR="0007161E" w:rsidRPr="00C2276D" w:rsidTr="00DB39E5">
        <w:tc>
          <w:tcPr>
            <w:tcW w:w="2110" w:type="dxa"/>
            <w:vAlign w:val="center"/>
          </w:tcPr>
          <w:p w:rsidR="0007161E" w:rsidRPr="00A4203E" w:rsidRDefault="0007161E" w:rsidP="00DB39E5">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DB39E5">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DB39E5">
            <w:pPr>
              <w:spacing w:before="29" w:line="288" w:lineRule="auto"/>
              <w:jc w:val="center"/>
              <w:rPr>
                <w:color w:val="000000"/>
                <w:kern w:val="0"/>
                <w:sz w:val="24"/>
              </w:rPr>
            </w:pPr>
            <w:r w:rsidRPr="00C2276D">
              <w:rPr>
                <w:color w:val="000000"/>
                <w:kern w:val="0"/>
                <w:sz w:val="24"/>
              </w:rPr>
              <w:t>26,575.17</w:t>
            </w:r>
          </w:p>
        </w:tc>
        <w:tc>
          <w:tcPr>
            <w:tcW w:w="1948" w:type="dxa"/>
            <w:vAlign w:val="center"/>
          </w:tcPr>
          <w:p w:rsidR="0007161E" w:rsidRPr="00C2276D" w:rsidRDefault="0007161E" w:rsidP="00DB39E5">
            <w:pPr>
              <w:spacing w:before="29" w:line="288" w:lineRule="auto"/>
              <w:jc w:val="center"/>
              <w:rPr>
                <w:color w:val="000000"/>
                <w:kern w:val="0"/>
                <w:sz w:val="24"/>
              </w:rPr>
            </w:pPr>
            <w:r w:rsidRPr="00C2276D">
              <w:rPr>
                <w:color w:val="000000"/>
                <w:kern w:val="0"/>
                <w:sz w:val="24"/>
              </w:rPr>
              <w:t>26,575.17</w:t>
            </w:r>
          </w:p>
        </w:tc>
      </w:tr>
    </w:tbl>
    <w:p w:rsidR="00FB0947" w:rsidRDefault="00DB39E5">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本基金本报告期内及上年度可比期间未发生与关联方进行银行间同业市场的债券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w:t>
      </w:r>
      <w:proofErr w:type="gramStart"/>
      <w:r w:rsidRPr="00C2179A">
        <w:rPr>
          <w:rFonts w:ascii="Times New Roman" w:hAnsi="Times New Roman" w:hint="eastAsia"/>
          <w:kern w:val="0"/>
          <w:szCs w:val="24"/>
        </w:rPr>
        <w:t>固有资金</w:t>
      </w:r>
      <w:proofErr w:type="gramEnd"/>
      <w:r w:rsidRPr="00C2179A">
        <w:rPr>
          <w:rFonts w:ascii="Times New Roman" w:hAnsi="Times New Roman" w:hint="eastAsia"/>
          <w:kern w:val="0"/>
          <w:szCs w:val="24"/>
        </w:rPr>
        <w:t>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w:t>
      </w:r>
      <w:proofErr w:type="gramStart"/>
      <w:r w:rsidRPr="00E25C2A">
        <w:rPr>
          <w:kern w:val="0"/>
          <w:sz w:val="24"/>
        </w:rPr>
        <w:t>固有资金</w:t>
      </w:r>
      <w:proofErr w:type="gramEnd"/>
      <w:r w:rsidRPr="00E25C2A">
        <w:rPr>
          <w:kern w:val="0"/>
          <w:sz w:val="24"/>
        </w:rPr>
        <w:t>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E54270" w:rsidRPr="008B2C7A" w:rsidRDefault="00E54270" w:rsidP="00275EC0">
      <w:pPr>
        <w:adjustRightInd w:val="0"/>
        <w:snapToGrid w:val="0"/>
        <w:spacing w:before="29" w:line="288" w:lineRule="auto"/>
        <w:rPr>
          <w:rFonts w:asciiTheme="minorEastAsia" w:eastAsiaTheme="minorEastAsia" w:hAnsiTheme="minorEastAsia"/>
          <w:color w:val="000000"/>
          <w:szCs w:val="21"/>
        </w:rPr>
      </w:pPr>
      <w:r w:rsidRPr="00275EC0">
        <w:rPr>
          <w:color w:val="000000"/>
          <w:sz w:val="24"/>
        </w:rPr>
        <w:t>交银双轮动债券</w:t>
      </w:r>
      <w:r w:rsidRPr="00275EC0">
        <w:rPr>
          <w:color w:val="000000"/>
          <w:sz w:val="24"/>
        </w:rPr>
        <w:t>A/B</w:t>
      </w:r>
    </w:p>
    <w:p w:rsidR="00A63161" w:rsidRPr="00564CEA" w:rsidRDefault="00A63161"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F8216D" w:rsidRPr="008B2C7A" w:rsidTr="00C03231">
        <w:tc>
          <w:tcPr>
            <w:tcW w:w="1800" w:type="dxa"/>
            <w:vMerge w:val="restart"/>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rFonts w:hint="eastAsia"/>
                <w:sz w:val="24"/>
              </w:rPr>
              <w:lastRenderedPageBreak/>
              <w:t>关联方名称</w:t>
            </w:r>
          </w:p>
        </w:tc>
        <w:tc>
          <w:tcPr>
            <w:tcW w:w="342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交银双轮动债券</w:t>
            </w:r>
            <w:r w:rsidRPr="00275EC0">
              <w:rPr>
                <w:sz w:val="24"/>
              </w:rPr>
              <w:t>A/B</w:t>
            </w:r>
            <w:r w:rsidRPr="00275EC0">
              <w:rPr>
                <w:rFonts w:hint="eastAsia"/>
                <w:sz w:val="24"/>
              </w:rPr>
              <w:t>本期末</w:t>
            </w:r>
            <w:r w:rsidRPr="00275EC0">
              <w:rPr>
                <w:sz w:val="24"/>
              </w:rPr>
              <w:t>2018</w:t>
            </w:r>
            <w:r w:rsidRPr="00275EC0">
              <w:rPr>
                <w:sz w:val="24"/>
              </w:rPr>
              <w:t>年</w:t>
            </w:r>
            <w:r w:rsidRPr="00275EC0">
              <w:rPr>
                <w:sz w:val="24"/>
              </w:rPr>
              <w:t>12</w:t>
            </w:r>
            <w:r w:rsidRPr="00275EC0">
              <w:rPr>
                <w:sz w:val="24"/>
              </w:rPr>
              <w:t>月</w:t>
            </w:r>
            <w:r w:rsidRPr="00275EC0">
              <w:rPr>
                <w:sz w:val="24"/>
              </w:rPr>
              <w:t>31</w:t>
            </w:r>
            <w:r w:rsidRPr="00275EC0">
              <w:rPr>
                <w:sz w:val="24"/>
              </w:rPr>
              <w:t>日</w:t>
            </w:r>
          </w:p>
        </w:tc>
        <w:tc>
          <w:tcPr>
            <w:tcW w:w="3780" w:type="dxa"/>
            <w:gridSpan w:val="2"/>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r w:rsidRPr="00275EC0">
              <w:rPr>
                <w:sz w:val="24"/>
              </w:rPr>
              <w:t>交银双轮动债券</w:t>
            </w:r>
            <w:r w:rsidRPr="00275EC0">
              <w:rPr>
                <w:sz w:val="24"/>
              </w:rPr>
              <w:t>A/B</w:t>
            </w:r>
            <w:r w:rsidRPr="00275EC0">
              <w:rPr>
                <w:rFonts w:hint="eastAsia"/>
                <w:sz w:val="24"/>
              </w:rPr>
              <w:t>上年度末</w:t>
            </w:r>
            <w:r w:rsidR="00955CB7" w:rsidRPr="00275EC0">
              <w:rPr>
                <w:sz w:val="24"/>
              </w:rPr>
              <w:t>2017</w:t>
            </w:r>
            <w:r w:rsidR="00955CB7" w:rsidRPr="00275EC0">
              <w:rPr>
                <w:sz w:val="24"/>
              </w:rPr>
              <w:t>年</w:t>
            </w:r>
            <w:r w:rsidR="00955CB7" w:rsidRPr="00275EC0">
              <w:rPr>
                <w:sz w:val="24"/>
              </w:rPr>
              <w:t>12</w:t>
            </w:r>
            <w:r w:rsidR="00955CB7" w:rsidRPr="00275EC0">
              <w:rPr>
                <w:sz w:val="24"/>
              </w:rPr>
              <w:t>月</w:t>
            </w:r>
            <w:r w:rsidR="00955CB7" w:rsidRPr="00275EC0">
              <w:rPr>
                <w:sz w:val="24"/>
              </w:rPr>
              <w:t>31</w:t>
            </w:r>
            <w:r w:rsidR="00955CB7" w:rsidRPr="00275EC0">
              <w:rPr>
                <w:sz w:val="24"/>
              </w:rPr>
              <w:t>日</w:t>
            </w:r>
          </w:p>
        </w:tc>
      </w:tr>
      <w:tr w:rsidR="00F8216D" w:rsidRPr="008B2C7A" w:rsidTr="00C03231">
        <w:tc>
          <w:tcPr>
            <w:tcW w:w="1800" w:type="dxa"/>
            <w:vMerge/>
            <w:vAlign w:val="center"/>
          </w:tcPr>
          <w:p w:rsidR="00F8216D" w:rsidRPr="00275EC0" w:rsidRDefault="00F8216D" w:rsidP="00275EC0">
            <w:pPr>
              <w:widowControl/>
              <w:autoSpaceDE w:val="0"/>
              <w:autoSpaceDN w:val="0"/>
              <w:spacing w:before="29" w:line="288" w:lineRule="auto"/>
              <w:ind w:rightChars="-51" w:right="-107"/>
              <w:jc w:val="center"/>
              <w:textAlignment w:val="bottom"/>
              <w:rPr>
                <w:sz w:val="24"/>
              </w:rPr>
            </w:pPr>
          </w:p>
        </w:tc>
        <w:tc>
          <w:tcPr>
            <w:tcW w:w="198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44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c>
          <w:tcPr>
            <w:tcW w:w="216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w:t>
            </w:r>
          </w:p>
        </w:tc>
        <w:tc>
          <w:tcPr>
            <w:tcW w:w="1620" w:type="dxa"/>
            <w:vAlign w:val="center"/>
          </w:tcPr>
          <w:p w:rsidR="00F8216D" w:rsidRPr="00275EC0" w:rsidRDefault="00F8216D" w:rsidP="00275EC0">
            <w:pPr>
              <w:autoSpaceDE w:val="0"/>
              <w:autoSpaceDN w:val="0"/>
              <w:spacing w:before="29" w:line="288" w:lineRule="auto"/>
              <w:ind w:rightChars="-51" w:right="-107"/>
              <w:jc w:val="center"/>
              <w:textAlignment w:val="bottom"/>
              <w:rPr>
                <w:sz w:val="24"/>
              </w:rPr>
            </w:pPr>
            <w:r w:rsidRPr="00275EC0">
              <w:rPr>
                <w:rFonts w:hint="eastAsia"/>
                <w:sz w:val="24"/>
              </w:rPr>
              <w:t>持有的基金份额占基金总份额的比例</w:t>
            </w:r>
          </w:p>
        </w:tc>
      </w:tr>
      <w:tr w:rsidR="00FB0947">
        <w:tc>
          <w:tcPr>
            <w:tcW w:w="1799" w:type="dxa"/>
            <w:vAlign w:val="center"/>
          </w:tcPr>
          <w:p w:rsidR="00FB0947" w:rsidRDefault="00DB39E5">
            <w:pPr>
              <w:jc w:val="left"/>
            </w:pPr>
            <w:r>
              <w:rPr>
                <w:sz w:val="24"/>
              </w:rPr>
              <w:t>交通银行股份有限公司</w:t>
            </w:r>
          </w:p>
        </w:tc>
        <w:tc>
          <w:tcPr>
            <w:tcW w:w="1979" w:type="dxa"/>
            <w:vAlign w:val="center"/>
          </w:tcPr>
          <w:p w:rsidR="00FB0947" w:rsidRDefault="00DB39E5">
            <w:pPr>
              <w:jc w:val="right"/>
            </w:pPr>
            <w:r>
              <w:rPr>
                <w:sz w:val="24"/>
              </w:rPr>
              <w:t>-</w:t>
            </w:r>
          </w:p>
        </w:tc>
        <w:tc>
          <w:tcPr>
            <w:tcW w:w="1440" w:type="dxa"/>
            <w:vAlign w:val="center"/>
          </w:tcPr>
          <w:p w:rsidR="00FB0947" w:rsidRDefault="00DB39E5">
            <w:pPr>
              <w:jc w:val="right"/>
            </w:pPr>
            <w:r>
              <w:rPr>
                <w:sz w:val="24"/>
              </w:rPr>
              <w:t>-</w:t>
            </w:r>
          </w:p>
        </w:tc>
        <w:tc>
          <w:tcPr>
            <w:tcW w:w="2160" w:type="dxa"/>
            <w:vAlign w:val="center"/>
          </w:tcPr>
          <w:p w:rsidR="00FB0947" w:rsidRDefault="00DB39E5">
            <w:pPr>
              <w:jc w:val="right"/>
            </w:pPr>
            <w:r>
              <w:rPr>
                <w:sz w:val="24"/>
              </w:rPr>
              <w:t>1,334,761,675.03</w:t>
            </w:r>
          </w:p>
        </w:tc>
        <w:tc>
          <w:tcPr>
            <w:tcW w:w="1620" w:type="dxa"/>
            <w:vAlign w:val="center"/>
          </w:tcPr>
          <w:p w:rsidR="00FB0947" w:rsidRDefault="00DB39E5">
            <w:pPr>
              <w:jc w:val="right"/>
            </w:pPr>
            <w:r>
              <w:rPr>
                <w:sz w:val="24"/>
              </w:rPr>
              <w:t>86.43%</w:t>
            </w:r>
          </w:p>
        </w:tc>
      </w:tr>
    </w:tbl>
    <w:p w:rsidR="00FB0947" w:rsidRDefault="00DB39E5">
      <w:pPr>
        <w:tabs>
          <w:tab w:val="left" w:pos="426"/>
        </w:tabs>
        <w:spacing w:before="29" w:line="288" w:lineRule="auto"/>
        <w:jc w:val="left"/>
        <w:rPr>
          <w:kern w:val="0"/>
          <w:sz w:val="24"/>
        </w:rPr>
      </w:pPr>
      <w:r>
        <w:rPr>
          <w:kern w:val="0"/>
          <w:sz w:val="24"/>
        </w:rPr>
        <w:t>注：</w:t>
      </w:r>
    </w:p>
    <w:p w:rsidR="00F8216D" w:rsidRDefault="00F8216D" w:rsidP="00E25C2A">
      <w:pPr>
        <w:tabs>
          <w:tab w:val="left" w:pos="426"/>
        </w:tabs>
        <w:spacing w:before="29" w:line="288" w:lineRule="auto"/>
        <w:jc w:val="left"/>
        <w:rPr>
          <w:kern w:val="0"/>
          <w:sz w:val="24"/>
        </w:rPr>
      </w:pPr>
      <w:r w:rsidRPr="00E25C2A">
        <w:rPr>
          <w:kern w:val="0"/>
          <w:sz w:val="24"/>
        </w:rPr>
        <w:t>关联方投资本基金的费率按照基金合同和招募说明书规定的确定，符合公允性要求。</w:t>
      </w:r>
    </w:p>
    <w:p w:rsidR="00BF4D95" w:rsidRPr="00E25C2A" w:rsidRDefault="00BF4D95" w:rsidP="00E25C2A">
      <w:pPr>
        <w:tabs>
          <w:tab w:val="left" w:pos="426"/>
        </w:tabs>
        <w:spacing w:before="29" w:line="288" w:lineRule="auto"/>
        <w:jc w:val="left"/>
        <w:rPr>
          <w:kern w:val="0"/>
          <w:sz w:val="24"/>
        </w:rPr>
      </w:pPr>
    </w:p>
    <w:p w:rsidR="00E54270" w:rsidRPr="00BF4D95" w:rsidRDefault="00E54270" w:rsidP="00BF4D95">
      <w:pPr>
        <w:adjustRightInd w:val="0"/>
        <w:snapToGrid w:val="0"/>
        <w:spacing w:before="29" w:line="288" w:lineRule="auto"/>
        <w:rPr>
          <w:color w:val="000000"/>
          <w:sz w:val="24"/>
        </w:rPr>
      </w:pPr>
      <w:r w:rsidRPr="00BF4D95">
        <w:rPr>
          <w:color w:val="000000"/>
          <w:sz w:val="24"/>
        </w:rPr>
        <w:t>交银双轮动债券</w:t>
      </w:r>
      <w:r w:rsidRPr="00BF4D95">
        <w:rPr>
          <w:color w:val="000000"/>
          <w:sz w:val="24"/>
        </w:rPr>
        <w:t>C</w:t>
      </w:r>
    </w:p>
    <w:p w:rsidR="00F8216D" w:rsidRDefault="00F8216D" w:rsidP="00E25C2A">
      <w:pPr>
        <w:tabs>
          <w:tab w:val="left" w:pos="426"/>
        </w:tabs>
        <w:spacing w:before="29" w:line="288" w:lineRule="auto"/>
        <w:jc w:val="left"/>
        <w:rPr>
          <w:kern w:val="0"/>
          <w:sz w:val="24"/>
        </w:rPr>
      </w:pPr>
      <w:r w:rsidRPr="00E25C2A">
        <w:rPr>
          <w:kern w:val="0"/>
          <w:sz w:val="24"/>
        </w:rPr>
        <w:t>本报告期末及上年度末除基金管理人之外的其他关联方未持有本基金</w:t>
      </w:r>
      <w:r w:rsidRPr="00E25C2A">
        <w:rPr>
          <w:kern w:val="0"/>
          <w:sz w:val="24"/>
        </w:rPr>
        <w:t>C</w:t>
      </w:r>
      <w:r w:rsidRPr="00E25C2A">
        <w:rPr>
          <w:kern w:val="0"/>
          <w:sz w:val="24"/>
        </w:rPr>
        <w:t>类份额。</w:t>
      </w:r>
    </w:p>
    <w:p w:rsidR="001A59F9" w:rsidRPr="008B2C7A" w:rsidRDefault="001A59F9" w:rsidP="00026C9C">
      <w:pPr>
        <w:spacing w:line="360" w:lineRule="auto"/>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2018</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2018</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FB0947">
        <w:tc>
          <w:tcPr>
            <w:tcW w:w="2266" w:type="dxa"/>
            <w:vAlign w:val="center"/>
          </w:tcPr>
          <w:p w:rsidR="00FB0947" w:rsidRDefault="00DB39E5">
            <w:pPr>
              <w:jc w:val="left"/>
            </w:pPr>
            <w:r>
              <w:rPr>
                <w:szCs w:val="21"/>
              </w:rPr>
              <w:t>中信银行股份有限公司</w:t>
            </w:r>
          </w:p>
        </w:tc>
        <w:tc>
          <w:tcPr>
            <w:tcW w:w="1683" w:type="dxa"/>
            <w:vAlign w:val="center"/>
          </w:tcPr>
          <w:p w:rsidR="00FB0947" w:rsidRDefault="00DB39E5">
            <w:pPr>
              <w:jc w:val="right"/>
            </w:pPr>
            <w:r>
              <w:rPr>
                <w:szCs w:val="21"/>
              </w:rPr>
              <w:t>6,322,119.42</w:t>
            </w:r>
          </w:p>
        </w:tc>
        <w:tc>
          <w:tcPr>
            <w:tcW w:w="1683" w:type="dxa"/>
            <w:vAlign w:val="center"/>
          </w:tcPr>
          <w:p w:rsidR="00FB0947" w:rsidRDefault="00DB39E5">
            <w:pPr>
              <w:jc w:val="right"/>
            </w:pPr>
            <w:r>
              <w:rPr>
                <w:szCs w:val="21"/>
              </w:rPr>
              <w:t>140,845.10</w:t>
            </w:r>
          </w:p>
        </w:tc>
        <w:tc>
          <w:tcPr>
            <w:tcW w:w="1683" w:type="dxa"/>
            <w:vAlign w:val="center"/>
          </w:tcPr>
          <w:p w:rsidR="00FB0947" w:rsidRDefault="00DB39E5">
            <w:pPr>
              <w:jc w:val="right"/>
            </w:pPr>
            <w:r>
              <w:rPr>
                <w:szCs w:val="21"/>
              </w:rPr>
              <w:t>539,595.31</w:t>
            </w:r>
          </w:p>
        </w:tc>
        <w:tc>
          <w:tcPr>
            <w:tcW w:w="1683" w:type="dxa"/>
            <w:vAlign w:val="center"/>
          </w:tcPr>
          <w:p w:rsidR="00FB0947" w:rsidRDefault="00DB39E5">
            <w:pPr>
              <w:jc w:val="right"/>
            </w:pPr>
            <w:r>
              <w:rPr>
                <w:szCs w:val="21"/>
              </w:rPr>
              <w:t>189,401.81</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本基金本报告期内及上年度可比期间未在承销期内参与关联方承销的证券。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2018</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AA721C" w:rsidRDefault="001A59F9" w:rsidP="00AA721C">
      <w:pPr>
        <w:spacing w:before="29" w:line="288" w:lineRule="auto"/>
        <w:ind w:firstLineChars="200" w:firstLine="480"/>
        <w:rPr>
          <w:color w:val="000000"/>
          <w:sz w:val="24"/>
        </w:rPr>
      </w:pPr>
      <w:r w:rsidRPr="00AA721C">
        <w:rPr>
          <w:color w:val="000000"/>
          <w:sz w:val="24"/>
        </w:rPr>
        <w:t>本基金本报告期末无从事债券正回购交易形成的卖出回购证券款余额。</w:t>
      </w:r>
    </w:p>
    <w:p w:rsidR="009F1FAA" w:rsidRDefault="009F1FAA" w:rsidP="00C2179A">
      <w:pPr>
        <w:pStyle w:val="20"/>
        <w:spacing w:before="29" w:after="0" w:line="288" w:lineRule="auto"/>
        <w:rPr>
          <w:rFonts w:ascii="Times New Roman" w:hAnsi="Times New Roman"/>
          <w:kern w:val="0"/>
          <w:szCs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FB0947" w:rsidRDefault="00DB39E5">
      <w:pPr>
        <w:spacing w:before="29" w:line="288" w:lineRule="auto"/>
        <w:ind w:firstLineChars="200" w:firstLine="480"/>
        <w:rPr>
          <w:color w:val="000000"/>
          <w:sz w:val="24"/>
        </w:rPr>
      </w:pPr>
      <w:r>
        <w:rPr>
          <w:color w:val="000000"/>
          <w:sz w:val="24"/>
        </w:rPr>
        <w:t>(1)</w:t>
      </w:r>
      <w:r>
        <w:rPr>
          <w:color w:val="000000"/>
          <w:sz w:val="24"/>
        </w:rPr>
        <w:t>公允价值</w:t>
      </w:r>
    </w:p>
    <w:p w:rsidR="00FB0947" w:rsidRDefault="00DB39E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FB0947" w:rsidRDefault="00DB39E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B0947" w:rsidRDefault="00DB39E5">
      <w:pPr>
        <w:spacing w:before="29" w:line="288" w:lineRule="auto"/>
        <w:ind w:firstLineChars="200" w:firstLine="480"/>
        <w:rPr>
          <w:color w:val="000000"/>
          <w:sz w:val="24"/>
        </w:rPr>
      </w:pPr>
      <w:r>
        <w:rPr>
          <w:color w:val="000000"/>
          <w:sz w:val="24"/>
        </w:rPr>
        <w:t>第一层次：相同资产或负债在活跃市场上未经调整的报价。</w:t>
      </w:r>
    </w:p>
    <w:p w:rsidR="00FB0947" w:rsidRDefault="00DB39E5">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FB0947" w:rsidRDefault="00DB39E5">
      <w:pPr>
        <w:spacing w:before="29" w:line="288" w:lineRule="auto"/>
        <w:ind w:firstLineChars="200" w:firstLine="480"/>
        <w:rPr>
          <w:color w:val="000000"/>
          <w:sz w:val="24"/>
        </w:rPr>
      </w:pPr>
      <w:r>
        <w:rPr>
          <w:color w:val="000000"/>
          <w:sz w:val="24"/>
        </w:rPr>
        <w:t>第三层次：相关资产或负债的不可观察输入值。</w:t>
      </w:r>
    </w:p>
    <w:p w:rsidR="00FB0947" w:rsidRDefault="00DB39E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FB0947" w:rsidRDefault="00DB39E5">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 xml:space="preserve">)  </w:t>
      </w:r>
      <w:r>
        <w:rPr>
          <w:color w:val="000000"/>
          <w:sz w:val="24"/>
        </w:rPr>
        <w:t>各层次金融工具公允价值</w:t>
      </w:r>
    </w:p>
    <w:p w:rsidR="00FB0947" w:rsidRDefault="00DB39E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1,235,849,604.40</w:t>
      </w:r>
      <w:r>
        <w:rPr>
          <w:color w:val="000000"/>
          <w:sz w:val="24"/>
        </w:rPr>
        <w:t>元，属于第三层次的余额为</w:t>
      </w:r>
      <w:r>
        <w:rPr>
          <w:color w:val="000000"/>
          <w:sz w:val="24"/>
        </w:rPr>
        <w:t>5,000,000.00</w:t>
      </w:r>
      <w:r>
        <w:rPr>
          <w:color w:val="000000"/>
          <w:sz w:val="24"/>
        </w:rPr>
        <w:t>元，</w:t>
      </w:r>
      <w:proofErr w:type="gramStart"/>
      <w:r>
        <w:rPr>
          <w:color w:val="000000"/>
          <w:sz w:val="24"/>
        </w:rPr>
        <w:t>无属于</w:t>
      </w:r>
      <w:proofErr w:type="gramEnd"/>
      <w:r>
        <w:rPr>
          <w:color w:val="000000"/>
          <w:sz w:val="24"/>
        </w:rPr>
        <w:t>第一层次的余额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1,936,847,015.00</w:t>
      </w:r>
      <w:r>
        <w:rPr>
          <w:color w:val="000000"/>
          <w:sz w:val="24"/>
        </w:rPr>
        <w:t>元，无第一或第三层次</w:t>
      </w:r>
      <w:r>
        <w:rPr>
          <w:color w:val="000000"/>
          <w:sz w:val="24"/>
        </w:rPr>
        <w:t>)</w:t>
      </w:r>
      <w:r>
        <w:rPr>
          <w:color w:val="000000"/>
          <w:sz w:val="24"/>
        </w:rPr>
        <w:t>。</w:t>
      </w:r>
    </w:p>
    <w:p w:rsidR="00FB0947" w:rsidRDefault="00DB39E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FB0947" w:rsidRDefault="00DB39E5">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FB0947" w:rsidRDefault="00DB39E5">
      <w:pPr>
        <w:spacing w:before="29" w:line="288" w:lineRule="auto"/>
        <w:ind w:firstLineChars="200" w:firstLine="480"/>
        <w:rPr>
          <w:color w:val="000000"/>
          <w:sz w:val="24"/>
        </w:rPr>
      </w:pPr>
      <w:r>
        <w:rPr>
          <w:color w:val="000000"/>
          <w:sz w:val="24"/>
        </w:rPr>
        <w:t xml:space="preserve"> (iii)  </w:t>
      </w:r>
      <w:r>
        <w:rPr>
          <w:color w:val="000000"/>
          <w:sz w:val="24"/>
        </w:rPr>
        <w:t>第三层次公允价值余额和本期变动金额</w:t>
      </w:r>
    </w:p>
    <w:p w:rsidR="00FB0947" w:rsidRDefault="00DB39E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日，本基金持有公允价值归属于第三层次的金融工具为</w:t>
      </w:r>
      <w:r>
        <w:rPr>
          <w:color w:val="000000"/>
          <w:sz w:val="24"/>
        </w:rPr>
        <w:t>5,000,000.00</w:t>
      </w:r>
      <w:r>
        <w:rPr>
          <w:color w:val="000000"/>
          <w:sz w:val="24"/>
        </w:rPr>
        <w:t>元</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日：无</w:t>
      </w:r>
      <w:r>
        <w:rPr>
          <w:color w:val="000000"/>
          <w:sz w:val="24"/>
        </w:rPr>
        <w:t>)</w:t>
      </w:r>
      <w:r>
        <w:rPr>
          <w:color w:val="000000"/>
          <w:sz w:val="24"/>
        </w:rPr>
        <w:t>。本基金本期转入第三层次的金额为</w:t>
      </w:r>
      <w:r>
        <w:rPr>
          <w:color w:val="000000"/>
          <w:sz w:val="24"/>
        </w:rPr>
        <w:t>12,000,000.00</w:t>
      </w:r>
      <w:r>
        <w:rPr>
          <w:color w:val="000000"/>
          <w:sz w:val="24"/>
        </w:rPr>
        <w:t>元</w:t>
      </w:r>
      <w:r>
        <w:rPr>
          <w:color w:val="000000"/>
          <w:sz w:val="24"/>
        </w:rPr>
        <w:t>(2017</w:t>
      </w:r>
      <w:r>
        <w:rPr>
          <w:color w:val="000000"/>
          <w:sz w:val="24"/>
        </w:rPr>
        <w:t>年度：无</w:t>
      </w:r>
      <w:r>
        <w:rPr>
          <w:color w:val="000000"/>
          <w:sz w:val="24"/>
        </w:rPr>
        <w:t>)</w:t>
      </w:r>
      <w:r>
        <w:rPr>
          <w:color w:val="000000"/>
          <w:sz w:val="24"/>
        </w:rPr>
        <w:t>，出售第三层次的金额为</w:t>
      </w:r>
      <w:r>
        <w:rPr>
          <w:color w:val="000000"/>
          <w:sz w:val="24"/>
        </w:rPr>
        <w:t>7,000,000.00</w:t>
      </w:r>
      <w:r>
        <w:rPr>
          <w:color w:val="000000"/>
          <w:sz w:val="24"/>
        </w:rPr>
        <w:t>元</w:t>
      </w:r>
      <w:r>
        <w:rPr>
          <w:color w:val="000000"/>
          <w:sz w:val="24"/>
        </w:rPr>
        <w:t>(2017</w:t>
      </w:r>
      <w:r>
        <w:rPr>
          <w:color w:val="000000"/>
          <w:sz w:val="24"/>
        </w:rPr>
        <w:t>年度：无</w:t>
      </w:r>
      <w:r>
        <w:rPr>
          <w:color w:val="000000"/>
          <w:sz w:val="24"/>
        </w:rPr>
        <w:t>)</w:t>
      </w:r>
      <w:r>
        <w:rPr>
          <w:color w:val="000000"/>
          <w:sz w:val="24"/>
        </w:rPr>
        <w:t>，无计入损益的第三层次金融工具公允价值变动</w:t>
      </w:r>
      <w:r>
        <w:rPr>
          <w:color w:val="000000"/>
          <w:sz w:val="24"/>
        </w:rPr>
        <w:t>(2017</w:t>
      </w:r>
      <w:r>
        <w:rPr>
          <w:color w:val="000000"/>
          <w:sz w:val="24"/>
        </w:rPr>
        <w:t>年度：无</w:t>
      </w:r>
      <w:r>
        <w:rPr>
          <w:color w:val="000000"/>
          <w:sz w:val="24"/>
        </w:rPr>
        <w:t>)</w:t>
      </w:r>
      <w:r>
        <w:rPr>
          <w:color w:val="000000"/>
          <w:sz w:val="24"/>
        </w:rPr>
        <w:t>。本基金于本</w:t>
      </w:r>
      <w:proofErr w:type="gramStart"/>
      <w:r>
        <w:rPr>
          <w:color w:val="000000"/>
          <w:sz w:val="24"/>
        </w:rPr>
        <w:t>期末仍</w:t>
      </w:r>
      <w:proofErr w:type="gramEnd"/>
      <w:r>
        <w:rPr>
          <w:color w:val="000000"/>
          <w:sz w:val="24"/>
        </w:rPr>
        <w:t>持有的第三层次的金融工具无计入本年度损益的未实现利得或损失</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日：无</w:t>
      </w:r>
      <w:r>
        <w:rPr>
          <w:color w:val="000000"/>
          <w:sz w:val="24"/>
        </w:rPr>
        <w:t>)</w:t>
      </w:r>
      <w:r>
        <w:rPr>
          <w:color w:val="000000"/>
          <w:sz w:val="24"/>
        </w:rPr>
        <w:t>。</w:t>
      </w:r>
    </w:p>
    <w:p w:rsidR="00FB0947" w:rsidRDefault="00DB39E5">
      <w:pPr>
        <w:spacing w:before="29" w:line="288" w:lineRule="auto"/>
        <w:ind w:firstLineChars="200" w:firstLine="480"/>
        <w:rPr>
          <w:color w:val="000000"/>
          <w:sz w:val="24"/>
        </w:rPr>
      </w:pPr>
      <w:r>
        <w:rPr>
          <w:color w:val="000000"/>
          <w:sz w:val="24"/>
        </w:rPr>
        <w:t>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日本基金持有的第三层级的交易性金融资产交易所资产支持证券投资公允价值为</w:t>
      </w:r>
      <w:r>
        <w:rPr>
          <w:color w:val="000000"/>
          <w:sz w:val="24"/>
        </w:rPr>
        <w:t>5,000,000.00</w:t>
      </w:r>
      <w:r>
        <w:rPr>
          <w:color w:val="000000"/>
          <w:sz w:val="24"/>
        </w:rPr>
        <w:t>元，采用现金流量折现法估值技术，不可观察输入值为折现率，与公允价值之间为负相关关系</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日：无</w:t>
      </w:r>
      <w:r>
        <w:rPr>
          <w:color w:val="000000"/>
          <w:sz w:val="24"/>
        </w:rPr>
        <w:t>)</w:t>
      </w:r>
      <w:r>
        <w:rPr>
          <w:color w:val="000000"/>
          <w:sz w:val="24"/>
        </w:rPr>
        <w:t>。</w:t>
      </w:r>
    </w:p>
    <w:p w:rsidR="00FB0947" w:rsidRDefault="00DB39E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FB0947" w:rsidRDefault="00DB39E5">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B0947" w:rsidRDefault="00DB39E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FB0947" w:rsidRDefault="00DB39E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 xml:space="preserve">(2) </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60" w:name="_Toc225498272"/>
      <w:bookmarkStart w:id="61" w:name="_Toc361324877"/>
      <w:r w:rsidRPr="00BB271E">
        <w:rPr>
          <w:rFonts w:hint="eastAsia"/>
          <w:b/>
          <w:bCs/>
          <w:szCs w:val="24"/>
          <w:lang w:val="en-US"/>
        </w:rPr>
        <w:lastRenderedPageBreak/>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0"/>
      <w:bookmarkEnd w:id="6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2" w:name="_Toc225498273"/>
      <w:bookmarkStart w:id="63"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2"/>
      <w:bookmarkEnd w:id="6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1,240,849,604.40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86.62</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1,235,849,604.40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86.27</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5,000,000.00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0.35</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w:t>
            </w:r>
            <w:proofErr w:type="gramStart"/>
            <w:r w:rsidRPr="00103BEB">
              <w:rPr>
                <w:rFonts w:hint="eastAsia"/>
                <w:sz w:val="24"/>
              </w:rPr>
              <w:t>品投资</w:t>
            </w:r>
            <w:proofErr w:type="gramEnd"/>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146,300,558.00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10.21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8,761,847.35</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0.61</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36,577,646.44</w:t>
            </w:r>
          </w:p>
        </w:tc>
        <w:tc>
          <w:tcPr>
            <w:tcW w:w="1980" w:type="dxa"/>
            <w:vAlign w:val="center"/>
          </w:tcPr>
          <w:p w:rsidR="001E6CEE" w:rsidRPr="000008D1" w:rsidRDefault="001E6CEE" w:rsidP="00026C9C">
            <w:pPr>
              <w:spacing w:line="360" w:lineRule="auto"/>
              <w:jc w:val="right"/>
              <w:rPr>
                <w:sz w:val="24"/>
              </w:rPr>
            </w:pPr>
            <w:r w:rsidRPr="000008D1">
              <w:rPr>
                <w:sz w:val="24"/>
              </w:rPr>
              <w:t>2.55</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1,432,489,656.19</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4" w:name="_Toc225498274"/>
      <w:bookmarkStart w:id="65"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4"/>
      <w:bookmarkEnd w:id="65"/>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6"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6"/>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9F1FAA" w:rsidRDefault="009F1FAA" w:rsidP="00C2179A">
      <w:pPr>
        <w:pStyle w:val="20"/>
        <w:spacing w:before="29" w:after="0" w:line="288" w:lineRule="auto"/>
        <w:rPr>
          <w:rFonts w:ascii="Times New Roman" w:hAnsi="Times New Roman"/>
          <w:kern w:val="0"/>
          <w:szCs w:val="24"/>
        </w:rPr>
      </w:pPr>
      <w:bookmarkStart w:id="67" w:name="_Toc361324882"/>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w:t>
      </w:r>
      <w:bookmarkStart w:id="68"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7"/>
      <w:bookmarkEnd w:id="68"/>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本基金本报告期内未持有股票。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697181" w:rsidRDefault="001A59F9" w:rsidP="00697181">
      <w:pPr>
        <w:tabs>
          <w:tab w:val="left" w:pos="426"/>
        </w:tabs>
        <w:spacing w:before="29" w:line="288" w:lineRule="auto"/>
        <w:jc w:val="left"/>
        <w:rPr>
          <w:kern w:val="0"/>
          <w:sz w:val="24"/>
        </w:rPr>
      </w:pPr>
      <w:r w:rsidRPr="00697181">
        <w:rPr>
          <w:kern w:val="0"/>
          <w:sz w:val="24"/>
        </w:rPr>
        <w:t>本基金本报告期末未持有股票。</w:t>
      </w:r>
    </w:p>
    <w:p w:rsidR="009F1FAA" w:rsidRDefault="009F1FAA" w:rsidP="00C2179A">
      <w:pPr>
        <w:pStyle w:val="20"/>
        <w:spacing w:before="29" w:after="0" w:line="288" w:lineRule="auto"/>
        <w:rPr>
          <w:rFonts w:ascii="Times New Roman" w:hAnsi="Times New Roman"/>
          <w:kern w:val="0"/>
          <w:szCs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本基金本报告期末未持有股票。</w:t>
      </w:r>
    </w:p>
    <w:p w:rsidR="009F1FAA" w:rsidRDefault="009F1FAA" w:rsidP="00C2179A">
      <w:pPr>
        <w:pStyle w:val="20"/>
        <w:spacing w:before="29" w:after="0" w:line="288" w:lineRule="auto"/>
        <w:rPr>
          <w:rFonts w:ascii="Times New Roman" w:hAnsi="Times New Roman"/>
          <w:kern w:val="0"/>
          <w:szCs w:val="24"/>
        </w:rPr>
      </w:pPr>
      <w:bookmarkStart w:id="69" w:name="_Toc234814104"/>
      <w:bookmarkStart w:id="70" w:name="_Toc361324883"/>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69"/>
      <w:bookmarkEnd w:id="70"/>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151,419,604.40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10.63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151,419,604.40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10.63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298,218,000.00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20.93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proofErr w:type="gramStart"/>
            <w:r w:rsidR="0043264B" w:rsidRPr="006E14CE">
              <w:rPr>
                <w:rFonts w:hint="eastAsia"/>
                <w:color w:val="000000"/>
                <w:sz w:val="24"/>
              </w:rPr>
              <w:t>券</w:t>
            </w:r>
            <w:proofErr w:type="gramEnd"/>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786,212,000.00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55.18</w:t>
            </w:r>
          </w:p>
        </w:tc>
      </w:tr>
      <w:tr w:rsidR="00804B04" w:rsidRPr="008B2C7A" w:rsidTr="00804B04">
        <w:tc>
          <w:tcPr>
            <w:tcW w:w="862" w:type="dxa"/>
            <w:vAlign w:val="center"/>
          </w:tcPr>
          <w:p w:rsidR="00804B04" w:rsidRPr="006E14CE" w:rsidRDefault="00804B04" w:rsidP="00DB39E5">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DB39E5">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DB39E5">
            <w:pPr>
              <w:spacing w:before="29" w:line="288" w:lineRule="auto"/>
              <w:ind w:left="17"/>
              <w:jc w:val="right"/>
              <w:rPr>
                <w:sz w:val="24"/>
              </w:rPr>
            </w:pPr>
            <w:r w:rsidRPr="006E14CE">
              <w:rPr>
                <w:sz w:val="24"/>
              </w:rPr>
              <w:t>-</w:t>
            </w:r>
          </w:p>
        </w:tc>
        <w:tc>
          <w:tcPr>
            <w:tcW w:w="2153" w:type="dxa"/>
            <w:vAlign w:val="center"/>
          </w:tcPr>
          <w:p w:rsidR="00804B04" w:rsidRPr="006E14CE" w:rsidRDefault="00804B04" w:rsidP="00DB39E5">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1,235,849,604.40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86.74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1" w:name="_Toc361324884"/>
      <w:r w:rsidRPr="00C2179A">
        <w:rPr>
          <w:rFonts w:ascii="Times New Roman" w:hAnsi="Times New Roman"/>
          <w:kern w:val="0"/>
          <w:szCs w:val="24"/>
        </w:rPr>
        <w:t>8.6</w:t>
      </w:r>
      <w:bookmarkStart w:id="72"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1"/>
      <w:bookmarkEnd w:id="72"/>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FB0947">
        <w:tc>
          <w:tcPr>
            <w:tcW w:w="1320" w:type="dxa"/>
            <w:vAlign w:val="center"/>
          </w:tcPr>
          <w:p w:rsidR="00FB0947" w:rsidRDefault="00DB39E5">
            <w:pPr>
              <w:jc w:val="center"/>
            </w:pPr>
            <w:r>
              <w:rPr>
                <w:color w:val="000000"/>
                <w:sz w:val="24"/>
              </w:rPr>
              <w:t>1</w:t>
            </w:r>
          </w:p>
        </w:tc>
        <w:tc>
          <w:tcPr>
            <w:tcW w:w="1382" w:type="dxa"/>
            <w:vAlign w:val="center"/>
          </w:tcPr>
          <w:p w:rsidR="00FB0947" w:rsidRDefault="00DB39E5">
            <w:pPr>
              <w:jc w:val="center"/>
            </w:pPr>
            <w:r>
              <w:rPr>
                <w:color w:val="000000"/>
                <w:sz w:val="24"/>
              </w:rPr>
              <w:t>180210</w:t>
            </w:r>
          </w:p>
        </w:tc>
        <w:tc>
          <w:tcPr>
            <w:tcW w:w="1353" w:type="dxa"/>
            <w:vAlign w:val="center"/>
          </w:tcPr>
          <w:p w:rsidR="00FB0947" w:rsidRDefault="00DB39E5">
            <w:pPr>
              <w:jc w:val="center"/>
            </w:pPr>
            <w:r>
              <w:rPr>
                <w:color w:val="000000"/>
                <w:sz w:val="24"/>
              </w:rPr>
              <w:t>18</w:t>
            </w:r>
            <w:r>
              <w:rPr>
                <w:color w:val="000000"/>
                <w:sz w:val="24"/>
              </w:rPr>
              <w:t>国开</w:t>
            </w:r>
            <w:r>
              <w:rPr>
                <w:color w:val="000000"/>
                <w:sz w:val="24"/>
              </w:rPr>
              <w:t>10</w:t>
            </w:r>
          </w:p>
        </w:tc>
        <w:tc>
          <w:tcPr>
            <w:tcW w:w="1505" w:type="dxa"/>
            <w:vAlign w:val="center"/>
          </w:tcPr>
          <w:p w:rsidR="00FB0947" w:rsidRDefault="00DB39E5">
            <w:pPr>
              <w:jc w:val="right"/>
            </w:pPr>
            <w:r>
              <w:rPr>
                <w:color w:val="000000"/>
                <w:sz w:val="24"/>
              </w:rPr>
              <w:t>700,000</w:t>
            </w:r>
          </w:p>
        </w:tc>
        <w:tc>
          <w:tcPr>
            <w:tcW w:w="1737" w:type="dxa"/>
            <w:vAlign w:val="center"/>
          </w:tcPr>
          <w:p w:rsidR="00FB0947" w:rsidRDefault="00DB39E5">
            <w:pPr>
              <w:jc w:val="right"/>
            </w:pPr>
            <w:r>
              <w:rPr>
                <w:color w:val="000000"/>
                <w:sz w:val="24"/>
              </w:rPr>
              <w:t>72,191,000.00</w:t>
            </w:r>
          </w:p>
        </w:tc>
        <w:tc>
          <w:tcPr>
            <w:tcW w:w="1701" w:type="dxa"/>
            <w:vAlign w:val="center"/>
          </w:tcPr>
          <w:p w:rsidR="00FB0947" w:rsidRDefault="00DB39E5">
            <w:pPr>
              <w:jc w:val="right"/>
            </w:pPr>
            <w:r>
              <w:rPr>
                <w:color w:val="000000"/>
                <w:sz w:val="24"/>
              </w:rPr>
              <w:t>5.07</w:t>
            </w:r>
          </w:p>
        </w:tc>
      </w:tr>
      <w:tr w:rsidR="00FB0947">
        <w:tc>
          <w:tcPr>
            <w:tcW w:w="1320" w:type="dxa"/>
            <w:vAlign w:val="center"/>
          </w:tcPr>
          <w:p w:rsidR="00FB0947" w:rsidRDefault="00DB39E5">
            <w:pPr>
              <w:jc w:val="center"/>
            </w:pPr>
            <w:r>
              <w:rPr>
                <w:color w:val="000000"/>
                <w:sz w:val="24"/>
              </w:rPr>
              <w:t>2</w:t>
            </w:r>
          </w:p>
        </w:tc>
        <w:tc>
          <w:tcPr>
            <w:tcW w:w="1382" w:type="dxa"/>
            <w:vAlign w:val="center"/>
          </w:tcPr>
          <w:p w:rsidR="00FB0947" w:rsidRDefault="00DB39E5">
            <w:pPr>
              <w:jc w:val="center"/>
            </w:pPr>
            <w:r>
              <w:rPr>
                <w:color w:val="000000"/>
                <w:sz w:val="24"/>
              </w:rPr>
              <w:t>180305</w:t>
            </w:r>
          </w:p>
        </w:tc>
        <w:tc>
          <w:tcPr>
            <w:tcW w:w="1353" w:type="dxa"/>
            <w:vAlign w:val="center"/>
          </w:tcPr>
          <w:p w:rsidR="00FB0947" w:rsidRDefault="00DB39E5">
            <w:pPr>
              <w:jc w:val="center"/>
            </w:pPr>
            <w:r>
              <w:rPr>
                <w:color w:val="000000"/>
                <w:sz w:val="24"/>
              </w:rPr>
              <w:t>18</w:t>
            </w:r>
            <w:r>
              <w:rPr>
                <w:color w:val="000000"/>
                <w:sz w:val="24"/>
              </w:rPr>
              <w:t>进出</w:t>
            </w:r>
            <w:r>
              <w:rPr>
                <w:color w:val="000000"/>
                <w:sz w:val="24"/>
              </w:rPr>
              <w:t>05</w:t>
            </w:r>
          </w:p>
        </w:tc>
        <w:tc>
          <w:tcPr>
            <w:tcW w:w="1505" w:type="dxa"/>
            <w:vAlign w:val="center"/>
          </w:tcPr>
          <w:p w:rsidR="00FB0947" w:rsidRDefault="00DB39E5">
            <w:pPr>
              <w:jc w:val="right"/>
            </w:pPr>
            <w:r>
              <w:rPr>
                <w:color w:val="000000"/>
                <w:sz w:val="24"/>
              </w:rPr>
              <w:t>600,000</w:t>
            </w:r>
          </w:p>
        </w:tc>
        <w:tc>
          <w:tcPr>
            <w:tcW w:w="1737" w:type="dxa"/>
            <w:vAlign w:val="center"/>
          </w:tcPr>
          <w:p w:rsidR="00FB0947" w:rsidRDefault="00DB39E5">
            <w:pPr>
              <w:jc w:val="right"/>
            </w:pPr>
            <w:r>
              <w:rPr>
                <w:color w:val="000000"/>
                <w:sz w:val="24"/>
              </w:rPr>
              <w:t>60,144,000.00</w:t>
            </w:r>
          </w:p>
        </w:tc>
        <w:tc>
          <w:tcPr>
            <w:tcW w:w="1701" w:type="dxa"/>
            <w:vAlign w:val="center"/>
          </w:tcPr>
          <w:p w:rsidR="00FB0947" w:rsidRDefault="00DB39E5">
            <w:pPr>
              <w:jc w:val="right"/>
            </w:pPr>
            <w:r>
              <w:rPr>
                <w:color w:val="000000"/>
                <w:sz w:val="24"/>
              </w:rPr>
              <w:t>4.22</w:t>
            </w:r>
          </w:p>
        </w:tc>
      </w:tr>
      <w:tr w:rsidR="00FB0947">
        <w:tc>
          <w:tcPr>
            <w:tcW w:w="1320" w:type="dxa"/>
            <w:vAlign w:val="center"/>
          </w:tcPr>
          <w:p w:rsidR="00FB0947" w:rsidRDefault="00DB39E5">
            <w:pPr>
              <w:jc w:val="center"/>
            </w:pPr>
            <w:r>
              <w:rPr>
                <w:color w:val="000000"/>
                <w:sz w:val="24"/>
              </w:rPr>
              <w:t>3</w:t>
            </w:r>
          </w:p>
        </w:tc>
        <w:tc>
          <w:tcPr>
            <w:tcW w:w="1382" w:type="dxa"/>
            <w:vAlign w:val="center"/>
          </w:tcPr>
          <w:p w:rsidR="00FB0947" w:rsidRDefault="00DB39E5">
            <w:pPr>
              <w:jc w:val="center"/>
            </w:pPr>
            <w:r>
              <w:rPr>
                <w:color w:val="000000"/>
                <w:sz w:val="24"/>
              </w:rPr>
              <w:t>101800369</w:t>
            </w:r>
          </w:p>
        </w:tc>
        <w:tc>
          <w:tcPr>
            <w:tcW w:w="1353" w:type="dxa"/>
            <w:vAlign w:val="center"/>
          </w:tcPr>
          <w:p w:rsidR="00FB0947" w:rsidRDefault="00DB39E5">
            <w:pPr>
              <w:jc w:val="center"/>
            </w:pPr>
            <w:r>
              <w:rPr>
                <w:color w:val="000000"/>
                <w:sz w:val="24"/>
              </w:rPr>
              <w:t>18</w:t>
            </w:r>
            <w:proofErr w:type="gramStart"/>
            <w:r>
              <w:rPr>
                <w:color w:val="000000"/>
                <w:sz w:val="24"/>
              </w:rPr>
              <w:t>豫投资</w:t>
            </w:r>
            <w:proofErr w:type="gramEnd"/>
            <w:r>
              <w:rPr>
                <w:color w:val="000000"/>
                <w:sz w:val="24"/>
              </w:rPr>
              <w:t>MTN002</w:t>
            </w:r>
          </w:p>
        </w:tc>
        <w:tc>
          <w:tcPr>
            <w:tcW w:w="1505" w:type="dxa"/>
            <w:vAlign w:val="center"/>
          </w:tcPr>
          <w:p w:rsidR="00FB0947" w:rsidRDefault="00DB39E5">
            <w:pPr>
              <w:jc w:val="right"/>
            </w:pPr>
            <w:r>
              <w:rPr>
                <w:color w:val="000000"/>
                <w:sz w:val="24"/>
              </w:rPr>
              <w:t>500,000</w:t>
            </w:r>
          </w:p>
        </w:tc>
        <w:tc>
          <w:tcPr>
            <w:tcW w:w="1737" w:type="dxa"/>
            <w:vAlign w:val="center"/>
          </w:tcPr>
          <w:p w:rsidR="00FB0947" w:rsidRDefault="00DB39E5">
            <w:pPr>
              <w:jc w:val="right"/>
            </w:pPr>
            <w:r>
              <w:rPr>
                <w:color w:val="000000"/>
                <w:sz w:val="24"/>
              </w:rPr>
              <w:t>51,455,000.00</w:t>
            </w:r>
          </w:p>
        </w:tc>
        <w:tc>
          <w:tcPr>
            <w:tcW w:w="1701" w:type="dxa"/>
            <w:vAlign w:val="center"/>
          </w:tcPr>
          <w:p w:rsidR="00FB0947" w:rsidRDefault="00DB39E5">
            <w:pPr>
              <w:jc w:val="right"/>
            </w:pPr>
            <w:r>
              <w:rPr>
                <w:color w:val="000000"/>
                <w:sz w:val="24"/>
              </w:rPr>
              <w:t>3.61</w:t>
            </w:r>
          </w:p>
        </w:tc>
      </w:tr>
      <w:tr w:rsidR="00FB0947">
        <w:tc>
          <w:tcPr>
            <w:tcW w:w="1320" w:type="dxa"/>
            <w:vAlign w:val="center"/>
          </w:tcPr>
          <w:p w:rsidR="00FB0947" w:rsidRDefault="00DB39E5">
            <w:pPr>
              <w:jc w:val="center"/>
            </w:pPr>
            <w:r>
              <w:rPr>
                <w:color w:val="000000"/>
                <w:sz w:val="24"/>
              </w:rPr>
              <w:t>4</w:t>
            </w:r>
          </w:p>
        </w:tc>
        <w:tc>
          <w:tcPr>
            <w:tcW w:w="1382" w:type="dxa"/>
            <w:vAlign w:val="center"/>
          </w:tcPr>
          <w:p w:rsidR="00FB0947" w:rsidRDefault="00DB39E5">
            <w:pPr>
              <w:jc w:val="center"/>
            </w:pPr>
            <w:r>
              <w:rPr>
                <w:color w:val="000000"/>
                <w:sz w:val="24"/>
              </w:rPr>
              <w:t>101460011</w:t>
            </w:r>
          </w:p>
        </w:tc>
        <w:tc>
          <w:tcPr>
            <w:tcW w:w="1353" w:type="dxa"/>
            <w:vAlign w:val="center"/>
          </w:tcPr>
          <w:p w:rsidR="00FB0947" w:rsidRDefault="00DB39E5">
            <w:pPr>
              <w:jc w:val="center"/>
            </w:pPr>
            <w:r>
              <w:rPr>
                <w:color w:val="000000"/>
                <w:sz w:val="24"/>
              </w:rPr>
              <w:t>14</w:t>
            </w:r>
            <w:r>
              <w:rPr>
                <w:color w:val="000000"/>
                <w:sz w:val="24"/>
              </w:rPr>
              <w:t>合国资</w:t>
            </w:r>
            <w:r>
              <w:rPr>
                <w:color w:val="000000"/>
                <w:sz w:val="24"/>
              </w:rPr>
              <w:t>MTN001</w:t>
            </w:r>
          </w:p>
        </w:tc>
        <w:tc>
          <w:tcPr>
            <w:tcW w:w="1505" w:type="dxa"/>
            <w:vAlign w:val="center"/>
          </w:tcPr>
          <w:p w:rsidR="00FB0947" w:rsidRDefault="00DB39E5">
            <w:pPr>
              <w:jc w:val="right"/>
            </w:pPr>
            <w:r>
              <w:rPr>
                <w:color w:val="000000"/>
                <w:sz w:val="24"/>
              </w:rPr>
              <w:t>500,000</w:t>
            </w:r>
          </w:p>
        </w:tc>
        <w:tc>
          <w:tcPr>
            <w:tcW w:w="1737" w:type="dxa"/>
            <w:vAlign w:val="center"/>
          </w:tcPr>
          <w:p w:rsidR="00FB0947" w:rsidRDefault="00DB39E5">
            <w:pPr>
              <w:jc w:val="right"/>
            </w:pPr>
            <w:r>
              <w:rPr>
                <w:color w:val="000000"/>
                <w:sz w:val="24"/>
              </w:rPr>
              <w:t>50,795,000.00</w:t>
            </w:r>
          </w:p>
        </w:tc>
        <w:tc>
          <w:tcPr>
            <w:tcW w:w="1701" w:type="dxa"/>
            <w:vAlign w:val="center"/>
          </w:tcPr>
          <w:p w:rsidR="00FB0947" w:rsidRDefault="00DB39E5">
            <w:pPr>
              <w:jc w:val="right"/>
            </w:pPr>
            <w:r>
              <w:rPr>
                <w:color w:val="000000"/>
                <w:sz w:val="24"/>
              </w:rPr>
              <w:t>3.57</w:t>
            </w:r>
          </w:p>
        </w:tc>
      </w:tr>
      <w:tr w:rsidR="00FB0947">
        <w:tc>
          <w:tcPr>
            <w:tcW w:w="1320" w:type="dxa"/>
            <w:vAlign w:val="center"/>
          </w:tcPr>
          <w:p w:rsidR="00FB0947" w:rsidRDefault="00DB39E5">
            <w:pPr>
              <w:jc w:val="center"/>
            </w:pPr>
            <w:r>
              <w:rPr>
                <w:color w:val="000000"/>
                <w:sz w:val="24"/>
              </w:rPr>
              <w:t>5</w:t>
            </w:r>
          </w:p>
        </w:tc>
        <w:tc>
          <w:tcPr>
            <w:tcW w:w="1382" w:type="dxa"/>
            <w:vAlign w:val="center"/>
          </w:tcPr>
          <w:p w:rsidR="00FB0947" w:rsidRDefault="00DB39E5">
            <w:pPr>
              <w:jc w:val="center"/>
            </w:pPr>
            <w:r>
              <w:rPr>
                <w:color w:val="000000"/>
                <w:sz w:val="24"/>
              </w:rPr>
              <w:t>101801218</w:t>
            </w:r>
          </w:p>
        </w:tc>
        <w:tc>
          <w:tcPr>
            <w:tcW w:w="1353" w:type="dxa"/>
            <w:vAlign w:val="center"/>
          </w:tcPr>
          <w:p w:rsidR="00FB0947" w:rsidRDefault="00DB39E5">
            <w:pPr>
              <w:jc w:val="center"/>
            </w:pPr>
            <w:r>
              <w:rPr>
                <w:color w:val="000000"/>
                <w:sz w:val="24"/>
              </w:rPr>
              <w:t>18</w:t>
            </w:r>
            <w:proofErr w:type="gramStart"/>
            <w:r>
              <w:rPr>
                <w:color w:val="000000"/>
                <w:sz w:val="24"/>
              </w:rPr>
              <w:t>中铝集</w:t>
            </w:r>
            <w:proofErr w:type="gramEnd"/>
            <w:r>
              <w:rPr>
                <w:color w:val="000000"/>
                <w:sz w:val="24"/>
              </w:rPr>
              <w:t>MTN004</w:t>
            </w:r>
          </w:p>
        </w:tc>
        <w:tc>
          <w:tcPr>
            <w:tcW w:w="1505" w:type="dxa"/>
            <w:vAlign w:val="center"/>
          </w:tcPr>
          <w:p w:rsidR="00FB0947" w:rsidRDefault="00DB39E5">
            <w:pPr>
              <w:jc w:val="right"/>
            </w:pPr>
            <w:r>
              <w:rPr>
                <w:color w:val="000000"/>
                <w:sz w:val="24"/>
              </w:rPr>
              <w:t>500,000</w:t>
            </w:r>
          </w:p>
        </w:tc>
        <w:tc>
          <w:tcPr>
            <w:tcW w:w="1737" w:type="dxa"/>
            <w:vAlign w:val="center"/>
          </w:tcPr>
          <w:p w:rsidR="00FB0947" w:rsidRDefault="00DB39E5">
            <w:pPr>
              <w:jc w:val="right"/>
            </w:pPr>
            <w:r>
              <w:rPr>
                <w:color w:val="000000"/>
                <w:sz w:val="24"/>
              </w:rPr>
              <w:t>50,330,000.00</w:t>
            </w:r>
          </w:p>
        </w:tc>
        <w:tc>
          <w:tcPr>
            <w:tcW w:w="1701" w:type="dxa"/>
            <w:vAlign w:val="center"/>
          </w:tcPr>
          <w:p w:rsidR="00FB0947" w:rsidRDefault="00DB39E5">
            <w:pPr>
              <w:jc w:val="right"/>
            </w:pPr>
            <w:r>
              <w:rPr>
                <w:color w:val="000000"/>
                <w:sz w:val="24"/>
              </w:rPr>
              <w:t>3.53</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3" w:name="_Toc361324885"/>
      <w:r w:rsidRPr="00C2179A">
        <w:rPr>
          <w:rFonts w:ascii="Times New Roman" w:hAnsi="Times New Roman"/>
          <w:kern w:val="0"/>
          <w:szCs w:val="24"/>
        </w:rPr>
        <w:lastRenderedPageBreak/>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5"/>
        <w:gridCol w:w="1359"/>
        <w:gridCol w:w="1341"/>
        <w:gridCol w:w="1590"/>
        <w:gridCol w:w="1684"/>
        <w:gridCol w:w="1709"/>
      </w:tblGrid>
      <w:tr w:rsidR="001A59F9" w:rsidRPr="008B2C7A" w:rsidTr="00AB3296">
        <w:tc>
          <w:tcPr>
            <w:tcW w:w="1246"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序号</w:t>
            </w:r>
          </w:p>
        </w:tc>
        <w:tc>
          <w:tcPr>
            <w:tcW w:w="1288"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证券代码</w:t>
            </w:r>
          </w:p>
        </w:tc>
        <w:tc>
          <w:tcPr>
            <w:tcW w:w="1271"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证券名称</w:t>
            </w:r>
          </w:p>
        </w:tc>
        <w:tc>
          <w:tcPr>
            <w:tcW w:w="1507"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数量</w:t>
            </w:r>
            <w:r w:rsidRPr="00AB3296">
              <w:rPr>
                <w:color w:val="000000"/>
                <w:sz w:val="24"/>
              </w:rPr>
              <w:t>(</w:t>
            </w:r>
            <w:r w:rsidRPr="00AB3296">
              <w:rPr>
                <w:rFonts w:hint="eastAsia"/>
                <w:color w:val="000000"/>
                <w:sz w:val="24"/>
              </w:rPr>
              <w:t>份</w:t>
            </w:r>
            <w:r w:rsidRPr="00AB3296">
              <w:rPr>
                <w:color w:val="000000"/>
                <w:sz w:val="24"/>
              </w:rPr>
              <w:t>)</w:t>
            </w:r>
          </w:p>
        </w:tc>
        <w:tc>
          <w:tcPr>
            <w:tcW w:w="1596"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公允价值</w:t>
            </w:r>
            <w:r w:rsidRPr="00AB3296">
              <w:rPr>
                <w:color w:val="000000"/>
                <w:sz w:val="24"/>
              </w:rPr>
              <w:t>(</w:t>
            </w:r>
            <w:r w:rsidRPr="00AB3296">
              <w:rPr>
                <w:rFonts w:hint="eastAsia"/>
                <w:color w:val="000000"/>
                <w:sz w:val="24"/>
              </w:rPr>
              <w:t>元</w:t>
            </w:r>
            <w:r w:rsidRPr="00AB3296">
              <w:rPr>
                <w:color w:val="000000"/>
                <w:sz w:val="24"/>
              </w:rPr>
              <w:t>)</w:t>
            </w:r>
          </w:p>
        </w:tc>
        <w:tc>
          <w:tcPr>
            <w:tcW w:w="1620" w:type="dxa"/>
            <w:vAlign w:val="center"/>
          </w:tcPr>
          <w:p w:rsidR="001A59F9" w:rsidRPr="00AB3296" w:rsidRDefault="001A59F9" w:rsidP="00AB3296">
            <w:pPr>
              <w:spacing w:before="29" w:line="288" w:lineRule="auto"/>
              <w:ind w:left="17"/>
              <w:jc w:val="center"/>
              <w:rPr>
                <w:color w:val="000000"/>
                <w:sz w:val="24"/>
              </w:rPr>
            </w:pPr>
            <w:r w:rsidRPr="00AB3296">
              <w:rPr>
                <w:rFonts w:hint="eastAsia"/>
                <w:color w:val="000000"/>
                <w:sz w:val="24"/>
              </w:rPr>
              <w:t>占基金资产净值比例</w:t>
            </w:r>
            <w:r w:rsidRPr="00AB3296">
              <w:rPr>
                <w:color w:val="000000"/>
                <w:sz w:val="24"/>
              </w:rPr>
              <w:t>(</w:t>
            </w:r>
            <w:r w:rsidRPr="00AB3296">
              <w:rPr>
                <w:rFonts w:hint="eastAsia"/>
                <w:color w:val="000000"/>
                <w:sz w:val="24"/>
              </w:rPr>
              <w:t>％</w:t>
            </w:r>
            <w:r w:rsidRPr="00AB3296">
              <w:rPr>
                <w:color w:val="000000"/>
                <w:sz w:val="24"/>
              </w:rPr>
              <w:t>)</w:t>
            </w:r>
          </w:p>
        </w:tc>
      </w:tr>
      <w:tr w:rsidR="00FB0947">
        <w:tc>
          <w:tcPr>
            <w:tcW w:w="1315" w:type="dxa"/>
            <w:vAlign w:val="center"/>
          </w:tcPr>
          <w:p w:rsidR="00FB0947" w:rsidRDefault="00DB39E5">
            <w:pPr>
              <w:jc w:val="center"/>
            </w:pPr>
            <w:r>
              <w:rPr>
                <w:color w:val="000000"/>
                <w:sz w:val="24"/>
              </w:rPr>
              <w:t>1</w:t>
            </w:r>
          </w:p>
        </w:tc>
        <w:tc>
          <w:tcPr>
            <w:tcW w:w="1359" w:type="dxa"/>
            <w:vAlign w:val="center"/>
          </w:tcPr>
          <w:p w:rsidR="00FB0947" w:rsidRDefault="00DB39E5">
            <w:pPr>
              <w:jc w:val="center"/>
            </w:pPr>
            <w:r>
              <w:rPr>
                <w:color w:val="000000"/>
                <w:sz w:val="24"/>
              </w:rPr>
              <w:t>123929</w:t>
            </w:r>
          </w:p>
        </w:tc>
        <w:tc>
          <w:tcPr>
            <w:tcW w:w="1341" w:type="dxa"/>
            <w:vAlign w:val="center"/>
          </w:tcPr>
          <w:p w:rsidR="00FB0947" w:rsidRDefault="00DB39E5">
            <w:pPr>
              <w:jc w:val="center"/>
            </w:pPr>
            <w:r>
              <w:rPr>
                <w:color w:val="000000"/>
                <w:sz w:val="24"/>
              </w:rPr>
              <w:t>高新热</w:t>
            </w:r>
            <w:r>
              <w:rPr>
                <w:color w:val="000000"/>
                <w:sz w:val="24"/>
              </w:rPr>
              <w:t>04</w:t>
            </w:r>
          </w:p>
        </w:tc>
        <w:tc>
          <w:tcPr>
            <w:tcW w:w="1590" w:type="dxa"/>
            <w:vAlign w:val="center"/>
          </w:tcPr>
          <w:p w:rsidR="00FB0947" w:rsidRDefault="00DB39E5">
            <w:pPr>
              <w:jc w:val="right"/>
            </w:pPr>
            <w:r>
              <w:rPr>
                <w:color w:val="000000"/>
                <w:sz w:val="24"/>
              </w:rPr>
              <w:t>50,000</w:t>
            </w:r>
          </w:p>
        </w:tc>
        <w:tc>
          <w:tcPr>
            <w:tcW w:w="1684" w:type="dxa"/>
            <w:vAlign w:val="center"/>
          </w:tcPr>
          <w:p w:rsidR="00FB0947" w:rsidRDefault="00DB39E5">
            <w:pPr>
              <w:jc w:val="right"/>
            </w:pPr>
            <w:r>
              <w:rPr>
                <w:color w:val="000000"/>
                <w:sz w:val="24"/>
              </w:rPr>
              <w:t>5,000,000.00</w:t>
            </w:r>
          </w:p>
        </w:tc>
        <w:tc>
          <w:tcPr>
            <w:tcW w:w="1709" w:type="dxa"/>
            <w:vAlign w:val="center"/>
          </w:tcPr>
          <w:p w:rsidR="00FB0947" w:rsidRDefault="00DB39E5">
            <w:pPr>
              <w:jc w:val="right"/>
            </w:pPr>
            <w:r>
              <w:rPr>
                <w:color w:val="000000"/>
                <w:sz w:val="24"/>
              </w:rPr>
              <w:t>0.35</w:t>
            </w:r>
          </w:p>
        </w:tc>
      </w:tr>
    </w:tbl>
    <w:p w:rsidR="009F1FAA" w:rsidRDefault="009F1FAA" w:rsidP="00C2179A">
      <w:pPr>
        <w:pStyle w:val="20"/>
        <w:spacing w:before="29" w:after="0" w:line="288" w:lineRule="auto"/>
        <w:rPr>
          <w:rFonts w:ascii="Times New Roman" w:hAnsi="Times New Roman"/>
          <w:kern w:val="0"/>
          <w:szCs w:val="24"/>
        </w:rPr>
      </w:pP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4"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4"/>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5"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5"/>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134,056.44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23,283,713.40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13,159,876.60</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36,577,646.44</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9F1FAA" w:rsidRDefault="009F1FAA" w:rsidP="00C2179A">
      <w:pPr>
        <w:pStyle w:val="20"/>
        <w:spacing w:before="29" w:after="0" w:line="288" w:lineRule="auto"/>
        <w:rPr>
          <w:rFonts w:ascii="Times New Roman" w:hAnsi="Times New Roman"/>
          <w:kern w:val="0"/>
          <w:szCs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proofErr w:type="gramStart"/>
      <w:r w:rsidRPr="00C2179A">
        <w:rPr>
          <w:rFonts w:ascii="Times New Roman" w:hAnsi="Times New Roman" w:hint="eastAsia"/>
          <w:kern w:val="0"/>
          <w:szCs w:val="24"/>
        </w:rPr>
        <w:t>期末前</w:t>
      </w:r>
      <w:proofErr w:type="gramEnd"/>
      <w:r w:rsidRPr="00C2179A">
        <w:rPr>
          <w:rFonts w:ascii="Times New Roman" w:hAnsi="Times New Roman" w:hint="eastAsia"/>
          <w:kern w:val="0"/>
          <w:szCs w:val="24"/>
        </w:rPr>
        <w:t>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76" w:name="_Toc225500050"/>
      <w:bookmarkStart w:id="77"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6"/>
      <w:bookmarkEnd w:id="77"/>
    </w:p>
    <w:p w:rsidR="001A59F9" w:rsidRPr="00C2179A" w:rsidRDefault="001A59F9" w:rsidP="00C2179A">
      <w:pPr>
        <w:pStyle w:val="20"/>
        <w:spacing w:before="29" w:after="0" w:line="288" w:lineRule="auto"/>
        <w:rPr>
          <w:rFonts w:ascii="Times New Roman" w:hAnsi="Times New Roman"/>
          <w:kern w:val="0"/>
          <w:szCs w:val="24"/>
        </w:rPr>
      </w:pPr>
      <w:bookmarkStart w:id="78" w:name="_Toc225500051"/>
      <w:bookmarkStart w:id="79"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8"/>
      <w:bookmarkEnd w:id="79"/>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w:t>
            </w:r>
            <w:proofErr w:type="gramStart"/>
            <w:r w:rsidRPr="001A428A">
              <w:rPr>
                <w:rFonts w:hint="eastAsia"/>
                <w:szCs w:val="21"/>
              </w:rPr>
              <w:t>人结构</w:t>
            </w:r>
            <w:proofErr w:type="gramEnd"/>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交银双轮动债券</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8,364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135,371.44</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961,286,422.19</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84.90%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170,960,331.82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15.10%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交银双轮动债券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7,117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26,556.20</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164,246,017.36</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86.90%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24,754,435.57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13.10%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15,481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85,346.37</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1,125,532,439.55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85.19%</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195,714,767.39</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14.81%</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0"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DB39E5">
        <w:trPr>
          <w:trHeight w:val="285"/>
        </w:trPr>
        <w:tc>
          <w:tcPr>
            <w:tcW w:w="2268" w:type="dxa"/>
            <w:noWrap/>
            <w:vAlign w:val="center"/>
          </w:tcPr>
          <w:p w:rsidR="00224B72" w:rsidRPr="00640CFF" w:rsidRDefault="00224B72" w:rsidP="00DB39E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DB39E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DB39E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DB39E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DB39E5">
        <w:trPr>
          <w:trHeight w:val="285"/>
        </w:trPr>
        <w:tc>
          <w:tcPr>
            <w:tcW w:w="2268" w:type="dxa"/>
            <w:vMerge w:val="restart"/>
            <w:noWrap/>
            <w:vAlign w:val="center"/>
          </w:tcPr>
          <w:p w:rsidR="00224B72" w:rsidRPr="00D564C7" w:rsidRDefault="00224B72" w:rsidP="00DB39E5">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DB39E5">
            <w:pPr>
              <w:spacing w:before="29" w:line="288" w:lineRule="auto"/>
              <w:rPr>
                <w:color w:val="000000"/>
                <w:kern w:val="0"/>
                <w:sz w:val="24"/>
              </w:rPr>
            </w:pPr>
            <w:r w:rsidRPr="006E3F38">
              <w:rPr>
                <w:color w:val="000000"/>
                <w:kern w:val="0"/>
                <w:sz w:val="24"/>
              </w:rPr>
              <w:t>交银双轮动债券</w:t>
            </w:r>
            <w:r w:rsidRPr="006E3F38">
              <w:rPr>
                <w:color w:val="000000"/>
                <w:kern w:val="0"/>
                <w:sz w:val="24"/>
              </w:rPr>
              <w:t>A/B</w:t>
            </w:r>
          </w:p>
        </w:tc>
        <w:tc>
          <w:tcPr>
            <w:tcW w:w="2126" w:type="dxa"/>
            <w:noWrap/>
            <w:vAlign w:val="center"/>
          </w:tcPr>
          <w:p w:rsidR="00224B72" w:rsidRPr="006E3F38" w:rsidRDefault="00224B72" w:rsidP="00DB39E5">
            <w:pPr>
              <w:widowControl/>
              <w:spacing w:before="29" w:line="288" w:lineRule="auto"/>
              <w:jc w:val="right"/>
              <w:rPr>
                <w:color w:val="000000"/>
                <w:kern w:val="0"/>
                <w:sz w:val="24"/>
              </w:rPr>
            </w:pPr>
            <w:r w:rsidRPr="006E3F38">
              <w:rPr>
                <w:color w:val="000000"/>
                <w:kern w:val="0"/>
                <w:sz w:val="24"/>
              </w:rPr>
              <w:t>89,804.55</w:t>
            </w:r>
          </w:p>
        </w:tc>
        <w:tc>
          <w:tcPr>
            <w:tcW w:w="1910" w:type="dxa"/>
            <w:noWrap/>
            <w:vAlign w:val="center"/>
          </w:tcPr>
          <w:p w:rsidR="00224B72" w:rsidRPr="006E3F38" w:rsidRDefault="00224B72" w:rsidP="00DB39E5">
            <w:pPr>
              <w:widowControl/>
              <w:spacing w:before="29" w:line="288" w:lineRule="auto"/>
              <w:jc w:val="right"/>
              <w:rPr>
                <w:color w:val="000000"/>
                <w:kern w:val="0"/>
                <w:sz w:val="24"/>
              </w:rPr>
            </w:pPr>
            <w:r w:rsidRPr="006E3F38">
              <w:rPr>
                <w:color w:val="000000"/>
                <w:kern w:val="0"/>
                <w:sz w:val="24"/>
              </w:rPr>
              <w:t>0.01%</w:t>
            </w:r>
          </w:p>
        </w:tc>
      </w:tr>
      <w:tr w:rsidR="00224B72" w:rsidRPr="00D564C7" w:rsidTr="00DB39E5">
        <w:trPr>
          <w:trHeight w:val="285"/>
        </w:trPr>
        <w:tc>
          <w:tcPr>
            <w:tcW w:w="2268" w:type="dxa"/>
            <w:vMerge/>
            <w:vAlign w:val="center"/>
          </w:tcPr>
          <w:p w:rsidR="00224B72" w:rsidRPr="00D564C7" w:rsidRDefault="00224B72" w:rsidP="00DB39E5">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DB39E5">
            <w:pPr>
              <w:spacing w:before="29" w:line="288" w:lineRule="auto"/>
              <w:rPr>
                <w:color w:val="000000"/>
                <w:kern w:val="0"/>
                <w:sz w:val="24"/>
              </w:rPr>
            </w:pPr>
            <w:r w:rsidRPr="006E3F38">
              <w:rPr>
                <w:color w:val="000000"/>
                <w:kern w:val="0"/>
                <w:sz w:val="24"/>
              </w:rPr>
              <w:t>交银双轮动债券</w:t>
            </w:r>
            <w:r w:rsidRPr="006E3F38">
              <w:rPr>
                <w:color w:val="000000"/>
                <w:kern w:val="0"/>
                <w:sz w:val="24"/>
              </w:rPr>
              <w:t>C</w:t>
            </w:r>
          </w:p>
        </w:tc>
        <w:tc>
          <w:tcPr>
            <w:tcW w:w="2126" w:type="dxa"/>
            <w:noWrap/>
            <w:vAlign w:val="center"/>
          </w:tcPr>
          <w:p w:rsidR="00224B72" w:rsidRPr="006E3F38" w:rsidRDefault="00224B72" w:rsidP="00DB39E5">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DB39E5">
            <w:pPr>
              <w:widowControl/>
              <w:spacing w:before="29" w:line="288" w:lineRule="auto"/>
              <w:jc w:val="right"/>
              <w:rPr>
                <w:color w:val="000000"/>
                <w:kern w:val="0"/>
                <w:sz w:val="24"/>
              </w:rPr>
            </w:pPr>
            <w:r w:rsidRPr="006E3F38">
              <w:rPr>
                <w:color w:val="000000"/>
                <w:kern w:val="0"/>
                <w:sz w:val="24"/>
              </w:rPr>
              <w:t>-</w:t>
            </w:r>
          </w:p>
        </w:tc>
      </w:tr>
      <w:tr w:rsidR="00224B72" w:rsidRPr="00D564C7" w:rsidTr="00DB39E5">
        <w:trPr>
          <w:trHeight w:val="285"/>
        </w:trPr>
        <w:tc>
          <w:tcPr>
            <w:tcW w:w="2268" w:type="dxa"/>
            <w:vMerge/>
            <w:vAlign w:val="center"/>
          </w:tcPr>
          <w:p w:rsidR="00224B72" w:rsidRPr="00D564C7" w:rsidRDefault="00224B72" w:rsidP="00DB39E5">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DB39E5">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DB39E5">
            <w:pPr>
              <w:spacing w:before="29" w:line="288" w:lineRule="auto"/>
              <w:jc w:val="right"/>
              <w:rPr>
                <w:color w:val="000000"/>
                <w:kern w:val="0"/>
                <w:sz w:val="24"/>
              </w:rPr>
            </w:pPr>
            <w:r w:rsidRPr="006E3F38">
              <w:rPr>
                <w:color w:val="000000"/>
                <w:kern w:val="0"/>
                <w:sz w:val="24"/>
              </w:rPr>
              <w:t>89,804.55</w:t>
            </w:r>
          </w:p>
        </w:tc>
        <w:tc>
          <w:tcPr>
            <w:tcW w:w="1910" w:type="dxa"/>
            <w:noWrap/>
            <w:vAlign w:val="center"/>
          </w:tcPr>
          <w:p w:rsidR="00224B72" w:rsidRPr="006E3F38" w:rsidRDefault="00224B72" w:rsidP="00DB39E5">
            <w:pPr>
              <w:spacing w:before="29" w:line="288" w:lineRule="auto"/>
              <w:jc w:val="right"/>
              <w:rPr>
                <w:color w:val="000000"/>
                <w:kern w:val="0"/>
                <w:sz w:val="24"/>
              </w:rPr>
            </w:pPr>
            <w:r w:rsidRPr="006E3F38">
              <w:rPr>
                <w:color w:val="000000"/>
                <w:kern w:val="0"/>
                <w:sz w:val="24"/>
              </w:rPr>
              <w:t>0.01%</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w:t>
            </w:r>
            <w:r w:rsidRPr="0028548E">
              <w:rPr>
                <w:rFonts w:hint="eastAsia"/>
                <w:color w:val="000000"/>
                <w:sz w:val="24"/>
              </w:rPr>
              <w:lastRenderedPageBreak/>
              <w:t>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lastRenderedPageBreak/>
              <w:t>交银双轮动债券</w:t>
            </w:r>
            <w:r w:rsidRPr="007D35F8">
              <w:rPr>
                <w:rFonts w:hint="eastAsia"/>
                <w:color w:val="000000"/>
                <w:kern w:val="0"/>
                <w:sz w:val="24"/>
              </w:rPr>
              <w:lastRenderedPageBreak/>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lastRenderedPageBreak/>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交银双轮动债券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w:t>
            </w:r>
            <w:proofErr w:type="gramStart"/>
            <w:r w:rsidRPr="0028548E">
              <w:rPr>
                <w:rFonts w:hint="eastAsia"/>
                <w:color w:val="000000"/>
                <w:sz w:val="24"/>
              </w:rPr>
              <w:t>基金基金</w:t>
            </w:r>
            <w:proofErr w:type="gramEnd"/>
            <w:r w:rsidRPr="0028548E">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交银双轮动债券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交银双轮动债券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1"/>
      <w:bookmarkEnd w:id="82"/>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交银双轮动债券</w:t>
            </w:r>
            <w:r w:rsidRPr="009440E4">
              <w:rPr>
                <w:sz w:val="24"/>
              </w:rPr>
              <w:t>A/B</w:t>
            </w:r>
          </w:p>
        </w:tc>
        <w:tc>
          <w:tcPr>
            <w:tcW w:w="1615" w:type="pct"/>
            <w:vAlign w:val="center"/>
          </w:tcPr>
          <w:p w:rsidR="00703495" w:rsidRPr="009440E4" w:rsidRDefault="00703495" w:rsidP="009440E4">
            <w:pPr>
              <w:spacing w:before="29" w:line="288" w:lineRule="auto"/>
              <w:jc w:val="center"/>
              <w:rPr>
                <w:sz w:val="24"/>
              </w:rPr>
            </w:pPr>
            <w:r w:rsidRPr="009440E4">
              <w:rPr>
                <w:sz w:val="24"/>
              </w:rPr>
              <w:t>交银双轮动债券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2013</w:t>
            </w:r>
            <w:r w:rsidRPr="009440E4">
              <w:rPr>
                <w:sz w:val="24"/>
              </w:rPr>
              <w:t>年</w:t>
            </w:r>
            <w:r w:rsidRPr="009440E4">
              <w:rPr>
                <w:sz w:val="24"/>
              </w:rPr>
              <w:t>4</w:t>
            </w:r>
            <w:r w:rsidRPr="009440E4">
              <w:rPr>
                <w:sz w:val="24"/>
              </w:rPr>
              <w:t>月</w:t>
            </w:r>
            <w:r w:rsidRPr="009440E4">
              <w:rPr>
                <w:sz w:val="24"/>
              </w:rPr>
              <w:t>18</w:t>
            </w:r>
            <w:r w:rsidRPr="009440E4">
              <w:rPr>
                <w:sz w:val="24"/>
              </w:rPr>
              <w:t>日</w:t>
            </w:r>
            <w:r w:rsidRPr="009440E4">
              <w:rPr>
                <w:rFonts w:hint="eastAsia"/>
                <w:sz w:val="24"/>
              </w:rPr>
              <w:t>）基金份额总额</w:t>
            </w:r>
          </w:p>
        </w:tc>
        <w:tc>
          <w:tcPr>
            <w:tcW w:w="1614" w:type="pct"/>
            <w:vAlign w:val="center"/>
          </w:tcPr>
          <w:p w:rsidR="00703495" w:rsidRPr="009440E4" w:rsidRDefault="00703495" w:rsidP="009F1FAA">
            <w:pPr>
              <w:spacing w:before="29" w:line="288" w:lineRule="auto"/>
              <w:jc w:val="right"/>
              <w:rPr>
                <w:sz w:val="24"/>
              </w:rPr>
            </w:pPr>
            <w:r w:rsidRPr="009440E4">
              <w:rPr>
                <w:sz w:val="24"/>
              </w:rPr>
              <w:t>1,391,814,043.87</w:t>
            </w:r>
          </w:p>
        </w:tc>
        <w:tc>
          <w:tcPr>
            <w:tcW w:w="1615" w:type="pct"/>
            <w:vAlign w:val="center"/>
          </w:tcPr>
          <w:p w:rsidR="00703495" w:rsidRPr="009440E4" w:rsidRDefault="00703495" w:rsidP="009F1FAA">
            <w:pPr>
              <w:spacing w:before="29" w:line="288" w:lineRule="auto"/>
              <w:jc w:val="right"/>
              <w:rPr>
                <w:sz w:val="24"/>
              </w:rPr>
            </w:pPr>
            <w:r w:rsidRPr="009440E4">
              <w:rPr>
                <w:sz w:val="24"/>
              </w:rPr>
              <w:t>474,676,027.56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w:t>
            </w:r>
            <w:proofErr w:type="gramStart"/>
            <w:r w:rsidRPr="009440E4">
              <w:rPr>
                <w:rFonts w:hint="eastAsia"/>
                <w:sz w:val="24"/>
              </w:rPr>
              <w:t>初基金</w:t>
            </w:r>
            <w:proofErr w:type="gramEnd"/>
            <w:r w:rsidRPr="009440E4">
              <w:rPr>
                <w:rFonts w:hint="eastAsia"/>
                <w:sz w:val="24"/>
              </w:rPr>
              <w:t>份额总额</w:t>
            </w:r>
          </w:p>
        </w:tc>
        <w:tc>
          <w:tcPr>
            <w:tcW w:w="1614" w:type="pct"/>
            <w:vAlign w:val="bottom"/>
          </w:tcPr>
          <w:p w:rsidR="00703495" w:rsidRPr="009440E4" w:rsidRDefault="00703495" w:rsidP="009F1FAA">
            <w:pPr>
              <w:spacing w:before="29" w:line="288" w:lineRule="auto"/>
              <w:jc w:val="right"/>
              <w:rPr>
                <w:sz w:val="24"/>
              </w:rPr>
            </w:pPr>
            <w:r w:rsidRPr="009440E4">
              <w:rPr>
                <w:sz w:val="24"/>
              </w:rPr>
              <w:t>1,538,187,543.75</w:t>
            </w:r>
          </w:p>
        </w:tc>
        <w:tc>
          <w:tcPr>
            <w:tcW w:w="1615" w:type="pct"/>
            <w:vAlign w:val="bottom"/>
          </w:tcPr>
          <w:p w:rsidR="00703495" w:rsidRPr="009440E4" w:rsidRDefault="00703495" w:rsidP="009F1FAA">
            <w:pPr>
              <w:spacing w:before="29" w:line="288" w:lineRule="auto"/>
              <w:jc w:val="right"/>
              <w:rPr>
                <w:sz w:val="24"/>
              </w:rPr>
            </w:pPr>
            <w:r w:rsidRPr="009440E4">
              <w:rPr>
                <w:sz w:val="24"/>
              </w:rPr>
              <w:t>6,202,760.57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总申购份额</w:t>
            </w:r>
          </w:p>
        </w:tc>
        <w:tc>
          <w:tcPr>
            <w:tcW w:w="1614" w:type="pct"/>
            <w:vAlign w:val="bottom"/>
          </w:tcPr>
          <w:p w:rsidR="00703495" w:rsidRPr="009440E4" w:rsidRDefault="00703495" w:rsidP="009F1FAA">
            <w:pPr>
              <w:spacing w:before="29" w:line="288" w:lineRule="auto"/>
              <w:jc w:val="right"/>
              <w:rPr>
                <w:sz w:val="24"/>
              </w:rPr>
            </w:pPr>
            <w:r w:rsidRPr="009440E4">
              <w:rPr>
                <w:sz w:val="24"/>
              </w:rPr>
              <w:t>1,301,661,959.25</w:t>
            </w:r>
          </w:p>
        </w:tc>
        <w:tc>
          <w:tcPr>
            <w:tcW w:w="1615" w:type="pct"/>
            <w:vAlign w:val="bottom"/>
          </w:tcPr>
          <w:p w:rsidR="00703495" w:rsidRPr="009440E4" w:rsidRDefault="00703495" w:rsidP="009F1FAA">
            <w:pPr>
              <w:spacing w:before="29" w:line="288" w:lineRule="auto"/>
              <w:jc w:val="right"/>
              <w:rPr>
                <w:sz w:val="24"/>
              </w:rPr>
            </w:pPr>
            <w:r w:rsidRPr="009440E4">
              <w:rPr>
                <w:sz w:val="24"/>
              </w:rPr>
              <w:t>262,496,508.08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总赎回份额</w:t>
            </w:r>
          </w:p>
        </w:tc>
        <w:tc>
          <w:tcPr>
            <w:tcW w:w="1614" w:type="pct"/>
            <w:vAlign w:val="bottom"/>
          </w:tcPr>
          <w:p w:rsidR="00703495" w:rsidRPr="009440E4" w:rsidRDefault="00703495" w:rsidP="009F1FAA">
            <w:pPr>
              <w:spacing w:before="29" w:line="288" w:lineRule="auto"/>
              <w:jc w:val="right"/>
              <w:rPr>
                <w:sz w:val="24"/>
              </w:rPr>
            </w:pPr>
            <w:r w:rsidRPr="009440E4">
              <w:rPr>
                <w:sz w:val="24"/>
              </w:rPr>
              <w:t>1,707,602,748.99</w:t>
            </w:r>
          </w:p>
        </w:tc>
        <w:tc>
          <w:tcPr>
            <w:tcW w:w="1615" w:type="pct"/>
            <w:vAlign w:val="bottom"/>
          </w:tcPr>
          <w:p w:rsidR="00703495" w:rsidRPr="009440E4" w:rsidRDefault="00703495" w:rsidP="009F1FAA">
            <w:pPr>
              <w:spacing w:before="29" w:line="288" w:lineRule="auto"/>
              <w:jc w:val="right"/>
              <w:rPr>
                <w:sz w:val="24"/>
              </w:rPr>
            </w:pPr>
            <w:r w:rsidRPr="009440E4">
              <w:rPr>
                <w:sz w:val="24"/>
              </w:rPr>
              <w:t>79,698,815.72</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拆分变动份额</w:t>
            </w:r>
          </w:p>
        </w:tc>
        <w:tc>
          <w:tcPr>
            <w:tcW w:w="1614" w:type="pct"/>
            <w:vAlign w:val="bottom"/>
          </w:tcPr>
          <w:p w:rsidR="00703495" w:rsidRPr="009440E4" w:rsidRDefault="00703495" w:rsidP="009F1FAA">
            <w:pPr>
              <w:spacing w:before="29" w:line="288" w:lineRule="auto"/>
              <w:jc w:val="right"/>
              <w:rPr>
                <w:sz w:val="24"/>
              </w:rPr>
            </w:pPr>
            <w:r w:rsidRPr="009440E4">
              <w:rPr>
                <w:sz w:val="24"/>
              </w:rPr>
              <w:t>-</w:t>
            </w:r>
          </w:p>
        </w:tc>
        <w:tc>
          <w:tcPr>
            <w:tcW w:w="1615" w:type="pct"/>
            <w:vAlign w:val="bottom"/>
          </w:tcPr>
          <w:p w:rsidR="00703495" w:rsidRPr="009440E4" w:rsidRDefault="00703495" w:rsidP="009F1FAA">
            <w:pPr>
              <w:spacing w:before="29" w:line="288" w:lineRule="auto"/>
              <w:jc w:val="right"/>
              <w:rPr>
                <w:sz w:val="24"/>
              </w:rPr>
            </w:pPr>
            <w:bookmarkStart w:id="83" w:name="_GoBack"/>
            <w:bookmarkEnd w:id="83"/>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F1FAA">
            <w:pPr>
              <w:spacing w:before="29" w:line="288" w:lineRule="auto"/>
              <w:jc w:val="right"/>
              <w:rPr>
                <w:sz w:val="24"/>
              </w:rPr>
            </w:pPr>
            <w:r w:rsidRPr="009440E4">
              <w:rPr>
                <w:sz w:val="24"/>
              </w:rPr>
              <w:t>1,132,246,754.01</w:t>
            </w:r>
          </w:p>
        </w:tc>
        <w:tc>
          <w:tcPr>
            <w:tcW w:w="1615" w:type="pct"/>
            <w:vAlign w:val="center"/>
          </w:tcPr>
          <w:p w:rsidR="00703495" w:rsidRPr="009440E4" w:rsidRDefault="00703495" w:rsidP="009F1FAA">
            <w:pPr>
              <w:spacing w:before="29" w:line="288" w:lineRule="auto"/>
              <w:jc w:val="right"/>
              <w:rPr>
                <w:sz w:val="24"/>
              </w:rPr>
            </w:pPr>
            <w:r w:rsidRPr="009440E4">
              <w:rPr>
                <w:sz w:val="24"/>
              </w:rPr>
              <w:t>189,000,452.93</w:t>
            </w:r>
          </w:p>
        </w:tc>
      </w:tr>
    </w:tbl>
    <w:p w:rsidR="00FB0947" w:rsidRDefault="00DB39E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B2916">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FB0947" w:rsidRDefault="00DB39E5">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FB0947" w:rsidRDefault="00DB39E5">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FB0947" w:rsidRDefault="00DB39E5">
      <w:pPr>
        <w:spacing w:before="29" w:line="288" w:lineRule="auto"/>
        <w:ind w:firstLineChars="200" w:firstLine="480"/>
        <w:rPr>
          <w:color w:val="000000"/>
          <w:sz w:val="24"/>
        </w:rPr>
      </w:pPr>
      <w:r>
        <w:rPr>
          <w:color w:val="000000"/>
          <w:sz w:val="24"/>
        </w:rPr>
        <w:lastRenderedPageBreak/>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90,000.00</w:t>
      </w:r>
      <w:r w:rsidRPr="00FF415B">
        <w:rPr>
          <w:color w:val="000000"/>
          <w:sz w:val="24"/>
        </w:rPr>
        <w:t>元。自本</w:t>
      </w:r>
      <w:proofErr w:type="gramStart"/>
      <w:r w:rsidRPr="00FF415B">
        <w:rPr>
          <w:color w:val="000000"/>
          <w:sz w:val="24"/>
        </w:rPr>
        <w:t>基金基金</w:t>
      </w:r>
      <w:proofErr w:type="gramEnd"/>
      <w:r w:rsidRPr="00FF415B">
        <w:rPr>
          <w:color w:val="000000"/>
          <w:sz w:val="24"/>
        </w:rPr>
        <w:t>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FB0947" w:rsidRDefault="00DB39E5">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FB0947" w:rsidRDefault="00DB39E5">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FB0947" w:rsidRDefault="00DB39E5">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FB0947">
        <w:tc>
          <w:tcPr>
            <w:tcW w:w="1559" w:type="dxa"/>
            <w:vAlign w:val="center"/>
          </w:tcPr>
          <w:p w:rsidR="00FB0947" w:rsidRDefault="00DB39E5">
            <w:pPr>
              <w:jc w:val="left"/>
            </w:pPr>
            <w:r>
              <w:rPr>
                <w:color w:val="000000"/>
                <w:szCs w:val="21"/>
              </w:rPr>
              <w:t>安信证券股份有限公司</w:t>
            </w:r>
          </w:p>
        </w:tc>
        <w:tc>
          <w:tcPr>
            <w:tcW w:w="779" w:type="dxa"/>
            <w:vAlign w:val="center"/>
          </w:tcPr>
          <w:p w:rsidR="00FB0947" w:rsidRDefault="00DB39E5">
            <w:pPr>
              <w:jc w:val="right"/>
            </w:pPr>
            <w:r>
              <w:rPr>
                <w:color w:val="000000"/>
                <w:szCs w:val="21"/>
              </w:rPr>
              <w:t>2</w:t>
            </w:r>
          </w:p>
        </w:tc>
        <w:tc>
          <w:tcPr>
            <w:tcW w:w="1800" w:type="dxa"/>
            <w:vAlign w:val="center"/>
          </w:tcPr>
          <w:p w:rsidR="00FB0947" w:rsidRDefault="00DB39E5">
            <w:pPr>
              <w:jc w:val="right"/>
            </w:pPr>
            <w:r>
              <w:rPr>
                <w:color w:val="000000"/>
                <w:szCs w:val="21"/>
              </w:rPr>
              <w:t>-</w:t>
            </w:r>
          </w:p>
        </w:tc>
        <w:tc>
          <w:tcPr>
            <w:tcW w:w="1080" w:type="dxa"/>
            <w:vAlign w:val="center"/>
          </w:tcPr>
          <w:p w:rsidR="00FB0947" w:rsidRDefault="00DB39E5">
            <w:pPr>
              <w:jc w:val="right"/>
            </w:pPr>
            <w:r>
              <w:rPr>
                <w:color w:val="000000"/>
                <w:szCs w:val="21"/>
              </w:rPr>
              <w:t>-</w:t>
            </w:r>
          </w:p>
        </w:tc>
        <w:tc>
          <w:tcPr>
            <w:tcW w:w="1620" w:type="dxa"/>
            <w:vAlign w:val="center"/>
          </w:tcPr>
          <w:p w:rsidR="00FB0947" w:rsidRDefault="00DB39E5">
            <w:pPr>
              <w:jc w:val="right"/>
            </w:pPr>
            <w:r>
              <w:rPr>
                <w:color w:val="000000"/>
                <w:szCs w:val="21"/>
              </w:rPr>
              <w:t>-</w:t>
            </w:r>
          </w:p>
        </w:tc>
        <w:tc>
          <w:tcPr>
            <w:tcW w:w="1080" w:type="dxa"/>
            <w:vAlign w:val="center"/>
          </w:tcPr>
          <w:p w:rsidR="00FB0947" w:rsidRDefault="00DB39E5">
            <w:pPr>
              <w:jc w:val="right"/>
            </w:pPr>
            <w:r>
              <w:rPr>
                <w:color w:val="000000"/>
                <w:szCs w:val="21"/>
              </w:rPr>
              <w:t>-</w:t>
            </w:r>
          </w:p>
        </w:tc>
        <w:tc>
          <w:tcPr>
            <w:tcW w:w="1080" w:type="dxa"/>
            <w:vAlign w:val="center"/>
          </w:tcPr>
          <w:p w:rsidR="00FB0947" w:rsidRDefault="00DB39E5">
            <w:pPr>
              <w:jc w:val="left"/>
            </w:pPr>
            <w:r>
              <w:rPr>
                <w:color w:val="000000"/>
                <w:szCs w:val="21"/>
              </w:rPr>
              <w:t>-</w:t>
            </w:r>
          </w:p>
        </w:tc>
      </w:tr>
      <w:tr w:rsidR="00FB0947">
        <w:tc>
          <w:tcPr>
            <w:tcW w:w="1559" w:type="dxa"/>
            <w:vAlign w:val="center"/>
          </w:tcPr>
          <w:p w:rsidR="00FB0947" w:rsidRDefault="00DB39E5">
            <w:pPr>
              <w:jc w:val="left"/>
            </w:pPr>
            <w:r>
              <w:rPr>
                <w:color w:val="000000"/>
                <w:szCs w:val="21"/>
              </w:rPr>
              <w:t>国金证券股份有限公司</w:t>
            </w:r>
          </w:p>
        </w:tc>
        <w:tc>
          <w:tcPr>
            <w:tcW w:w="779" w:type="dxa"/>
            <w:vAlign w:val="center"/>
          </w:tcPr>
          <w:p w:rsidR="00FB0947" w:rsidRDefault="00DB39E5">
            <w:pPr>
              <w:jc w:val="right"/>
            </w:pPr>
            <w:r>
              <w:rPr>
                <w:color w:val="000000"/>
                <w:szCs w:val="21"/>
              </w:rPr>
              <w:t>2</w:t>
            </w:r>
          </w:p>
        </w:tc>
        <w:tc>
          <w:tcPr>
            <w:tcW w:w="1800" w:type="dxa"/>
            <w:vAlign w:val="center"/>
          </w:tcPr>
          <w:p w:rsidR="00FB0947" w:rsidRDefault="00DB39E5">
            <w:pPr>
              <w:jc w:val="right"/>
            </w:pPr>
            <w:r>
              <w:rPr>
                <w:color w:val="000000"/>
                <w:szCs w:val="21"/>
              </w:rPr>
              <w:t>-</w:t>
            </w:r>
          </w:p>
        </w:tc>
        <w:tc>
          <w:tcPr>
            <w:tcW w:w="1080" w:type="dxa"/>
            <w:vAlign w:val="center"/>
          </w:tcPr>
          <w:p w:rsidR="00FB0947" w:rsidRDefault="00DB39E5">
            <w:pPr>
              <w:jc w:val="right"/>
            </w:pPr>
            <w:r>
              <w:rPr>
                <w:color w:val="000000"/>
                <w:szCs w:val="21"/>
              </w:rPr>
              <w:t>-</w:t>
            </w:r>
          </w:p>
        </w:tc>
        <w:tc>
          <w:tcPr>
            <w:tcW w:w="1620" w:type="dxa"/>
            <w:vAlign w:val="center"/>
          </w:tcPr>
          <w:p w:rsidR="00FB0947" w:rsidRDefault="00DB39E5">
            <w:pPr>
              <w:jc w:val="right"/>
            </w:pPr>
            <w:r>
              <w:rPr>
                <w:color w:val="000000"/>
                <w:szCs w:val="21"/>
              </w:rPr>
              <w:t>-</w:t>
            </w:r>
          </w:p>
        </w:tc>
        <w:tc>
          <w:tcPr>
            <w:tcW w:w="1080" w:type="dxa"/>
            <w:vAlign w:val="center"/>
          </w:tcPr>
          <w:p w:rsidR="00FB0947" w:rsidRDefault="00DB39E5">
            <w:pPr>
              <w:jc w:val="right"/>
            </w:pPr>
            <w:r>
              <w:rPr>
                <w:color w:val="000000"/>
                <w:szCs w:val="21"/>
              </w:rPr>
              <w:t>-</w:t>
            </w:r>
          </w:p>
        </w:tc>
        <w:tc>
          <w:tcPr>
            <w:tcW w:w="1080" w:type="dxa"/>
            <w:vAlign w:val="center"/>
          </w:tcPr>
          <w:p w:rsidR="00FB0947" w:rsidRDefault="00DB39E5">
            <w:pPr>
              <w:jc w:val="left"/>
            </w:pPr>
            <w:r>
              <w:rPr>
                <w:color w:val="000000"/>
                <w:szCs w:val="21"/>
              </w:rPr>
              <w:t>-</w:t>
            </w:r>
          </w:p>
        </w:tc>
      </w:tr>
      <w:tr w:rsidR="00FB0947">
        <w:tc>
          <w:tcPr>
            <w:tcW w:w="1559" w:type="dxa"/>
            <w:vAlign w:val="center"/>
          </w:tcPr>
          <w:p w:rsidR="00FB0947" w:rsidRDefault="00DB39E5">
            <w:pPr>
              <w:jc w:val="left"/>
            </w:pPr>
            <w:r>
              <w:rPr>
                <w:color w:val="000000"/>
                <w:szCs w:val="21"/>
              </w:rPr>
              <w:t>中泰证券股份</w:t>
            </w:r>
            <w:r>
              <w:rPr>
                <w:color w:val="000000"/>
                <w:szCs w:val="21"/>
              </w:rPr>
              <w:lastRenderedPageBreak/>
              <w:t>有限公司</w:t>
            </w:r>
          </w:p>
        </w:tc>
        <w:tc>
          <w:tcPr>
            <w:tcW w:w="779" w:type="dxa"/>
            <w:vAlign w:val="center"/>
          </w:tcPr>
          <w:p w:rsidR="00FB0947" w:rsidRDefault="00DB39E5">
            <w:pPr>
              <w:jc w:val="right"/>
            </w:pPr>
            <w:r>
              <w:rPr>
                <w:color w:val="000000"/>
                <w:szCs w:val="21"/>
              </w:rPr>
              <w:lastRenderedPageBreak/>
              <w:t>2</w:t>
            </w:r>
          </w:p>
        </w:tc>
        <w:tc>
          <w:tcPr>
            <w:tcW w:w="1800" w:type="dxa"/>
            <w:vAlign w:val="center"/>
          </w:tcPr>
          <w:p w:rsidR="00FB0947" w:rsidRDefault="00DB39E5">
            <w:pPr>
              <w:jc w:val="right"/>
            </w:pPr>
            <w:r>
              <w:rPr>
                <w:color w:val="000000"/>
                <w:szCs w:val="21"/>
              </w:rPr>
              <w:t>-</w:t>
            </w:r>
          </w:p>
        </w:tc>
        <w:tc>
          <w:tcPr>
            <w:tcW w:w="1080" w:type="dxa"/>
            <w:vAlign w:val="center"/>
          </w:tcPr>
          <w:p w:rsidR="00FB0947" w:rsidRDefault="00DB39E5">
            <w:pPr>
              <w:jc w:val="right"/>
            </w:pPr>
            <w:r>
              <w:rPr>
                <w:color w:val="000000"/>
                <w:szCs w:val="21"/>
              </w:rPr>
              <w:t>-</w:t>
            </w:r>
          </w:p>
        </w:tc>
        <w:tc>
          <w:tcPr>
            <w:tcW w:w="1620" w:type="dxa"/>
            <w:vAlign w:val="center"/>
          </w:tcPr>
          <w:p w:rsidR="00FB0947" w:rsidRDefault="00DB39E5">
            <w:pPr>
              <w:jc w:val="right"/>
            </w:pPr>
            <w:r>
              <w:rPr>
                <w:color w:val="000000"/>
                <w:szCs w:val="21"/>
              </w:rPr>
              <w:t>-</w:t>
            </w:r>
          </w:p>
        </w:tc>
        <w:tc>
          <w:tcPr>
            <w:tcW w:w="1080" w:type="dxa"/>
            <w:vAlign w:val="center"/>
          </w:tcPr>
          <w:p w:rsidR="00FB0947" w:rsidRDefault="00DB39E5">
            <w:pPr>
              <w:jc w:val="right"/>
            </w:pPr>
            <w:r>
              <w:rPr>
                <w:color w:val="000000"/>
                <w:szCs w:val="21"/>
              </w:rPr>
              <w:t>-</w:t>
            </w:r>
          </w:p>
        </w:tc>
        <w:tc>
          <w:tcPr>
            <w:tcW w:w="1080" w:type="dxa"/>
            <w:vAlign w:val="center"/>
          </w:tcPr>
          <w:p w:rsidR="00FB0947" w:rsidRDefault="00DB39E5">
            <w:pPr>
              <w:jc w:val="left"/>
            </w:pPr>
            <w:r>
              <w:rPr>
                <w:color w:val="000000"/>
                <w:szCs w:val="21"/>
              </w:rPr>
              <w:t>-</w:t>
            </w:r>
          </w:p>
        </w:tc>
      </w:tr>
      <w:tr w:rsidR="00FB0947">
        <w:tc>
          <w:tcPr>
            <w:tcW w:w="1559" w:type="dxa"/>
            <w:vAlign w:val="center"/>
          </w:tcPr>
          <w:p w:rsidR="00FB0947" w:rsidRDefault="00DB39E5">
            <w:pPr>
              <w:jc w:val="left"/>
            </w:pPr>
            <w:r>
              <w:rPr>
                <w:color w:val="000000"/>
                <w:szCs w:val="21"/>
              </w:rPr>
              <w:t>中信证券股份有限公司</w:t>
            </w:r>
          </w:p>
        </w:tc>
        <w:tc>
          <w:tcPr>
            <w:tcW w:w="779" w:type="dxa"/>
            <w:vAlign w:val="center"/>
          </w:tcPr>
          <w:p w:rsidR="00FB0947" w:rsidRDefault="00DB39E5">
            <w:pPr>
              <w:jc w:val="right"/>
            </w:pPr>
            <w:r>
              <w:rPr>
                <w:color w:val="000000"/>
                <w:szCs w:val="21"/>
              </w:rPr>
              <w:t>1</w:t>
            </w:r>
          </w:p>
        </w:tc>
        <w:tc>
          <w:tcPr>
            <w:tcW w:w="1800" w:type="dxa"/>
            <w:vAlign w:val="center"/>
          </w:tcPr>
          <w:p w:rsidR="00FB0947" w:rsidRDefault="00DB39E5">
            <w:pPr>
              <w:jc w:val="right"/>
            </w:pPr>
            <w:r>
              <w:rPr>
                <w:color w:val="000000"/>
                <w:szCs w:val="21"/>
              </w:rPr>
              <w:t>-</w:t>
            </w:r>
          </w:p>
        </w:tc>
        <w:tc>
          <w:tcPr>
            <w:tcW w:w="1080" w:type="dxa"/>
            <w:vAlign w:val="center"/>
          </w:tcPr>
          <w:p w:rsidR="00FB0947" w:rsidRDefault="00DB39E5">
            <w:pPr>
              <w:jc w:val="right"/>
            </w:pPr>
            <w:r>
              <w:rPr>
                <w:color w:val="000000"/>
                <w:szCs w:val="21"/>
              </w:rPr>
              <w:t>-</w:t>
            </w:r>
          </w:p>
        </w:tc>
        <w:tc>
          <w:tcPr>
            <w:tcW w:w="1620" w:type="dxa"/>
            <w:vAlign w:val="center"/>
          </w:tcPr>
          <w:p w:rsidR="00FB0947" w:rsidRDefault="00DB39E5">
            <w:pPr>
              <w:jc w:val="right"/>
            </w:pPr>
            <w:r>
              <w:rPr>
                <w:color w:val="000000"/>
                <w:szCs w:val="21"/>
              </w:rPr>
              <w:t>-</w:t>
            </w:r>
          </w:p>
        </w:tc>
        <w:tc>
          <w:tcPr>
            <w:tcW w:w="1080" w:type="dxa"/>
            <w:vAlign w:val="center"/>
          </w:tcPr>
          <w:p w:rsidR="00FB0947" w:rsidRDefault="00DB39E5">
            <w:pPr>
              <w:jc w:val="right"/>
            </w:pPr>
            <w:r>
              <w:rPr>
                <w:color w:val="000000"/>
                <w:szCs w:val="21"/>
              </w:rPr>
              <w:t>-</w:t>
            </w:r>
          </w:p>
        </w:tc>
        <w:tc>
          <w:tcPr>
            <w:tcW w:w="1080" w:type="dxa"/>
            <w:vAlign w:val="center"/>
          </w:tcPr>
          <w:p w:rsidR="00FB0947" w:rsidRDefault="00DB39E5">
            <w:pPr>
              <w:jc w:val="left"/>
            </w:pPr>
            <w:r>
              <w:rPr>
                <w:color w:val="000000"/>
                <w:szCs w:val="21"/>
              </w:rPr>
              <w:t>-</w:t>
            </w:r>
          </w:p>
        </w:tc>
      </w:tr>
      <w:tr w:rsidR="00FB0947">
        <w:tc>
          <w:tcPr>
            <w:tcW w:w="1559" w:type="dxa"/>
            <w:vAlign w:val="center"/>
          </w:tcPr>
          <w:p w:rsidR="00FB0947" w:rsidRDefault="00DB39E5">
            <w:pPr>
              <w:jc w:val="left"/>
            </w:pPr>
            <w:r>
              <w:rPr>
                <w:color w:val="000000"/>
                <w:szCs w:val="21"/>
              </w:rPr>
              <w:t>新时代证券股份有限公司</w:t>
            </w:r>
          </w:p>
        </w:tc>
        <w:tc>
          <w:tcPr>
            <w:tcW w:w="779" w:type="dxa"/>
            <w:vAlign w:val="center"/>
          </w:tcPr>
          <w:p w:rsidR="00FB0947" w:rsidRDefault="00DB39E5">
            <w:pPr>
              <w:jc w:val="right"/>
            </w:pPr>
            <w:r>
              <w:rPr>
                <w:color w:val="000000"/>
                <w:szCs w:val="21"/>
              </w:rPr>
              <w:t>1</w:t>
            </w:r>
          </w:p>
        </w:tc>
        <w:tc>
          <w:tcPr>
            <w:tcW w:w="1800" w:type="dxa"/>
            <w:vAlign w:val="center"/>
          </w:tcPr>
          <w:p w:rsidR="00FB0947" w:rsidRDefault="00DB39E5">
            <w:pPr>
              <w:jc w:val="right"/>
            </w:pPr>
            <w:r>
              <w:rPr>
                <w:color w:val="000000"/>
                <w:szCs w:val="21"/>
              </w:rPr>
              <w:t>-</w:t>
            </w:r>
          </w:p>
        </w:tc>
        <w:tc>
          <w:tcPr>
            <w:tcW w:w="1080" w:type="dxa"/>
            <w:vAlign w:val="center"/>
          </w:tcPr>
          <w:p w:rsidR="00FB0947" w:rsidRDefault="00DB39E5">
            <w:pPr>
              <w:jc w:val="right"/>
            </w:pPr>
            <w:r>
              <w:rPr>
                <w:color w:val="000000"/>
                <w:szCs w:val="21"/>
              </w:rPr>
              <w:t>-</w:t>
            </w:r>
          </w:p>
        </w:tc>
        <w:tc>
          <w:tcPr>
            <w:tcW w:w="1620" w:type="dxa"/>
            <w:vAlign w:val="center"/>
          </w:tcPr>
          <w:p w:rsidR="00FB0947" w:rsidRDefault="00DB39E5">
            <w:pPr>
              <w:jc w:val="right"/>
            </w:pPr>
            <w:r>
              <w:rPr>
                <w:color w:val="000000"/>
                <w:szCs w:val="21"/>
              </w:rPr>
              <w:t>-</w:t>
            </w:r>
          </w:p>
        </w:tc>
        <w:tc>
          <w:tcPr>
            <w:tcW w:w="1080" w:type="dxa"/>
            <w:vAlign w:val="center"/>
          </w:tcPr>
          <w:p w:rsidR="00FB0947" w:rsidRDefault="00DB39E5">
            <w:pPr>
              <w:jc w:val="right"/>
            </w:pPr>
            <w:r>
              <w:rPr>
                <w:color w:val="000000"/>
                <w:szCs w:val="21"/>
              </w:rPr>
              <w:t>-</w:t>
            </w:r>
          </w:p>
        </w:tc>
        <w:tc>
          <w:tcPr>
            <w:tcW w:w="1080" w:type="dxa"/>
            <w:vAlign w:val="center"/>
          </w:tcPr>
          <w:p w:rsidR="00FB0947" w:rsidRDefault="00DB39E5">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w:t>
            </w:r>
            <w:proofErr w:type="gramStart"/>
            <w:r w:rsidRPr="00A53BDB">
              <w:rPr>
                <w:rFonts w:hint="eastAsia"/>
                <w:color w:val="000000"/>
                <w:szCs w:val="21"/>
              </w:rPr>
              <w:t>证成交</w:t>
            </w:r>
            <w:proofErr w:type="gramEnd"/>
            <w:r w:rsidRPr="00A53BDB">
              <w:rPr>
                <w:rFonts w:hint="eastAsia"/>
                <w:color w:val="000000"/>
                <w:szCs w:val="21"/>
              </w:rPr>
              <w:t>总额的比例</w:t>
            </w:r>
          </w:p>
        </w:tc>
      </w:tr>
      <w:tr w:rsidR="00FB0947">
        <w:tc>
          <w:tcPr>
            <w:tcW w:w="1559" w:type="dxa"/>
            <w:vAlign w:val="center"/>
          </w:tcPr>
          <w:p w:rsidR="00FB0947" w:rsidRDefault="00DB39E5">
            <w:pPr>
              <w:jc w:val="left"/>
            </w:pPr>
            <w:r>
              <w:rPr>
                <w:szCs w:val="21"/>
              </w:rPr>
              <w:t>安信证券股份有限公司</w:t>
            </w:r>
          </w:p>
        </w:tc>
        <w:tc>
          <w:tcPr>
            <w:tcW w:w="1319" w:type="dxa"/>
            <w:vAlign w:val="center"/>
          </w:tcPr>
          <w:p w:rsidR="00FB0947" w:rsidRDefault="00DB39E5">
            <w:pPr>
              <w:jc w:val="right"/>
            </w:pPr>
            <w:r>
              <w:rPr>
                <w:szCs w:val="21"/>
              </w:rPr>
              <w:t>1,160,322,756.51</w:t>
            </w:r>
          </w:p>
        </w:tc>
        <w:tc>
          <w:tcPr>
            <w:tcW w:w="1080" w:type="dxa"/>
            <w:vAlign w:val="center"/>
          </w:tcPr>
          <w:p w:rsidR="00FB0947" w:rsidRDefault="00DB39E5">
            <w:pPr>
              <w:jc w:val="right"/>
            </w:pPr>
            <w:r>
              <w:rPr>
                <w:szCs w:val="21"/>
              </w:rPr>
              <w:t>100.00%</w:t>
            </w:r>
          </w:p>
        </w:tc>
        <w:tc>
          <w:tcPr>
            <w:tcW w:w="1080" w:type="dxa"/>
            <w:vAlign w:val="center"/>
          </w:tcPr>
          <w:p w:rsidR="00FB0947" w:rsidRDefault="00DB39E5">
            <w:pPr>
              <w:jc w:val="right"/>
            </w:pPr>
            <w:r>
              <w:rPr>
                <w:szCs w:val="21"/>
              </w:rPr>
              <w:t>9,438,400,000.00</w:t>
            </w:r>
          </w:p>
        </w:tc>
        <w:tc>
          <w:tcPr>
            <w:tcW w:w="1260" w:type="dxa"/>
            <w:vAlign w:val="center"/>
          </w:tcPr>
          <w:p w:rsidR="00FB0947" w:rsidRDefault="00DB39E5">
            <w:pPr>
              <w:jc w:val="right"/>
            </w:pPr>
            <w:r>
              <w:rPr>
                <w:szCs w:val="21"/>
              </w:rPr>
              <w:t>100.00%</w:t>
            </w:r>
          </w:p>
        </w:tc>
        <w:tc>
          <w:tcPr>
            <w:tcW w:w="1260" w:type="dxa"/>
            <w:vAlign w:val="center"/>
          </w:tcPr>
          <w:p w:rsidR="00FB0947" w:rsidRDefault="00DB39E5">
            <w:pPr>
              <w:jc w:val="right"/>
            </w:pPr>
            <w:r>
              <w:rPr>
                <w:szCs w:val="21"/>
              </w:rPr>
              <w:t>-</w:t>
            </w:r>
          </w:p>
        </w:tc>
        <w:tc>
          <w:tcPr>
            <w:tcW w:w="1440" w:type="dxa"/>
            <w:vAlign w:val="center"/>
          </w:tcPr>
          <w:p w:rsidR="00FB0947" w:rsidRDefault="00DB39E5">
            <w:pPr>
              <w:jc w:val="right"/>
            </w:pPr>
            <w:r>
              <w:rPr>
                <w:szCs w:val="21"/>
              </w:rPr>
              <w:t>-</w:t>
            </w:r>
          </w:p>
        </w:tc>
      </w:tr>
    </w:tbl>
    <w:p w:rsidR="00FB0947" w:rsidRDefault="00DB39E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、报告期内，本基金新增加中信证券股份有限公司和新时代证券股份有限公司；其它交易单元未发生变化；</w:t>
      </w:r>
    </w:p>
    <w:p w:rsidR="00FB0947" w:rsidRDefault="00DB39E5">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FB2916">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DB39E5">
        <w:tc>
          <w:tcPr>
            <w:tcW w:w="993" w:type="dxa"/>
            <w:vMerge w:val="restart"/>
            <w:vAlign w:val="center"/>
          </w:tcPr>
          <w:p w:rsidR="00A25C9D" w:rsidRPr="004F0662" w:rsidRDefault="00A25C9D" w:rsidP="00DB39E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DB39E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DB39E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DB39E5">
        <w:tc>
          <w:tcPr>
            <w:tcW w:w="993" w:type="dxa"/>
            <w:vMerge/>
            <w:vAlign w:val="center"/>
          </w:tcPr>
          <w:p w:rsidR="00A25C9D" w:rsidRPr="004F0662" w:rsidRDefault="00A25C9D" w:rsidP="00DB39E5">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DB39E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DB39E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DB39E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DB39E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DB39E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DB39E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DB39E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B0947">
        <w:tc>
          <w:tcPr>
            <w:tcW w:w="993" w:type="dxa"/>
            <w:vMerge w:val="restart"/>
          </w:tcPr>
          <w:p w:rsidR="00FB0947" w:rsidRDefault="00FB0947"/>
          <w:p w:rsidR="00FB0947" w:rsidRDefault="00DB39E5">
            <w:r>
              <w:rPr>
                <w:rFonts w:ascii="宋体" w:hAnsi="宋体" w:hint="eastAsia"/>
                <w:bCs/>
                <w:color w:val="000000"/>
                <w:kern w:val="0"/>
                <w:szCs w:val="21"/>
              </w:rPr>
              <w:t>机构</w:t>
            </w:r>
          </w:p>
        </w:tc>
        <w:tc>
          <w:tcPr>
            <w:tcW w:w="992" w:type="dxa"/>
            <w:vAlign w:val="center"/>
          </w:tcPr>
          <w:p w:rsidR="00FB0947" w:rsidRDefault="00DB39E5">
            <w:pPr>
              <w:jc w:val="center"/>
            </w:pPr>
            <w:r>
              <w:rPr>
                <w:rFonts w:ascii="宋体" w:hAnsi="宋体"/>
                <w:color w:val="000000"/>
                <w:kern w:val="0"/>
                <w:szCs w:val="21"/>
              </w:rPr>
              <w:t>1</w:t>
            </w:r>
          </w:p>
        </w:tc>
        <w:tc>
          <w:tcPr>
            <w:tcW w:w="1843" w:type="dxa"/>
            <w:vAlign w:val="center"/>
          </w:tcPr>
          <w:p w:rsidR="00FB0947" w:rsidRDefault="00DB39E5">
            <w:pPr>
              <w:jc w:val="center"/>
            </w:pPr>
            <w:r>
              <w:rPr>
                <w:rFonts w:ascii="宋体" w:hAnsi="宋体"/>
                <w:color w:val="000000"/>
                <w:kern w:val="0"/>
                <w:szCs w:val="21"/>
              </w:rPr>
              <w:t>2018/1/1-2018/12/31</w:t>
            </w:r>
          </w:p>
        </w:tc>
        <w:tc>
          <w:tcPr>
            <w:tcW w:w="851" w:type="dxa"/>
            <w:vAlign w:val="center"/>
          </w:tcPr>
          <w:p w:rsidR="00FB0947" w:rsidRDefault="00DB39E5">
            <w:pPr>
              <w:jc w:val="center"/>
            </w:pPr>
            <w:r>
              <w:rPr>
                <w:rFonts w:ascii="宋体" w:hAnsi="宋体"/>
                <w:color w:val="000000"/>
                <w:kern w:val="0"/>
                <w:szCs w:val="21"/>
              </w:rPr>
              <w:t>1,334,761,675.03</w:t>
            </w:r>
          </w:p>
        </w:tc>
        <w:tc>
          <w:tcPr>
            <w:tcW w:w="850" w:type="dxa"/>
            <w:vAlign w:val="center"/>
          </w:tcPr>
          <w:p w:rsidR="00FB0947" w:rsidRDefault="00DB39E5">
            <w:pPr>
              <w:jc w:val="center"/>
            </w:pPr>
            <w:r>
              <w:rPr>
                <w:rFonts w:ascii="宋体" w:hAnsi="宋体"/>
                <w:color w:val="000000"/>
                <w:kern w:val="0"/>
                <w:szCs w:val="21"/>
              </w:rPr>
              <w:t>-</w:t>
            </w:r>
          </w:p>
        </w:tc>
        <w:tc>
          <w:tcPr>
            <w:tcW w:w="1134" w:type="dxa"/>
            <w:vAlign w:val="center"/>
          </w:tcPr>
          <w:p w:rsidR="00FB0947" w:rsidRDefault="00DB39E5">
            <w:pPr>
              <w:jc w:val="center"/>
            </w:pPr>
            <w:r>
              <w:rPr>
                <w:rFonts w:ascii="宋体" w:hAnsi="宋体"/>
                <w:color w:val="000000"/>
                <w:kern w:val="0"/>
                <w:szCs w:val="21"/>
              </w:rPr>
              <w:t>1,334,761,675.03</w:t>
            </w:r>
          </w:p>
        </w:tc>
        <w:tc>
          <w:tcPr>
            <w:tcW w:w="1419" w:type="dxa"/>
            <w:vAlign w:val="center"/>
          </w:tcPr>
          <w:p w:rsidR="00FB0947" w:rsidRDefault="00DB39E5">
            <w:pPr>
              <w:jc w:val="center"/>
            </w:pPr>
            <w:r>
              <w:rPr>
                <w:rFonts w:ascii="宋体" w:hAnsi="宋体"/>
                <w:color w:val="000000"/>
                <w:kern w:val="0"/>
                <w:szCs w:val="21"/>
              </w:rPr>
              <w:t>-</w:t>
            </w:r>
          </w:p>
        </w:tc>
        <w:tc>
          <w:tcPr>
            <w:tcW w:w="1130" w:type="dxa"/>
            <w:vAlign w:val="center"/>
          </w:tcPr>
          <w:p w:rsidR="00FB0947" w:rsidRDefault="00DB39E5">
            <w:pPr>
              <w:jc w:val="center"/>
            </w:pPr>
            <w:r>
              <w:rPr>
                <w:rFonts w:ascii="宋体" w:hAnsi="宋体"/>
                <w:color w:val="000000"/>
                <w:kern w:val="0"/>
                <w:szCs w:val="21"/>
              </w:rPr>
              <w:t>-</w:t>
            </w:r>
          </w:p>
        </w:tc>
      </w:tr>
      <w:tr w:rsidR="00A25C9D" w:rsidRPr="004F0662" w:rsidTr="00DB39E5">
        <w:tc>
          <w:tcPr>
            <w:tcW w:w="9212" w:type="dxa"/>
            <w:gridSpan w:val="8"/>
            <w:vAlign w:val="center"/>
          </w:tcPr>
          <w:p w:rsidR="00A25C9D" w:rsidRPr="004F0662" w:rsidRDefault="00A25C9D" w:rsidP="00DB39E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DB39E5">
        <w:tc>
          <w:tcPr>
            <w:tcW w:w="9212" w:type="dxa"/>
            <w:gridSpan w:val="8"/>
            <w:vAlign w:val="center"/>
          </w:tcPr>
          <w:p w:rsidR="00A25C9D" w:rsidRPr="004F0662" w:rsidRDefault="00A25C9D" w:rsidP="00DB39E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FB0947" w:rsidRDefault="00DB39E5">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w:t>
      </w:r>
      <w:r>
        <w:rPr>
          <w:rFonts w:ascii="宋体" w:hAnsi="宋体"/>
          <w:color w:val="000000"/>
          <w:szCs w:val="21"/>
        </w:rPr>
        <w:lastRenderedPageBreak/>
        <w:t>运营过程中产生的应税收入，计提及缴纳增值税及附加税费，该部分税费由基金资产承担。详情请见有关公告。</w:t>
      </w:r>
    </w:p>
    <w:p w:rsidR="00A25C9D" w:rsidRPr="004F0662" w:rsidRDefault="00A25C9D" w:rsidP="00A25C9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二〇一九年三月二十七日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9E5" w:rsidRDefault="00DB39E5">
      <w:r>
        <w:separator/>
      </w:r>
    </w:p>
  </w:endnote>
  <w:endnote w:type="continuationSeparator" w:id="0">
    <w:p w:rsidR="00DB39E5" w:rsidRDefault="00DB3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E5" w:rsidRDefault="00DB39E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E5" w:rsidRDefault="00DB39E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E5" w:rsidRDefault="00DB39E5">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E5" w:rsidRDefault="00DB39E5"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B39E5" w:rsidRDefault="00DB39E5"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E5" w:rsidRDefault="00DB39E5"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F1FAA">
      <w:rPr>
        <w:noProof/>
        <w:kern w:val="0"/>
        <w:szCs w:val="21"/>
      </w:rPr>
      <w:t>32</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9F1FAA">
      <w:rPr>
        <w:noProof/>
        <w:kern w:val="0"/>
        <w:szCs w:val="21"/>
      </w:rPr>
      <w:t>32</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9E5" w:rsidRDefault="00DB39E5">
      <w:r>
        <w:separator/>
      </w:r>
    </w:p>
  </w:footnote>
  <w:footnote w:type="continuationSeparator" w:id="0">
    <w:p w:rsidR="00DB39E5" w:rsidRDefault="00DB3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E5" w:rsidRDefault="00DB39E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E5" w:rsidRPr="00FB2916" w:rsidRDefault="00DB39E5" w:rsidP="00C2542B">
    <w:pPr>
      <w:pStyle w:val="aa"/>
      <w:pBdr>
        <w:bottom w:val="single" w:sz="6" w:space="0" w:color="auto"/>
      </w:pBdr>
      <w:jc w:val="right"/>
      <w:rPr>
        <w:sz w:val="24"/>
        <w:szCs w:val="24"/>
      </w:rPr>
    </w:pPr>
    <w:r w:rsidRPr="00FB2916">
      <w:rPr>
        <w:sz w:val="24"/>
        <w:szCs w:val="24"/>
      </w:rPr>
      <w:t>交银施罗德双轮动债券型证券投资基金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39E5" w:rsidRDefault="00DB39E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3F3"/>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1FAA"/>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86D"/>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39E5"/>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947"/>
    <w:rsid w:val="00FB0B38"/>
    <w:rsid w:val="00FB0D68"/>
    <w:rsid w:val="00FB232C"/>
    <w:rsid w:val="00FB2916"/>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1D04583B-CB10-48DC-870B-B99753FF8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418</TotalTime>
  <Pages>32</Pages>
  <Words>3686</Words>
  <Characters>21012</Characters>
  <Application>Microsoft Office Word</Application>
  <DocSecurity>0</DocSecurity>
  <Lines>175</Lines>
  <Paragraphs>49</Paragraphs>
  <ScaleCrop>false</ScaleCrop>
  <Company/>
  <LinksUpToDate>false</LinksUpToDate>
  <CharactersWithSpaces>24649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曹国良</cp:lastModifiedBy>
  <cp:revision>626</cp:revision>
  <cp:lastPrinted>2007-07-19T00:46:00Z</cp:lastPrinted>
  <dcterms:created xsi:type="dcterms:W3CDTF">2013-08-19T02:39:00Z</dcterms:created>
  <dcterms:modified xsi:type="dcterms:W3CDTF">2019-03-25T03:19:00Z</dcterms:modified>
</cp:coreProperties>
</file>