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交银施罗德荣鑫保本混合型证券投资基金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中国民生银行股份有限公司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6A771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346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346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E2586" w:rsidRDefault="00CC3F7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E2586" w:rsidRDefault="00CC3F76">
      <w:pPr>
        <w:spacing w:before="29" w:line="288" w:lineRule="auto"/>
        <w:ind w:firstLineChars="200" w:firstLine="480"/>
        <w:rPr>
          <w:color w:val="000000"/>
          <w:sz w:val="24"/>
        </w:rPr>
      </w:pPr>
      <w:r>
        <w:rPr>
          <w:color w:val="000000"/>
          <w:sz w:val="24"/>
        </w:rPr>
        <w:t>基金托管人中国民生银行股份有限公司根据本基金合同规定，于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E2586" w:rsidRDefault="00CC3F7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E2586" w:rsidRDefault="00CC3F7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190DA1">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4153466"/>
      <w:r w:rsidR="00352EBB" w:rsidRPr="00190DA1">
        <w:rPr>
          <w:rFonts w:ascii="Times New Roman" w:hAnsi="Times New Roman"/>
          <w:kern w:val="0"/>
          <w:szCs w:val="24"/>
        </w:rPr>
        <w:lastRenderedPageBreak/>
        <w:t>1.2</w:t>
      </w:r>
      <w:r w:rsidR="00352EBB" w:rsidRPr="00190DA1">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FA30D0" w:rsidRDefault="00E8694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3464" w:history="1">
        <w:r w:rsidR="00FA30D0" w:rsidRPr="0039148A">
          <w:rPr>
            <w:rStyle w:val="a9"/>
            <w:b/>
            <w:bCs/>
            <w:noProof/>
          </w:rPr>
          <w:t xml:space="preserve">§1  </w:t>
        </w:r>
        <w:r w:rsidR="00FA30D0" w:rsidRPr="0039148A">
          <w:rPr>
            <w:rStyle w:val="a9"/>
            <w:rFonts w:hint="eastAsia"/>
            <w:b/>
            <w:bCs/>
            <w:noProof/>
          </w:rPr>
          <w:t>重要提示及目录</w:t>
        </w:r>
        <w:r w:rsidR="00FA30D0">
          <w:rPr>
            <w:noProof/>
            <w:webHidden/>
          </w:rPr>
          <w:tab/>
        </w:r>
        <w:r w:rsidR="00FA30D0">
          <w:rPr>
            <w:noProof/>
            <w:webHidden/>
          </w:rPr>
          <w:fldChar w:fldCharType="begin"/>
        </w:r>
        <w:r w:rsidR="00FA30D0">
          <w:rPr>
            <w:noProof/>
            <w:webHidden/>
          </w:rPr>
          <w:instrText xml:space="preserve"> PAGEREF _Toc4153464 \h </w:instrText>
        </w:r>
        <w:r w:rsidR="00FA30D0">
          <w:rPr>
            <w:noProof/>
            <w:webHidden/>
          </w:rPr>
        </w:r>
        <w:r w:rsidR="00FA30D0">
          <w:rPr>
            <w:noProof/>
            <w:webHidden/>
          </w:rPr>
          <w:fldChar w:fldCharType="separate"/>
        </w:r>
        <w:r w:rsidR="00FA30D0">
          <w:rPr>
            <w:noProof/>
            <w:webHidden/>
          </w:rPr>
          <w:t>2</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65" w:history="1">
        <w:r w:rsidR="00FA30D0" w:rsidRPr="0039148A">
          <w:rPr>
            <w:rStyle w:val="a9"/>
            <w:noProof/>
          </w:rPr>
          <w:t xml:space="preserve">1.1 </w:t>
        </w:r>
        <w:r w:rsidR="00FA30D0" w:rsidRPr="0039148A">
          <w:rPr>
            <w:rStyle w:val="a9"/>
            <w:rFonts w:hint="eastAsia"/>
            <w:noProof/>
          </w:rPr>
          <w:t>重要提示</w:t>
        </w:r>
        <w:r w:rsidR="00FA30D0">
          <w:rPr>
            <w:noProof/>
            <w:webHidden/>
          </w:rPr>
          <w:tab/>
        </w:r>
        <w:r w:rsidR="00FA30D0">
          <w:rPr>
            <w:noProof/>
            <w:webHidden/>
          </w:rPr>
          <w:fldChar w:fldCharType="begin"/>
        </w:r>
        <w:r w:rsidR="00FA30D0">
          <w:rPr>
            <w:noProof/>
            <w:webHidden/>
          </w:rPr>
          <w:instrText xml:space="preserve"> PAGEREF _Toc4153465 \h </w:instrText>
        </w:r>
        <w:r w:rsidR="00FA30D0">
          <w:rPr>
            <w:noProof/>
            <w:webHidden/>
          </w:rPr>
        </w:r>
        <w:r w:rsidR="00FA30D0">
          <w:rPr>
            <w:noProof/>
            <w:webHidden/>
          </w:rPr>
          <w:fldChar w:fldCharType="separate"/>
        </w:r>
        <w:r w:rsidR="00FA30D0">
          <w:rPr>
            <w:noProof/>
            <w:webHidden/>
          </w:rPr>
          <w:t>2</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66" w:history="1">
        <w:r w:rsidR="00FA30D0" w:rsidRPr="0039148A">
          <w:rPr>
            <w:rStyle w:val="a9"/>
            <w:noProof/>
          </w:rPr>
          <w:t>1.2</w:t>
        </w:r>
        <w:r w:rsidR="00FA30D0" w:rsidRPr="0039148A">
          <w:rPr>
            <w:rStyle w:val="a9"/>
            <w:rFonts w:hint="eastAsia"/>
            <w:noProof/>
          </w:rPr>
          <w:t>目录</w:t>
        </w:r>
        <w:r w:rsidR="00FA30D0">
          <w:rPr>
            <w:noProof/>
            <w:webHidden/>
          </w:rPr>
          <w:tab/>
        </w:r>
        <w:r w:rsidR="00FA30D0">
          <w:rPr>
            <w:noProof/>
            <w:webHidden/>
          </w:rPr>
          <w:fldChar w:fldCharType="begin"/>
        </w:r>
        <w:r w:rsidR="00FA30D0">
          <w:rPr>
            <w:noProof/>
            <w:webHidden/>
          </w:rPr>
          <w:instrText xml:space="preserve"> PAGEREF _Toc4153466 \h </w:instrText>
        </w:r>
        <w:r w:rsidR="00FA30D0">
          <w:rPr>
            <w:noProof/>
            <w:webHidden/>
          </w:rPr>
        </w:r>
        <w:r w:rsidR="00FA30D0">
          <w:rPr>
            <w:noProof/>
            <w:webHidden/>
          </w:rPr>
          <w:fldChar w:fldCharType="separate"/>
        </w:r>
        <w:r w:rsidR="00FA30D0">
          <w:rPr>
            <w:noProof/>
            <w:webHidden/>
          </w:rPr>
          <w:t>3</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467" w:history="1">
        <w:r w:rsidR="00FA30D0" w:rsidRPr="0039148A">
          <w:rPr>
            <w:rStyle w:val="a9"/>
            <w:b/>
            <w:bCs/>
            <w:noProof/>
          </w:rPr>
          <w:t xml:space="preserve">§2  </w:t>
        </w:r>
        <w:r w:rsidR="00FA30D0" w:rsidRPr="0039148A">
          <w:rPr>
            <w:rStyle w:val="a9"/>
            <w:rFonts w:hint="eastAsia"/>
            <w:b/>
            <w:bCs/>
            <w:noProof/>
          </w:rPr>
          <w:t>基金简介</w:t>
        </w:r>
        <w:r w:rsidR="00FA30D0">
          <w:rPr>
            <w:noProof/>
            <w:webHidden/>
          </w:rPr>
          <w:tab/>
        </w:r>
        <w:r w:rsidR="00FA30D0">
          <w:rPr>
            <w:noProof/>
            <w:webHidden/>
          </w:rPr>
          <w:fldChar w:fldCharType="begin"/>
        </w:r>
        <w:r w:rsidR="00FA30D0">
          <w:rPr>
            <w:noProof/>
            <w:webHidden/>
          </w:rPr>
          <w:instrText xml:space="preserve"> PAGEREF _Toc4153467 \h </w:instrText>
        </w:r>
        <w:r w:rsidR="00FA30D0">
          <w:rPr>
            <w:noProof/>
            <w:webHidden/>
          </w:rPr>
        </w:r>
        <w:r w:rsidR="00FA30D0">
          <w:rPr>
            <w:noProof/>
            <w:webHidden/>
          </w:rPr>
          <w:fldChar w:fldCharType="separate"/>
        </w:r>
        <w:r w:rsidR="00FA30D0">
          <w:rPr>
            <w:noProof/>
            <w:webHidden/>
          </w:rPr>
          <w:t>7</w:t>
        </w:r>
        <w:r w:rsidR="00FA30D0">
          <w:rPr>
            <w:noProof/>
            <w:webHidden/>
          </w:rPr>
          <w:fldChar w:fldCharType="end"/>
        </w:r>
      </w:hyperlink>
    </w:p>
    <w:p w:rsidR="00FA30D0" w:rsidRDefault="00786873">
      <w:pPr>
        <w:pStyle w:val="22"/>
        <w:tabs>
          <w:tab w:val="left" w:pos="1260"/>
        </w:tabs>
        <w:rPr>
          <w:rFonts w:asciiTheme="minorHAnsi" w:eastAsiaTheme="minorEastAsia" w:hAnsiTheme="minorHAnsi" w:cstheme="minorBidi"/>
          <w:noProof/>
          <w:kern w:val="2"/>
          <w:szCs w:val="22"/>
        </w:rPr>
      </w:pPr>
      <w:hyperlink w:anchor="_Toc4153468" w:history="1">
        <w:r w:rsidR="00FA30D0" w:rsidRPr="0039148A">
          <w:rPr>
            <w:rStyle w:val="a9"/>
            <w:noProof/>
          </w:rPr>
          <w:t>2.1</w:t>
        </w:r>
        <w:r w:rsidR="00FA30D0">
          <w:rPr>
            <w:rFonts w:asciiTheme="minorHAnsi" w:eastAsiaTheme="minorEastAsia" w:hAnsiTheme="minorHAnsi" w:cstheme="minorBidi"/>
            <w:noProof/>
            <w:kern w:val="2"/>
            <w:szCs w:val="22"/>
          </w:rPr>
          <w:t xml:space="preserve"> </w:t>
        </w:r>
        <w:r w:rsidR="00FA30D0" w:rsidRPr="0039148A">
          <w:rPr>
            <w:rStyle w:val="a9"/>
            <w:rFonts w:hint="eastAsia"/>
            <w:noProof/>
          </w:rPr>
          <w:t>基金基本情况</w:t>
        </w:r>
        <w:r w:rsidR="00FA30D0">
          <w:rPr>
            <w:noProof/>
            <w:webHidden/>
          </w:rPr>
          <w:tab/>
        </w:r>
        <w:r w:rsidR="00FA30D0">
          <w:rPr>
            <w:noProof/>
            <w:webHidden/>
          </w:rPr>
          <w:fldChar w:fldCharType="begin"/>
        </w:r>
        <w:r w:rsidR="00FA30D0">
          <w:rPr>
            <w:noProof/>
            <w:webHidden/>
          </w:rPr>
          <w:instrText xml:space="preserve"> PAGEREF _Toc4153468 \h </w:instrText>
        </w:r>
        <w:r w:rsidR="00FA30D0">
          <w:rPr>
            <w:noProof/>
            <w:webHidden/>
          </w:rPr>
        </w:r>
        <w:r w:rsidR="00FA30D0">
          <w:rPr>
            <w:noProof/>
            <w:webHidden/>
          </w:rPr>
          <w:fldChar w:fldCharType="separate"/>
        </w:r>
        <w:r w:rsidR="00FA30D0">
          <w:rPr>
            <w:noProof/>
            <w:webHidden/>
          </w:rPr>
          <w:t>7</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69" w:history="1">
        <w:r w:rsidR="00FA30D0" w:rsidRPr="0039148A">
          <w:rPr>
            <w:rStyle w:val="a9"/>
            <w:noProof/>
          </w:rPr>
          <w:t xml:space="preserve">2.2 </w:t>
        </w:r>
        <w:r w:rsidR="00FA30D0" w:rsidRPr="0039148A">
          <w:rPr>
            <w:rStyle w:val="a9"/>
            <w:rFonts w:hint="eastAsia"/>
            <w:noProof/>
          </w:rPr>
          <w:t>基金产品说明</w:t>
        </w:r>
        <w:r w:rsidR="00FA30D0">
          <w:rPr>
            <w:noProof/>
            <w:webHidden/>
          </w:rPr>
          <w:tab/>
        </w:r>
        <w:r w:rsidR="00FA30D0">
          <w:rPr>
            <w:noProof/>
            <w:webHidden/>
          </w:rPr>
          <w:fldChar w:fldCharType="begin"/>
        </w:r>
        <w:r w:rsidR="00FA30D0">
          <w:rPr>
            <w:noProof/>
            <w:webHidden/>
          </w:rPr>
          <w:instrText xml:space="preserve"> PAGEREF _Toc4153469 \h </w:instrText>
        </w:r>
        <w:r w:rsidR="00FA30D0">
          <w:rPr>
            <w:noProof/>
            <w:webHidden/>
          </w:rPr>
        </w:r>
        <w:r w:rsidR="00FA30D0">
          <w:rPr>
            <w:noProof/>
            <w:webHidden/>
          </w:rPr>
          <w:fldChar w:fldCharType="separate"/>
        </w:r>
        <w:r w:rsidR="00FA30D0">
          <w:rPr>
            <w:noProof/>
            <w:webHidden/>
          </w:rPr>
          <w:t>7</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70" w:history="1">
        <w:r w:rsidR="00FA30D0" w:rsidRPr="0039148A">
          <w:rPr>
            <w:rStyle w:val="a9"/>
            <w:noProof/>
          </w:rPr>
          <w:t xml:space="preserve">2.3 </w:t>
        </w:r>
        <w:r w:rsidR="00FA30D0" w:rsidRPr="0039148A">
          <w:rPr>
            <w:rStyle w:val="a9"/>
            <w:rFonts w:hint="eastAsia"/>
            <w:noProof/>
          </w:rPr>
          <w:t>基金管理人和基金托管人</w:t>
        </w:r>
        <w:r w:rsidR="00FA30D0">
          <w:rPr>
            <w:noProof/>
            <w:webHidden/>
          </w:rPr>
          <w:tab/>
        </w:r>
        <w:r w:rsidR="00FA30D0">
          <w:rPr>
            <w:noProof/>
            <w:webHidden/>
          </w:rPr>
          <w:fldChar w:fldCharType="begin"/>
        </w:r>
        <w:r w:rsidR="00FA30D0">
          <w:rPr>
            <w:noProof/>
            <w:webHidden/>
          </w:rPr>
          <w:instrText xml:space="preserve"> PAGEREF _Toc4153470 \h </w:instrText>
        </w:r>
        <w:r w:rsidR="00FA30D0">
          <w:rPr>
            <w:noProof/>
            <w:webHidden/>
          </w:rPr>
        </w:r>
        <w:r w:rsidR="00FA30D0">
          <w:rPr>
            <w:noProof/>
            <w:webHidden/>
          </w:rPr>
          <w:fldChar w:fldCharType="separate"/>
        </w:r>
        <w:r w:rsidR="00FA30D0">
          <w:rPr>
            <w:noProof/>
            <w:webHidden/>
          </w:rPr>
          <w:t>7</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71" w:history="1">
        <w:r w:rsidR="00FA30D0" w:rsidRPr="0039148A">
          <w:rPr>
            <w:rStyle w:val="a9"/>
            <w:noProof/>
          </w:rPr>
          <w:t xml:space="preserve">2.4 </w:t>
        </w:r>
        <w:r w:rsidR="00FA30D0" w:rsidRPr="0039148A">
          <w:rPr>
            <w:rStyle w:val="a9"/>
            <w:rFonts w:hint="eastAsia"/>
            <w:noProof/>
          </w:rPr>
          <w:t>信息披露方式</w:t>
        </w:r>
        <w:r w:rsidR="00FA30D0">
          <w:rPr>
            <w:noProof/>
            <w:webHidden/>
          </w:rPr>
          <w:tab/>
        </w:r>
        <w:r w:rsidR="00FA30D0">
          <w:rPr>
            <w:noProof/>
            <w:webHidden/>
          </w:rPr>
          <w:fldChar w:fldCharType="begin"/>
        </w:r>
        <w:r w:rsidR="00FA30D0">
          <w:rPr>
            <w:noProof/>
            <w:webHidden/>
          </w:rPr>
          <w:instrText xml:space="preserve"> PAGEREF _Toc4153471 \h </w:instrText>
        </w:r>
        <w:r w:rsidR="00FA30D0">
          <w:rPr>
            <w:noProof/>
            <w:webHidden/>
          </w:rPr>
        </w:r>
        <w:r w:rsidR="00FA30D0">
          <w:rPr>
            <w:noProof/>
            <w:webHidden/>
          </w:rPr>
          <w:fldChar w:fldCharType="separate"/>
        </w:r>
        <w:r w:rsidR="00FA30D0">
          <w:rPr>
            <w:noProof/>
            <w:webHidden/>
          </w:rPr>
          <w:t>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72" w:history="1">
        <w:r w:rsidR="00FA30D0" w:rsidRPr="0039148A">
          <w:rPr>
            <w:rStyle w:val="a9"/>
            <w:noProof/>
          </w:rPr>
          <w:t xml:space="preserve">2.5 </w:t>
        </w:r>
        <w:r w:rsidR="00FA30D0" w:rsidRPr="0039148A">
          <w:rPr>
            <w:rStyle w:val="a9"/>
            <w:rFonts w:hint="eastAsia"/>
            <w:noProof/>
          </w:rPr>
          <w:t>其他相关资料</w:t>
        </w:r>
        <w:r w:rsidR="00FA30D0">
          <w:rPr>
            <w:noProof/>
            <w:webHidden/>
          </w:rPr>
          <w:tab/>
        </w:r>
        <w:r w:rsidR="00FA30D0">
          <w:rPr>
            <w:noProof/>
            <w:webHidden/>
          </w:rPr>
          <w:fldChar w:fldCharType="begin"/>
        </w:r>
        <w:r w:rsidR="00FA30D0">
          <w:rPr>
            <w:noProof/>
            <w:webHidden/>
          </w:rPr>
          <w:instrText xml:space="preserve"> PAGEREF _Toc4153472 \h </w:instrText>
        </w:r>
        <w:r w:rsidR="00FA30D0">
          <w:rPr>
            <w:noProof/>
            <w:webHidden/>
          </w:rPr>
        </w:r>
        <w:r w:rsidR="00FA30D0">
          <w:rPr>
            <w:noProof/>
            <w:webHidden/>
          </w:rPr>
          <w:fldChar w:fldCharType="separate"/>
        </w:r>
        <w:r w:rsidR="00FA30D0">
          <w:rPr>
            <w:noProof/>
            <w:webHidden/>
          </w:rPr>
          <w:t>8</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473" w:history="1">
        <w:r w:rsidR="00FA30D0" w:rsidRPr="0039148A">
          <w:rPr>
            <w:rStyle w:val="a9"/>
            <w:b/>
            <w:bCs/>
            <w:noProof/>
          </w:rPr>
          <w:t xml:space="preserve">§3 </w:t>
        </w:r>
        <w:r w:rsidR="00FA30D0" w:rsidRPr="0039148A">
          <w:rPr>
            <w:rStyle w:val="a9"/>
            <w:rFonts w:hint="eastAsia"/>
            <w:b/>
            <w:bCs/>
            <w:noProof/>
          </w:rPr>
          <w:t>主要财务指标、基金净值表现及利润分配情况</w:t>
        </w:r>
        <w:r w:rsidR="00FA30D0">
          <w:rPr>
            <w:noProof/>
            <w:webHidden/>
          </w:rPr>
          <w:tab/>
        </w:r>
        <w:r w:rsidR="00FA30D0">
          <w:rPr>
            <w:noProof/>
            <w:webHidden/>
          </w:rPr>
          <w:fldChar w:fldCharType="begin"/>
        </w:r>
        <w:r w:rsidR="00FA30D0">
          <w:rPr>
            <w:noProof/>
            <w:webHidden/>
          </w:rPr>
          <w:instrText xml:space="preserve"> PAGEREF _Toc4153473 \h </w:instrText>
        </w:r>
        <w:r w:rsidR="00FA30D0">
          <w:rPr>
            <w:noProof/>
            <w:webHidden/>
          </w:rPr>
        </w:r>
        <w:r w:rsidR="00FA30D0">
          <w:rPr>
            <w:noProof/>
            <w:webHidden/>
          </w:rPr>
          <w:fldChar w:fldCharType="separate"/>
        </w:r>
        <w:r w:rsidR="00FA30D0">
          <w:rPr>
            <w:noProof/>
            <w:webHidden/>
          </w:rPr>
          <w:t>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74" w:history="1">
        <w:r w:rsidR="00FA30D0" w:rsidRPr="0039148A">
          <w:rPr>
            <w:rStyle w:val="a9"/>
            <w:noProof/>
          </w:rPr>
          <w:t xml:space="preserve">3.1 </w:t>
        </w:r>
        <w:r w:rsidR="00FA30D0" w:rsidRPr="0039148A">
          <w:rPr>
            <w:rStyle w:val="a9"/>
            <w:rFonts w:hint="eastAsia"/>
            <w:noProof/>
          </w:rPr>
          <w:t>主要会计数据和财务指标</w:t>
        </w:r>
        <w:r w:rsidR="00FA30D0">
          <w:rPr>
            <w:noProof/>
            <w:webHidden/>
          </w:rPr>
          <w:tab/>
        </w:r>
        <w:r w:rsidR="00FA30D0">
          <w:rPr>
            <w:noProof/>
            <w:webHidden/>
          </w:rPr>
          <w:fldChar w:fldCharType="begin"/>
        </w:r>
        <w:r w:rsidR="00FA30D0">
          <w:rPr>
            <w:noProof/>
            <w:webHidden/>
          </w:rPr>
          <w:instrText xml:space="preserve"> PAGEREF _Toc4153474 \h </w:instrText>
        </w:r>
        <w:r w:rsidR="00FA30D0">
          <w:rPr>
            <w:noProof/>
            <w:webHidden/>
          </w:rPr>
        </w:r>
        <w:r w:rsidR="00FA30D0">
          <w:rPr>
            <w:noProof/>
            <w:webHidden/>
          </w:rPr>
          <w:fldChar w:fldCharType="separate"/>
        </w:r>
        <w:r w:rsidR="00FA30D0">
          <w:rPr>
            <w:noProof/>
            <w:webHidden/>
          </w:rPr>
          <w:t>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75" w:history="1">
        <w:r w:rsidR="00FA30D0" w:rsidRPr="0039148A">
          <w:rPr>
            <w:rStyle w:val="a9"/>
            <w:noProof/>
          </w:rPr>
          <w:t xml:space="preserve">3.2 </w:t>
        </w:r>
        <w:r w:rsidR="00FA30D0" w:rsidRPr="0039148A">
          <w:rPr>
            <w:rStyle w:val="a9"/>
            <w:rFonts w:hint="eastAsia"/>
            <w:noProof/>
          </w:rPr>
          <w:t>基金净值表现</w:t>
        </w:r>
        <w:r w:rsidR="00FA30D0">
          <w:rPr>
            <w:noProof/>
            <w:webHidden/>
          </w:rPr>
          <w:tab/>
        </w:r>
        <w:r w:rsidR="00FA30D0">
          <w:rPr>
            <w:noProof/>
            <w:webHidden/>
          </w:rPr>
          <w:fldChar w:fldCharType="begin"/>
        </w:r>
        <w:r w:rsidR="00FA30D0">
          <w:rPr>
            <w:noProof/>
            <w:webHidden/>
          </w:rPr>
          <w:instrText xml:space="preserve"> PAGEREF _Toc4153475 \h </w:instrText>
        </w:r>
        <w:r w:rsidR="00FA30D0">
          <w:rPr>
            <w:noProof/>
            <w:webHidden/>
          </w:rPr>
        </w:r>
        <w:r w:rsidR="00FA30D0">
          <w:rPr>
            <w:noProof/>
            <w:webHidden/>
          </w:rPr>
          <w:fldChar w:fldCharType="separate"/>
        </w:r>
        <w:r w:rsidR="00FA30D0">
          <w:rPr>
            <w:noProof/>
            <w:webHidden/>
          </w:rPr>
          <w:t>9</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77" w:history="1">
        <w:r w:rsidR="00FA30D0" w:rsidRPr="0039148A">
          <w:rPr>
            <w:rStyle w:val="a9"/>
            <w:noProof/>
          </w:rPr>
          <w:t>3.3</w:t>
        </w:r>
        <w:r w:rsidR="00FA30D0" w:rsidRPr="0039148A">
          <w:rPr>
            <w:rStyle w:val="a9"/>
            <w:rFonts w:hint="eastAsia"/>
            <w:noProof/>
          </w:rPr>
          <w:t>过去三年基金的利润分配情况</w:t>
        </w:r>
        <w:r w:rsidR="00FA30D0">
          <w:rPr>
            <w:noProof/>
            <w:webHidden/>
          </w:rPr>
          <w:tab/>
        </w:r>
        <w:r w:rsidR="00FA30D0">
          <w:rPr>
            <w:noProof/>
            <w:webHidden/>
          </w:rPr>
          <w:fldChar w:fldCharType="begin"/>
        </w:r>
        <w:r w:rsidR="00FA30D0">
          <w:rPr>
            <w:noProof/>
            <w:webHidden/>
          </w:rPr>
          <w:instrText xml:space="preserve"> PAGEREF _Toc4153477 \h </w:instrText>
        </w:r>
        <w:r w:rsidR="00FA30D0">
          <w:rPr>
            <w:noProof/>
            <w:webHidden/>
          </w:rPr>
        </w:r>
        <w:r w:rsidR="00FA30D0">
          <w:rPr>
            <w:noProof/>
            <w:webHidden/>
          </w:rPr>
          <w:fldChar w:fldCharType="separate"/>
        </w:r>
        <w:r w:rsidR="00FA30D0">
          <w:rPr>
            <w:noProof/>
            <w:webHidden/>
          </w:rPr>
          <w:t>11</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478" w:history="1">
        <w:r w:rsidR="00FA30D0" w:rsidRPr="0039148A">
          <w:rPr>
            <w:rStyle w:val="a9"/>
            <w:b/>
            <w:bCs/>
            <w:noProof/>
          </w:rPr>
          <w:t xml:space="preserve">§4  </w:t>
        </w:r>
        <w:r w:rsidR="00FA30D0" w:rsidRPr="0039148A">
          <w:rPr>
            <w:rStyle w:val="a9"/>
            <w:rFonts w:hint="eastAsia"/>
            <w:b/>
            <w:bCs/>
            <w:noProof/>
          </w:rPr>
          <w:t>管理人报告</w:t>
        </w:r>
        <w:r w:rsidR="00FA30D0">
          <w:rPr>
            <w:noProof/>
            <w:webHidden/>
          </w:rPr>
          <w:tab/>
        </w:r>
        <w:r w:rsidR="00FA30D0">
          <w:rPr>
            <w:noProof/>
            <w:webHidden/>
          </w:rPr>
          <w:fldChar w:fldCharType="begin"/>
        </w:r>
        <w:r w:rsidR="00FA30D0">
          <w:rPr>
            <w:noProof/>
            <w:webHidden/>
          </w:rPr>
          <w:instrText xml:space="preserve"> PAGEREF _Toc4153478 \h </w:instrText>
        </w:r>
        <w:r w:rsidR="00FA30D0">
          <w:rPr>
            <w:noProof/>
            <w:webHidden/>
          </w:rPr>
        </w:r>
        <w:r w:rsidR="00FA30D0">
          <w:rPr>
            <w:noProof/>
            <w:webHidden/>
          </w:rPr>
          <w:fldChar w:fldCharType="separate"/>
        </w:r>
        <w:r w:rsidR="00FA30D0">
          <w:rPr>
            <w:noProof/>
            <w:webHidden/>
          </w:rPr>
          <w:t>11</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79" w:history="1">
        <w:r w:rsidR="00FA30D0" w:rsidRPr="0039148A">
          <w:rPr>
            <w:rStyle w:val="a9"/>
            <w:noProof/>
          </w:rPr>
          <w:t xml:space="preserve">4.1 </w:t>
        </w:r>
        <w:r w:rsidR="00FA30D0" w:rsidRPr="0039148A">
          <w:rPr>
            <w:rStyle w:val="a9"/>
            <w:rFonts w:hint="eastAsia"/>
            <w:noProof/>
          </w:rPr>
          <w:t>基金管理人及基金经理情况</w:t>
        </w:r>
        <w:r w:rsidR="00FA30D0">
          <w:rPr>
            <w:noProof/>
            <w:webHidden/>
          </w:rPr>
          <w:tab/>
        </w:r>
        <w:r w:rsidR="00FA30D0">
          <w:rPr>
            <w:noProof/>
            <w:webHidden/>
          </w:rPr>
          <w:fldChar w:fldCharType="begin"/>
        </w:r>
        <w:r w:rsidR="00FA30D0">
          <w:rPr>
            <w:noProof/>
            <w:webHidden/>
          </w:rPr>
          <w:instrText xml:space="preserve"> PAGEREF _Toc4153479 \h </w:instrText>
        </w:r>
        <w:r w:rsidR="00FA30D0">
          <w:rPr>
            <w:noProof/>
            <w:webHidden/>
          </w:rPr>
        </w:r>
        <w:r w:rsidR="00FA30D0">
          <w:rPr>
            <w:noProof/>
            <w:webHidden/>
          </w:rPr>
          <w:fldChar w:fldCharType="separate"/>
        </w:r>
        <w:r w:rsidR="00FA30D0">
          <w:rPr>
            <w:noProof/>
            <w:webHidden/>
          </w:rPr>
          <w:t>11</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82" w:history="1">
        <w:r w:rsidR="00FA30D0" w:rsidRPr="0039148A">
          <w:rPr>
            <w:rStyle w:val="a9"/>
            <w:noProof/>
          </w:rPr>
          <w:t xml:space="preserve">4.2 </w:t>
        </w:r>
        <w:r w:rsidR="00FA30D0" w:rsidRPr="0039148A">
          <w:rPr>
            <w:rStyle w:val="a9"/>
            <w:rFonts w:hint="eastAsia"/>
            <w:noProof/>
          </w:rPr>
          <w:t>管理人对报告期内本基金运作遵规守信情况的说明</w:t>
        </w:r>
        <w:r w:rsidR="00FA30D0">
          <w:rPr>
            <w:noProof/>
            <w:webHidden/>
          </w:rPr>
          <w:tab/>
        </w:r>
        <w:r w:rsidR="00FA30D0">
          <w:rPr>
            <w:noProof/>
            <w:webHidden/>
          </w:rPr>
          <w:fldChar w:fldCharType="begin"/>
        </w:r>
        <w:r w:rsidR="00FA30D0">
          <w:rPr>
            <w:noProof/>
            <w:webHidden/>
          </w:rPr>
          <w:instrText xml:space="preserve"> PAGEREF _Toc4153482 \h </w:instrText>
        </w:r>
        <w:r w:rsidR="00FA30D0">
          <w:rPr>
            <w:noProof/>
            <w:webHidden/>
          </w:rPr>
        </w:r>
        <w:r w:rsidR="00FA30D0">
          <w:rPr>
            <w:noProof/>
            <w:webHidden/>
          </w:rPr>
          <w:fldChar w:fldCharType="separate"/>
        </w:r>
        <w:r w:rsidR="00FA30D0">
          <w:rPr>
            <w:noProof/>
            <w:webHidden/>
          </w:rPr>
          <w:t>14</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83" w:history="1">
        <w:r w:rsidR="00FA30D0" w:rsidRPr="0039148A">
          <w:rPr>
            <w:rStyle w:val="a9"/>
            <w:noProof/>
          </w:rPr>
          <w:t xml:space="preserve">4.3 </w:t>
        </w:r>
        <w:r w:rsidR="00FA30D0" w:rsidRPr="0039148A">
          <w:rPr>
            <w:rStyle w:val="a9"/>
            <w:rFonts w:hint="eastAsia"/>
            <w:noProof/>
          </w:rPr>
          <w:t>管理人对报告期内公平交易情况的专项说明</w:t>
        </w:r>
        <w:r w:rsidR="00FA30D0">
          <w:rPr>
            <w:noProof/>
            <w:webHidden/>
          </w:rPr>
          <w:tab/>
        </w:r>
        <w:r w:rsidR="00FA30D0">
          <w:rPr>
            <w:noProof/>
            <w:webHidden/>
          </w:rPr>
          <w:fldChar w:fldCharType="begin"/>
        </w:r>
        <w:r w:rsidR="00FA30D0">
          <w:rPr>
            <w:noProof/>
            <w:webHidden/>
          </w:rPr>
          <w:instrText xml:space="preserve"> PAGEREF _Toc4153483 \h </w:instrText>
        </w:r>
        <w:r w:rsidR="00FA30D0">
          <w:rPr>
            <w:noProof/>
            <w:webHidden/>
          </w:rPr>
        </w:r>
        <w:r w:rsidR="00FA30D0">
          <w:rPr>
            <w:noProof/>
            <w:webHidden/>
          </w:rPr>
          <w:fldChar w:fldCharType="separate"/>
        </w:r>
        <w:r w:rsidR="00FA30D0">
          <w:rPr>
            <w:noProof/>
            <w:webHidden/>
          </w:rPr>
          <w:t>14</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87" w:history="1">
        <w:r w:rsidR="00FA30D0" w:rsidRPr="0039148A">
          <w:rPr>
            <w:rStyle w:val="a9"/>
            <w:noProof/>
          </w:rPr>
          <w:t xml:space="preserve">4.4 </w:t>
        </w:r>
        <w:r w:rsidR="00FA30D0" w:rsidRPr="0039148A">
          <w:rPr>
            <w:rStyle w:val="a9"/>
            <w:rFonts w:hint="eastAsia"/>
            <w:noProof/>
          </w:rPr>
          <w:t>管理人对报告期内基金的投资策略和业绩表现的说明</w:t>
        </w:r>
        <w:r w:rsidR="00FA30D0">
          <w:rPr>
            <w:noProof/>
            <w:webHidden/>
          </w:rPr>
          <w:tab/>
        </w:r>
        <w:r w:rsidR="00FA30D0">
          <w:rPr>
            <w:noProof/>
            <w:webHidden/>
          </w:rPr>
          <w:fldChar w:fldCharType="begin"/>
        </w:r>
        <w:r w:rsidR="00FA30D0">
          <w:rPr>
            <w:noProof/>
            <w:webHidden/>
          </w:rPr>
          <w:instrText xml:space="preserve"> PAGEREF _Toc4153487 \h </w:instrText>
        </w:r>
        <w:r w:rsidR="00FA30D0">
          <w:rPr>
            <w:noProof/>
            <w:webHidden/>
          </w:rPr>
        </w:r>
        <w:r w:rsidR="00FA30D0">
          <w:rPr>
            <w:noProof/>
            <w:webHidden/>
          </w:rPr>
          <w:fldChar w:fldCharType="separate"/>
        </w:r>
        <w:r w:rsidR="00FA30D0">
          <w:rPr>
            <w:noProof/>
            <w:webHidden/>
          </w:rPr>
          <w:t>15</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90" w:history="1">
        <w:r w:rsidR="00FA30D0" w:rsidRPr="0039148A">
          <w:rPr>
            <w:rStyle w:val="a9"/>
            <w:noProof/>
          </w:rPr>
          <w:t xml:space="preserve">4.5 </w:t>
        </w:r>
        <w:r w:rsidR="00FA30D0" w:rsidRPr="0039148A">
          <w:rPr>
            <w:rStyle w:val="a9"/>
            <w:rFonts w:hint="eastAsia"/>
            <w:noProof/>
          </w:rPr>
          <w:t>管理人对宏观经济、证券市场及行业走势的简要展望</w:t>
        </w:r>
        <w:r w:rsidR="00FA30D0">
          <w:rPr>
            <w:noProof/>
            <w:webHidden/>
          </w:rPr>
          <w:tab/>
        </w:r>
        <w:r w:rsidR="00FA30D0">
          <w:rPr>
            <w:noProof/>
            <w:webHidden/>
          </w:rPr>
          <w:fldChar w:fldCharType="begin"/>
        </w:r>
        <w:r w:rsidR="00FA30D0">
          <w:rPr>
            <w:noProof/>
            <w:webHidden/>
          </w:rPr>
          <w:instrText xml:space="preserve"> PAGEREF _Toc4153490 \h </w:instrText>
        </w:r>
        <w:r w:rsidR="00FA30D0">
          <w:rPr>
            <w:noProof/>
            <w:webHidden/>
          </w:rPr>
        </w:r>
        <w:r w:rsidR="00FA30D0">
          <w:rPr>
            <w:noProof/>
            <w:webHidden/>
          </w:rPr>
          <w:fldChar w:fldCharType="separate"/>
        </w:r>
        <w:r w:rsidR="00FA30D0">
          <w:rPr>
            <w:noProof/>
            <w:webHidden/>
          </w:rPr>
          <w:t>16</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91" w:history="1">
        <w:r w:rsidR="00FA30D0" w:rsidRPr="0039148A">
          <w:rPr>
            <w:rStyle w:val="a9"/>
            <w:noProof/>
          </w:rPr>
          <w:t xml:space="preserve">4.6 </w:t>
        </w:r>
        <w:r w:rsidR="00FA30D0" w:rsidRPr="0039148A">
          <w:rPr>
            <w:rStyle w:val="a9"/>
            <w:rFonts w:hint="eastAsia"/>
            <w:noProof/>
          </w:rPr>
          <w:t>管理人内部有关本基金的监察稽核工作情况</w:t>
        </w:r>
        <w:r w:rsidR="00FA30D0">
          <w:rPr>
            <w:noProof/>
            <w:webHidden/>
          </w:rPr>
          <w:tab/>
        </w:r>
        <w:r w:rsidR="00FA30D0">
          <w:rPr>
            <w:noProof/>
            <w:webHidden/>
          </w:rPr>
          <w:fldChar w:fldCharType="begin"/>
        </w:r>
        <w:r w:rsidR="00FA30D0">
          <w:rPr>
            <w:noProof/>
            <w:webHidden/>
          </w:rPr>
          <w:instrText xml:space="preserve"> PAGEREF _Toc4153491 \h </w:instrText>
        </w:r>
        <w:r w:rsidR="00FA30D0">
          <w:rPr>
            <w:noProof/>
            <w:webHidden/>
          </w:rPr>
        </w:r>
        <w:r w:rsidR="00FA30D0">
          <w:rPr>
            <w:noProof/>
            <w:webHidden/>
          </w:rPr>
          <w:fldChar w:fldCharType="separate"/>
        </w:r>
        <w:r w:rsidR="00FA30D0">
          <w:rPr>
            <w:noProof/>
            <w:webHidden/>
          </w:rPr>
          <w:t>16</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92" w:history="1">
        <w:r w:rsidR="00FA30D0" w:rsidRPr="0039148A">
          <w:rPr>
            <w:rStyle w:val="a9"/>
            <w:noProof/>
          </w:rPr>
          <w:t xml:space="preserve">4.7 </w:t>
        </w:r>
        <w:r w:rsidR="00FA30D0" w:rsidRPr="0039148A">
          <w:rPr>
            <w:rStyle w:val="a9"/>
            <w:rFonts w:hint="eastAsia"/>
            <w:noProof/>
          </w:rPr>
          <w:t>管理人对报告期内基金估值程序等事项的说明</w:t>
        </w:r>
        <w:r w:rsidR="00FA30D0">
          <w:rPr>
            <w:noProof/>
            <w:webHidden/>
          </w:rPr>
          <w:tab/>
        </w:r>
        <w:r w:rsidR="00FA30D0">
          <w:rPr>
            <w:noProof/>
            <w:webHidden/>
          </w:rPr>
          <w:fldChar w:fldCharType="begin"/>
        </w:r>
        <w:r w:rsidR="00FA30D0">
          <w:rPr>
            <w:noProof/>
            <w:webHidden/>
          </w:rPr>
          <w:instrText xml:space="preserve"> PAGEREF _Toc4153492 \h </w:instrText>
        </w:r>
        <w:r w:rsidR="00FA30D0">
          <w:rPr>
            <w:noProof/>
            <w:webHidden/>
          </w:rPr>
        </w:r>
        <w:r w:rsidR="00FA30D0">
          <w:rPr>
            <w:noProof/>
            <w:webHidden/>
          </w:rPr>
          <w:fldChar w:fldCharType="separate"/>
        </w:r>
        <w:r w:rsidR="00FA30D0">
          <w:rPr>
            <w:noProof/>
            <w:webHidden/>
          </w:rPr>
          <w:t>17</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93" w:history="1">
        <w:r w:rsidR="00FA30D0" w:rsidRPr="0039148A">
          <w:rPr>
            <w:rStyle w:val="a9"/>
            <w:noProof/>
          </w:rPr>
          <w:t>4.8</w:t>
        </w:r>
        <w:r w:rsidR="00FA30D0" w:rsidRPr="0039148A">
          <w:rPr>
            <w:rStyle w:val="a9"/>
            <w:rFonts w:hint="eastAsia"/>
            <w:noProof/>
          </w:rPr>
          <w:t>管理人对报告期内基金利润分配情况的说明</w:t>
        </w:r>
        <w:r w:rsidR="00FA30D0">
          <w:rPr>
            <w:noProof/>
            <w:webHidden/>
          </w:rPr>
          <w:tab/>
        </w:r>
        <w:r w:rsidR="00FA30D0">
          <w:rPr>
            <w:noProof/>
            <w:webHidden/>
          </w:rPr>
          <w:fldChar w:fldCharType="begin"/>
        </w:r>
        <w:r w:rsidR="00FA30D0">
          <w:rPr>
            <w:noProof/>
            <w:webHidden/>
          </w:rPr>
          <w:instrText xml:space="preserve"> PAGEREF _Toc4153493 \h </w:instrText>
        </w:r>
        <w:r w:rsidR="00FA30D0">
          <w:rPr>
            <w:noProof/>
            <w:webHidden/>
          </w:rPr>
        </w:r>
        <w:r w:rsidR="00FA30D0">
          <w:rPr>
            <w:noProof/>
            <w:webHidden/>
          </w:rPr>
          <w:fldChar w:fldCharType="separate"/>
        </w:r>
        <w:r w:rsidR="00FA30D0">
          <w:rPr>
            <w:noProof/>
            <w:webHidden/>
          </w:rPr>
          <w:t>17</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94" w:history="1">
        <w:r w:rsidR="00FA30D0" w:rsidRPr="0039148A">
          <w:rPr>
            <w:rStyle w:val="a9"/>
            <w:noProof/>
          </w:rPr>
          <w:t>4.9</w:t>
        </w:r>
        <w:r w:rsidR="00FA30D0" w:rsidRPr="0039148A">
          <w:rPr>
            <w:rStyle w:val="a9"/>
            <w:rFonts w:hint="eastAsia"/>
            <w:noProof/>
          </w:rPr>
          <w:t>报告期内管理人对本基金持有人数或基金资产净值预警情形的说明</w:t>
        </w:r>
        <w:r w:rsidR="00FA30D0">
          <w:rPr>
            <w:noProof/>
            <w:webHidden/>
          </w:rPr>
          <w:tab/>
        </w:r>
        <w:r w:rsidR="00FA30D0">
          <w:rPr>
            <w:noProof/>
            <w:webHidden/>
          </w:rPr>
          <w:fldChar w:fldCharType="begin"/>
        </w:r>
        <w:r w:rsidR="00FA30D0">
          <w:rPr>
            <w:noProof/>
            <w:webHidden/>
          </w:rPr>
          <w:instrText xml:space="preserve"> PAGEREF _Toc4153494 \h </w:instrText>
        </w:r>
        <w:r w:rsidR="00FA30D0">
          <w:rPr>
            <w:noProof/>
            <w:webHidden/>
          </w:rPr>
        </w:r>
        <w:r w:rsidR="00FA30D0">
          <w:rPr>
            <w:noProof/>
            <w:webHidden/>
          </w:rPr>
          <w:fldChar w:fldCharType="separate"/>
        </w:r>
        <w:r w:rsidR="00FA30D0">
          <w:rPr>
            <w:noProof/>
            <w:webHidden/>
          </w:rPr>
          <w:t>18</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495" w:history="1">
        <w:r w:rsidR="00FA30D0" w:rsidRPr="0039148A">
          <w:rPr>
            <w:rStyle w:val="a9"/>
            <w:b/>
            <w:bCs/>
            <w:noProof/>
          </w:rPr>
          <w:t xml:space="preserve">§5  </w:t>
        </w:r>
        <w:r w:rsidR="00FA30D0" w:rsidRPr="0039148A">
          <w:rPr>
            <w:rStyle w:val="a9"/>
            <w:rFonts w:hint="eastAsia"/>
            <w:b/>
            <w:bCs/>
            <w:noProof/>
          </w:rPr>
          <w:t>托管人报告</w:t>
        </w:r>
        <w:r w:rsidR="00FA30D0">
          <w:rPr>
            <w:noProof/>
            <w:webHidden/>
          </w:rPr>
          <w:tab/>
        </w:r>
        <w:r w:rsidR="00FA30D0">
          <w:rPr>
            <w:noProof/>
            <w:webHidden/>
          </w:rPr>
          <w:fldChar w:fldCharType="begin"/>
        </w:r>
        <w:r w:rsidR="00FA30D0">
          <w:rPr>
            <w:noProof/>
            <w:webHidden/>
          </w:rPr>
          <w:instrText xml:space="preserve"> PAGEREF _Toc4153495 \h </w:instrText>
        </w:r>
        <w:r w:rsidR="00FA30D0">
          <w:rPr>
            <w:noProof/>
            <w:webHidden/>
          </w:rPr>
        </w:r>
        <w:r w:rsidR="00FA30D0">
          <w:rPr>
            <w:noProof/>
            <w:webHidden/>
          </w:rPr>
          <w:fldChar w:fldCharType="separate"/>
        </w:r>
        <w:r w:rsidR="00FA30D0">
          <w:rPr>
            <w:noProof/>
            <w:webHidden/>
          </w:rPr>
          <w:t>18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96" w:history="1">
        <w:r w:rsidR="00FA30D0" w:rsidRPr="0039148A">
          <w:rPr>
            <w:rStyle w:val="a9"/>
            <w:noProof/>
          </w:rPr>
          <w:t xml:space="preserve">5.1 </w:t>
        </w:r>
        <w:r w:rsidR="00FA30D0" w:rsidRPr="0039148A">
          <w:rPr>
            <w:rStyle w:val="a9"/>
            <w:rFonts w:hint="eastAsia"/>
            <w:noProof/>
          </w:rPr>
          <w:t>报告期内本基金托管人遵规守信情况声明</w:t>
        </w:r>
        <w:r w:rsidR="00FA30D0">
          <w:rPr>
            <w:noProof/>
            <w:webHidden/>
          </w:rPr>
          <w:tab/>
        </w:r>
        <w:r w:rsidR="00FA30D0">
          <w:rPr>
            <w:noProof/>
            <w:webHidden/>
          </w:rPr>
          <w:fldChar w:fldCharType="begin"/>
        </w:r>
        <w:r w:rsidR="00FA30D0">
          <w:rPr>
            <w:noProof/>
            <w:webHidden/>
          </w:rPr>
          <w:instrText xml:space="preserve"> PAGEREF _Toc4153496 \h </w:instrText>
        </w:r>
        <w:r w:rsidR="00FA30D0">
          <w:rPr>
            <w:noProof/>
            <w:webHidden/>
          </w:rPr>
        </w:r>
        <w:r w:rsidR="00FA30D0">
          <w:rPr>
            <w:noProof/>
            <w:webHidden/>
          </w:rPr>
          <w:fldChar w:fldCharType="separate"/>
        </w:r>
        <w:r w:rsidR="00FA30D0">
          <w:rPr>
            <w:noProof/>
            <w:webHidden/>
          </w:rPr>
          <w:t>18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97" w:history="1">
        <w:r w:rsidR="00FA30D0" w:rsidRPr="0039148A">
          <w:rPr>
            <w:rStyle w:val="a9"/>
            <w:noProof/>
          </w:rPr>
          <w:t xml:space="preserve">5.2 </w:t>
        </w:r>
        <w:r w:rsidR="00FA30D0" w:rsidRPr="0039148A">
          <w:rPr>
            <w:rStyle w:val="a9"/>
            <w:rFonts w:hint="eastAsia"/>
            <w:noProof/>
          </w:rPr>
          <w:t>托管人对报告期内本基金投资运作遵规守信、净值计算、利润分配等情况的说明</w:t>
        </w:r>
        <w:r w:rsidR="00FA30D0">
          <w:rPr>
            <w:noProof/>
            <w:webHidden/>
          </w:rPr>
          <w:tab/>
        </w:r>
        <w:r w:rsidR="00FA30D0">
          <w:rPr>
            <w:noProof/>
            <w:webHidden/>
          </w:rPr>
          <w:fldChar w:fldCharType="begin"/>
        </w:r>
        <w:r w:rsidR="00FA30D0">
          <w:rPr>
            <w:noProof/>
            <w:webHidden/>
          </w:rPr>
          <w:instrText xml:space="preserve"> PAGEREF _Toc4153497 \h </w:instrText>
        </w:r>
        <w:r w:rsidR="00FA30D0">
          <w:rPr>
            <w:noProof/>
            <w:webHidden/>
          </w:rPr>
        </w:r>
        <w:r w:rsidR="00FA30D0">
          <w:rPr>
            <w:noProof/>
            <w:webHidden/>
          </w:rPr>
          <w:fldChar w:fldCharType="separate"/>
        </w:r>
        <w:r w:rsidR="00FA30D0">
          <w:rPr>
            <w:noProof/>
            <w:webHidden/>
          </w:rPr>
          <w:t>18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498" w:history="1">
        <w:r w:rsidR="00FA30D0" w:rsidRPr="0039148A">
          <w:rPr>
            <w:rStyle w:val="a9"/>
            <w:noProof/>
          </w:rPr>
          <w:t xml:space="preserve">5.3 </w:t>
        </w:r>
        <w:r w:rsidR="00FA30D0" w:rsidRPr="0039148A">
          <w:rPr>
            <w:rStyle w:val="a9"/>
            <w:rFonts w:hint="eastAsia"/>
            <w:noProof/>
          </w:rPr>
          <w:t>托管人对本年度报告中财务信息等内容的真实、准确和完整发表意见</w:t>
        </w:r>
        <w:r w:rsidR="00FA30D0">
          <w:rPr>
            <w:noProof/>
            <w:webHidden/>
          </w:rPr>
          <w:tab/>
        </w:r>
        <w:r w:rsidR="00FA30D0">
          <w:rPr>
            <w:noProof/>
            <w:webHidden/>
          </w:rPr>
          <w:fldChar w:fldCharType="begin"/>
        </w:r>
        <w:r w:rsidR="00FA30D0">
          <w:rPr>
            <w:noProof/>
            <w:webHidden/>
          </w:rPr>
          <w:instrText xml:space="preserve"> PAGEREF _Toc4153498 \h </w:instrText>
        </w:r>
        <w:r w:rsidR="00FA30D0">
          <w:rPr>
            <w:noProof/>
            <w:webHidden/>
          </w:rPr>
        </w:r>
        <w:r w:rsidR="00FA30D0">
          <w:rPr>
            <w:noProof/>
            <w:webHidden/>
          </w:rPr>
          <w:fldChar w:fldCharType="separate"/>
        </w:r>
        <w:r w:rsidR="00FA30D0">
          <w:rPr>
            <w:noProof/>
            <w:webHidden/>
          </w:rPr>
          <w:t>18</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499" w:history="1">
        <w:r w:rsidR="00FA30D0" w:rsidRPr="0039148A">
          <w:rPr>
            <w:rStyle w:val="a9"/>
            <w:b/>
            <w:bCs/>
            <w:noProof/>
          </w:rPr>
          <w:t xml:space="preserve">§6  </w:t>
        </w:r>
        <w:r w:rsidR="00FA30D0" w:rsidRPr="0039148A">
          <w:rPr>
            <w:rStyle w:val="a9"/>
            <w:rFonts w:hint="eastAsia"/>
            <w:b/>
            <w:bCs/>
            <w:noProof/>
          </w:rPr>
          <w:t>审计报告</w:t>
        </w:r>
        <w:r w:rsidR="00FA30D0">
          <w:rPr>
            <w:noProof/>
            <w:webHidden/>
          </w:rPr>
          <w:tab/>
        </w:r>
        <w:r w:rsidR="00FA30D0">
          <w:rPr>
            <w:noProof/>
            <w:webHidden/>
          </w:rPr>
          <w:fldChar w:fldCharType="begin"/>
        </w:r>
        <w:r w:rsidR="00FA30D0">
          <w:rPr>
            <w:noProof/>
            <w:webHidden/>
          </w:rPr>
          <w:instrText xml:space="preserve"> PAGEREF _Toc4153499 \h </w:instrText>
        </w:r>
        <w:r w:rsidR="00FA30D0">
          <w:rPr>
            <w:noProof/>
            <w:webHidden/>
          </w:rPr>
        </w:r>
        <w:r w:rsidR="00FA30D0">
          <w:rPr>
            <w:noProof/>
            <w:webHidden/>
          </w:rPr>
          <w:fldChar w:fldCharType="separate"/>
        </w:r>
        <w:r w:rsidR="00FA30D0">
          <w:rPr>
            <w:noProof/>
            <w:webHidden/>
          </w:rPr>
          <w:t>18</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504" w:history="1">
        <w:r w:rsidR="00FA30D0" w:rsidRPr="0039148A">
          <w:rPr>
            <w:rStyle w:val="a9"/>
            <w:b/>
            <w:bCs/>
            <w:noProof/>
          </w:rPr>
          <w:t>§7</w:t>
        </w:r>
        <w:r w:rsidR="00FA30D0" w:rsidRPr="0039148A">
          <w:rPr>
            <w:rStyle w:val="a9"/>
            <w:rFonts w:hint="eastAsia"/>
            <w:b/>
            <w:bCs/>
            <w:noProof/>
          </w:rPr>
          <w:t>年度财务报表</w:t>
        </w:r>
        <w:r w:rsidR="00FA30D0">
          <w:rPr>
            <w:noProof/>
            <w:webHidden/>
          </w:rPr>
          <w:tab/>
        </w:r>
        <w:r w:rsidR="00FA30D0">
          <w:rPr>
            <w:noProof/>
            <w:webHidden/>
          </w:rPr>
          <w:fldChar w:fldCharType="begin"/>
        </w:r>
        <w:r w:rsidR="00FA30D0">
          <w:rPr>
            <w:noProof/>
            <w:webHidden/>
          </w:rPr>
          <w:instrText xml:space="preserve"> PAGEREF _Toc4153504 \h </w:instrText>
        </w:r>
        <w:r w:rsidR="00FA30D0">
          <w:rPr>
            <w:noProof/>
            <w:webHidden/>
          </w:rPr>
        </w:r>
        <w:r w:rsidR="00FA30D0">
          <w:rPr>
            <w:noProof/>
            <w:webHidden/>
          </w:rPr>
          <w:fldChar w:fldCharType="separate"/>
        </w:r>
        <w:r w:rsidR="00FA30D0">
          <w:rPr>
            <w:noProof/>
            <w:webHidden/>
          </w:rPr>
          <w:t>20</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05" w:history="1">
        <w:r w:rsidR="00FA30D0" w:rsidRPr="0039148A">
          <w:rPr>
            <w:rStyle w:val="a9"/>
            <w:noProof/>
          </w:rPr>
          <w:t xml:space="preserve">7.1 </w:t>
        </w:r>
        <w:r w:rsidR="00FA30D0" w:rsidRPr="0039148A">
          <w:rPr>
            <w:rStyle w:val="a9"/>
            <w:rFonts w:hint="eastAsia"/>
            <w:noProof/>
          </w:rPr>
          <w:t>资产负债表</w:t>
        </w:r>
        <w:r w:rsidR="00FA30D0">
          <w:rPr>
            <w:noProof/>
            <w:webHidden/>
          </w:rPr>
          <w:tab/>
        </w:r>
        <w:r w:rsidR="00FA30D0">
          <w:rPr>
            <w:noProof/>
            <w:webHidden/>
          </w:rPr>
          <w:fldChar w:fldCharType="begin"/>
        </w:r>
        <w:r w:rsidR="00FA30D0">
          <w:rPr>
            <w:noProof/>
            <w:webHidden/>
          </w:rPr>
          <w:instrText xml:space="preserve"> PAGEREF _Toc4153505 \h </w:instrText>
        </w:r>
        <w:r w:rsidR="00FA30D0">
          <w:rPr>
            <w:noProof/>
            <w:webHidden/>
          </w:rPr>
        </w:r>
        <w:r w:rsidR="00FA30D0">
          <w:rPr>
            <w:noProof/>
            <w:webHidden/>
          </w:rPr>
          <w:fldChar w:fldCharType="separate"/>
        </w:r>
        <w:r w:rsidR="00FA30D0">
          <w:rPr>
            <w:noProof/>
            <w:webHidden/>
          </w:rPr>
          <w:t>20</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06" w:history="1">
        <w:r w:rsidR="00FA30D0" w:rsidRPr="0039148A">
          <w:rPr>
            <w:rStyle w:val="a9"/>
            <w:noProof/>
          </w:rPr>
          <w:t xml:space="preserve">7.2 </w:t>
        </w:r>
        <w:r w:rsidR="00FA30D0" w:rsidRPr="0039148A">
          <w:rPr>
            <w:rStyle w:val="a9"/>
            <w:rFonts w:hint="eastAsia"/>
            <w:noProof/>
          </w:rPr>
          <w:t>利润表</w:t>
        </w:r>
        <w:r w:rsidR="00FA30D0">
          <w:rPr>
            <w:noProof/>
            <w:webHidden/>
          </w:rPr>
          <w:tab/>
        </w:r>
        <w:r w:rsidR="00FA30D0">
          <w:rPr>
            <w:noProof/>
            <w:webHidden/>
          </w:rPr>
          <w:fldChar w:fldCharType="begin"/>
        </w:r>
        <w:r w:rsidR="00FA30D0">
          <w:rPr>
            <w:noProof/>
            <w:webHidden/>
          </w:rPr>
          <w:instrText xml:space="preserve"> PAGEREF _Toc4153506 \h </w:instrText>
        </w:r>
        <w:r w:rsidR="00FA30D0">
          <w:rPr>
            <w:noProof/>
            <w:webHidden/>
          </w:rPr>
        </w:r>
        <w:r w:rsidR="00FA30D0">
          <w:rPr>
            <w:noProof/>
            <w:webHidden/>
          </w:rPr>
          <w:fldChar w:fldCharType="separate"/>
        </w:r>
        <w:r w:rsidR="00FA30D0">
          <w:rPr>
            <w:noProof/>
            <w:webHidden/>
          </w:rPr>
          <w:t>22</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07" w:history="1">
        <w:r w:rsidR="00FA30D0" w:rsidRPr="0039148A">
          <w:rPr>
            <w:rStyle w:val="a9"/>
            <w:noProof/>
          </w:rPr>
          <w:t xml:space="preserve">7.3 </w:t>
        </w:r>
        <w:r w:rsidR="00FA30D0" w:rsidRPr="0039148A">
          <w:rPr>
            <w:rStyle w:val="a9"/>
            <w:rFonts w:hint="eastAsia"/>
            <w:noProof/>
          </w:rPr>
          <w:t>所有者权益（基金净值）变动表</w:t>
        </w:r>
        <w:r w:rsidR="00FA30D0">
          <w:rPr>
            <w:noProof/>
            <w:webHidden/>
          </w:rPr>
          <w:tab/>
        </w:r>
        <w:r w:rsidR="00FA30D0">
          <w:rPr>
            <w:noProof/>
            <w:webHidden/>
          </w:rPr>
          <w:fldChar w:fldCharType="begin"/>
        </w:r>
        <w:r w:rsidR="00FA30D0">
          <w:rPr>
            <w:noProof/>
            <w:webHidden/>
          </w:rPr>
          <w:instrText xml:space="preserve"> PAGEREF _Toc4153507 \h </w:instrText>
        </w:r>
        <w:r w:rsidR="00FA30D0">
          <w:rPr>
            <w:noProof/>
            <w:webHidden/>
          </w:rPr>
        </w:r>
        <w:r w:rsidR="00FA30D0">
          <w:rPr>
            <w:noProof/>
            <w:webHidden/>
          </w:rPr>
          <w:fldChar w:fldCharType="separate"/>
        </w:r>
        <w:r w:rsidR="00FA30D0">
          <w:rPr>
            <w:noProof/>
            <w:webHidden/>
          </w:rPr>
          <w:t>23</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08" w:history="1">
        <w:r w:rsidR="00FA30D0" w:rsidRPr="0039148A">
          <w:rPr>
            <w:rStyle w:val="a9"/>
            <w:noProof/>
          </w:rPr>
          <w:t xml:space="preserve">7.4 </w:t>
        </w:r>
        <w:r w:rsidR="00FA30D0" w:rsidRPr="0039148A">
          <w:rPr>
            <w:rStyle w:val="a9"/>
            <w:rFonts w:hint="eastAsia"/>
            <w:noProof/>
          </w:rPr>
          <w:t>报表附注</w:t>
        </w:r>
        <w:r w:rsidR="00FA30D0">
          <w:rPr>
            <w:noProof/>
            <w:webHidden/>
          </w:rPr>
          <w:tab/>
        </w:r>
        <w:r w:rsidR="00FA30D0">
          <w:rPr>
            <w:noProof/>
            <w:webHidden/>
          </w:rPr>
          <w:fldChar w:fldCharType="begin"/>
        </w:r>
        <w:r w:rsidR="00FA30D0">
          <w:rPr>
            <w:noProof/>
            <w:webHidden/>
          </w:rPr>
          <w:instrText xml:space="preserve"> PAGEREF _Toc4153508 \h </w:instrText>
        </w:r>
        <w:r w:rsidR="00FA30D0">
          <w:rPr>
            <w:noProof/>
            <w:webHidden/>
          </w:rPr>
        </w:r>
        <w:r w:rsidR="00FA30D0">
          <w:rPr>
            <w:noProof/>
            <w:webHidden/>
          </w:rPr>
          <w:fldChar w:fldCharType="separate"/>
        </w:r>
        <w:r w:rsidR="00FA30D0">
          <w:rPr>
            <w:noProof/>
            <w:webHidden/>
          </w:rPr>
          <w:t>24</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580" w:history="1">
        <w:r w:rsidR="00FA30D0" w:rsidRPr="0039148A">
          <w:rPr>
            <w:rStyle w:val="a9"/>
            <w:b/>
            <w:noProof/>
          </w:rPr>
          <w:t>§8</w:t>
        </w:r>
        <w:r w:rsidR="00FA30D0" w:rsidRPr="0039148A">
          <w:rPr>
            <w:rStyle w:val="a9"/>
            <w:rFonts w:hint="eastAsia"/>
            <w:b/>
            <w:noProof/>
          </w:rPr>
          <w:t>投资组合报告</w:t>
        </w:r>
        <w:r w:rsidR="00FA30D0">
          <w:rPr>
            <w:noProof/>
            <w:webHidden/>
          </w:rPr>
          <w:tab/>
        </w:r>
        <w:r w:rsidR="00FA30D0">
          <w:rPr>
            <w:noProof/>
            <w:webHidden/>
          </w:rPr>
          <w:fldChar w:fldCharType="begin"/>
        </w:r>
        <w:r w:rsidR="00FA30D0">
          <w:rPr>
            <w:noProof/>
            <w:webHidden/>
          </w:rPr>
          <w:instrText xml:space="preserve"> PAGEREF _Toc4153580 \h </w:instrText>
        </w:r>
        <w:r w:rsidR="00FA30D0">
          <w:rPr>
            <w:noProof/>
            <w:webHidden/>
          </w:rPr>
        </w:r>
        <w:r w:rsidR="00FA30D0">
          <w:rPr>
            <w:noProof/>
            <w:webHidden/>
          </w:rPr>
          <w:fldChar w:fldCharType="separate"/>
        </w:r>
        <w:r w:rsidR="00FA30D0">
          <w:rPr>
            <w:noProof/>
            <w:webHidden/>
          </w:rPr>
          <w:t>49</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81" w:history="1">
        <w:r w:rsidR="00FA30D0" w:rsidRPr="0039148A">
          <w:rPr>
            <w:rStyle w:val="a9"/>
            <w:noProof/>
          </w:rPr>
          <w:t xml:space="preserve">8.1 </w:t>
        </w:r>
        <w:r w:rsidR="00FA30D0" w:rsidRPr="0039148A">
          <w:rPr>
            <w:rStyle w:val="a9"/>
            <w:rFonts w:hint="eastAsia"/>
            <w:noProof/>
          </w:rPr>
          <w:t>期末基金资产组合情况</w:t>
        </w:r>
        <w:r w:rsidR="00FA30D0">
          <w:rPr>
            <w:noProof/>
            <w:webHidden/>
          </w:rPr>
          <w:tab/>
        </w:r>
        <w:r w:rsidR="00FA30D0">
          <w:rPr>
            <w:noProof/>
            <w:webHidden/>
          </w:rPr>
          <w:fldChar w:fldCharType="begin"/>
        </w:r>
        <w:r w:rsidR="00FA30D0">
          <w:rPr>
            <w:noProof/>
            <w:webHidden/>
          </w:rPr>
          <w:instrText xml:space="preserve"> PAGEREF _Toc4153581 \h </w:instrText>
        </w:r>
        <w:r w:rsidR="00FA30D0">
          <w:rPr>
            <w:noProof/>
            <w:webHidden/>
          </w:rPr>
        </w:r>
        <w:r w:rsidR="00FA30D0">
          <w:rPr>
            <w:noProof/>
            <w:webHidden/>
          </w:rPr>
          <w:fldChar w:fldCharType="separate"/>
        </w:r>
        <w:r w:rsidR="00FA30D0">
          <w:rPr>
            <w:noProof/>
            <w:webHidden/>
          </w:rPr>
          <w:t>49</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82" w:history="1">
        <w:r w:rsidR="00FA30D0" w:rsidRPr="0039148A">
          <w:rPr>
            <w:rStyle w:val="a9"/>
            <w:noProof/>
          </w:rPr>
          <w:t>8.2</w:t>
        </w:r>
        <w:r w:rsidR="00FA30D0" w:rsidRPr="0039148A">
          <w:rPr>
            <w:rStyle w:val="a9"/>
            <w:rFonts w:hint="eastAsia"/>
            <w:noProof/>
          </w:rPr>
          <w:t>期末按行业分类的股票投资组合</w:t>
        </w:r>
        <w:r w:rsidR="00FA30D0">
          <w:rPr>
            <w:noProof/>
            <w:webHidden/>
          </w:rPr>
          <w:tab/>
        </w:r>
        <w:r w:rsidR="00FA30D0">
          <w:rPr>
            <w:noProof/>
            <w:webHidden/>
          </w:rPr>
          <w:fldChar w:fldCharType="begin"/>
        </w:r>
        <w:r w:rsidR="00FA30D0">
          <w:rPr>
            <w:noProof/>
            <w:webHidden/>
          </w:rPr>
          <w:instrText xml:space="preserve"> PAGEREF _Toc4153582 \h </w:instrText>
        </w:r>
        <w:r w:rsidR="00FA30D0">
          <w:rPr>
            <w:noProof/>
            <w:webHidden/>
          </w:rPr>
        </w:r>
        <w:r w:rsidR="00FA30D0">
          <w:rPr>
            <w:noProof/>
            <w:webHidden/>
          </w:rPr>
          <w:fldChar w:fldCharType="separate"/>
        </w:r>
        <w:r w:rsidR="00FA30D0">
          <w:rPr>
            <w:noProof/>
            <w:webHidden/>
          </w:rPr>
          <w:t>49</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83" w:history="1">
        <w:r w:rsidR="00FA30D0" w:rsidRPr="0039148A">
          <w:rPr>
            <w:rStyle w:val="a9"/>
            <w:noProof/>
          </w:rPr>
          <w:t>8.3</w:t>
        </w:r>
        <w:r w:rsidR="00FA30D0" w:rsidRPr="0039148A">
          <w:rPr>
            <w:rStyle w:val="a9"/>
            <w:rFonts w:hint="eastAsia"/>
            <w:noProof/>
          </w:rPr>
          <w:t>期末按公允价值占基金资产净值比例大小排序的所有股票投资明细</w:t>
        </w:r>
        <w:r w:rsidR="00FA30D0">
          <w:rPr>
            <w:noProof/>
            <w:webHidden/>
          </w:rPr>
          <w:tab/>
        </w:r>
        <w:r w:rsidR="00FA30D0">
          <w:rPr>
            <w:noProof/>
            <w:webHidden/>
          </w:rPr>
          <w:fldChar w:fldCharType="begin"/>
        </w:r>
        <w:r w:rsidR="00FA30D0">
          <w:rPr>
            <w:noProof/>
            <w:webHidden/>
          </w:rPr>
          <w:instrText xml:space="preserve"> PAGEREF _Toc4153583 \h </w:instrText>
        </w:r>
        <w:r w:rsidR="00FA30D0">
          <w:rPr>
            <w:noProof/>
            <w:webHidden/>
          </w:rPr>
        </w:r>
        <w:r w:rsidR="00FA30D0">
          <w:rPr>
            <w:noProof/>
            <w:webHidden/>
          </w:rPr>
          <w:fldChar w:fldCharType="separate"/>
        </w:r>
        <w:r w:rsidR="00FA30D0">
          <w:rPr>
            <w:noProof/>
            <w:webHidden/>
          </w:rPr>
          <w:t>50</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84" w:history="1">
        <w:r w:rsidR="00FA30D0" w:rsidRPr="0039148A">
          <w:rPr>
            <w:rStyle w:val="a9"/>
            <w:noProof/>
          </w:rPr>
          <w:t>8.4</w:t>
        </w:r>
        <w:r w:rsidR="00FA30D0" w:rsidRPr="0039148A">
          <w:rPr>
            <w:rStyle w:val="a9"/>
            <w:rFonts w:hint="eastAsia"/>
            <w:noProof/>
          </w:rPr>
          <w:t>报告期内股票投资组合的重大变动</w:t>
        </w:r>
        <w:r w:rsidR="00FA30D0">
          <w:rPr>
            <w:noProof/>
            <w:webHidden/>
          </w:rPr>
          <w:tab/>
        </w:r>
        <w:r w:rsidR="00FA30D0">
          <w:rPr>
            <w:noProof/>
            <w:webHidden/>
          </w:rPr>
          <w:fldChar w:fldCharType="begin"/>
        </w:r>
        <w:r w:rsidR="00FA30D0">
          <w:rPr>
            <w:noProof/>
            <w:webHidden/>
          </w:rPr>
          <w:instrText xml:space="preserve"> PAGEREF _Toc4153584 \h </w:instrText>
        </w:r>
        <w:r w:rsidR="00FA30D0">
          <w:rPr>
            <w:noProof/>
            <w:webHidden/>
          </w:rPr>
        </w:r>
        <w:r w:rsidR="00FA30D0">
          <w:rPr>
            <w:noProof/>
            <w:webHidden/>
          </w:rPr>
          <w:fldChar w:fldCharType="separate"/>
        </w:r>
        <w:r w:rsidR="00FA30D0">
          <w:rPr>
            <w:noProof/>
            <w:webHidden/>
          </w:rPr>
          <w:t>50</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88" w:history="1">
        <w:r w:rsidR="00FA30D0" w:rsidRPr="0039148A">
          <w:rPr>
            <w:rStyle w:val="a9"/>
            <w:noProof/>
          </w:rPr>
          <w:t>8.5</w:t>
        </w:r>
        <w:r w:rsidR="00FA30D0" w:rsidRPr="0039148A">
          <w:rPr>
            <w:rStyle w:val="a9"/>
            <w:rFonts w:hint="eastAsia"/>
            <w:noProof/>
          </w:rPr>
          <w:t>期末按债券品种分类的债券投资组合</w:t>
        </w:r>
        <w:r w:rsidR="00FA30D0">
          <w:rPr>
            <w:noProof/>
            <w:webHidden/>
          </w:rPr>
          <w:tab/>
        </w:r>
        <w:r w:rsidR="00FA30D0">
          <w:rPr>
            <w:noProof/>
            <w:webHidden/>
          </w:rPr>
          <w:fldChar w:fldCharType="begin"/>
        </w:r>
        <w:r w:rsidR="00FA30D0">
          <w:rPr>
            <w:noProof/>
            <w:webHidden/>
          </w:rPr>
          <w:instrText xml:space="preserve"> PAGEREF _Toc4153588 \h </w:instrText>
        </w:r>
        <w:r w:rsidR="00FA30D0">
          <w:rPr>
            <w:noProof/>
            <w:webHidden/>
          </w:rPr>
        </w:r>
        <w:r w:rsidR="00FA30D0">
          <w:rPr>
            <w:noProof/>
            <w:webHidden/>
          </w:rPr>
          <w:fldChar w:fldCharType="separate"/>
        </w:r>
        <w:r w:rsidR="00FA30D0">
          <w:rPr>
            <w:noProof/>
            <w:webHidden/>
          </w:rPr>
          <w:t>50</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89" w:history="1">
        <w:r w:rsidR="00FA30D0" w:rsidRPr="0039148A">
          <w:rPr>
            <w:rStyle w:val="a9"/>
            <w:noProof/>
          </w:rPr>
          <w:t>8.6</w:t>
        </w:r>
        <w:r w:rsidR="00FA30D0" w:rsidRPr="0039148A">
          <w:rPr>
            <w:rStyle w:val="a9"/>
            <w:rFonts w:hint="eastAsia"/>
            <w:noProof/>
          </w:rPr>
          <w:t>期末按公允价值占基金资产净值比例大小排序的前五名债券投资明细</w:t>
        </w:r>
        <w:r w:rsidR="00FA30D0">
          <w:rPr>
            <w:noProof/>
            <w:webHidden/>
          </w:rPr>
          <w:tab/>
        </w:r>
        <w:r w:rsidR="00FA30D0">
          <w:rPr>
            <w:noProof/>
            <w:webHidden/>
          </w:rPr>
          <w:fldChar w:fldCharType="begin"/>
        </w:r>
        <w:r w:rsidR="00FA30D0">
          <w:rPr>
            <w:noProof/>
            <w:webHidden/>
          </w:rPr>
          <w:instrText xml:space="preserve"> PAGEREF _Toc4153589 \h </w:instrText>
        </w:r>
        <w:r w:rsidR="00FA30D0">
          <w:rPr>
            <w:noProof/>
            <w:webHidden/>
          </w:rPr>
        </w:r>
        <w:r w:rsidR="00FA30D0">
          <w:rPr>
            <w:noProof/>
            <w:webHidden/>
          </w:rPr>
          <w:fldChar w:fldCharType="separate"/>
        </w:r>
        <w:r w:rsidR="00FA30D0">
          <w:rPr>
            <w:noProof/>
            <w:webHidden/>
          </w:rPr>
          <w:t>50</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90" w:history="1">
        <w:r w:rsidR="00FA30D0" w:rsidRPr="0039148A">
          <w:rPr>
            <w:rStyle w:val="a9"/>
            <w:noProof/>
          </w:rPr>
          <w:t>8.7</w:t>
        </w:r>
        <w:r w:rsidR="00FA30D0" w:rsidRPr="0039148A">
          <w:rPr>
            <w:rStyle w:val="a9"/>
            <w:rFonts w:hint="eastAsia"/>
            <w:noProof/>
          </w:rPr>
          <w:t>期末按公允价值占基金资产净值比例大小排序的所有资产支持证券投资明细</w:t>
        </w:r>
        <w:r w:rsidR="00FA30D0">
          <w:rPr>
            <w:noProof/>
            <w:webHidden/>
          </w:rPr>
          <w:tab/>
        </w:r>
        <w:r w:rsidR="00FA30D0">
          <w:rPr>
            <w:noProof/>
            <w:webHidden/>
          </w:rPr>
          <w:fldChar w:fldCharType="begin"/>
        </w:r>
        <w:r w:rsidR="00FA30D0">
          <w:rPr>
            <w:noProof/>
            <w:webHidden/>
          </w:rPr>
          <w:instrText xml:space="preserve"> PAGEREF _Toc4153590 \h </w:instrText>
        </w:r>
        <w:r w:rsidR="00FA30D0">
          <w:rPr>
            <w:noProof/>
            <w:webHidden/>
          </w:rPr>
        </w:r>
        <w:r w:rsidR="00FA30D0">
          <w:rPr>
            <w:noProof/>
            <w:webHidden/>
          </w:rPr>
          <w:fldChar w:fldCharType="separate"/>
        </w:r>
        <w:r w:rsidR="00FA30D0">
          <w:rPr>
            <w:noProof/>
            <w:webHidden/>
          </w:rPr>
          <w:t>51</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91" w:history="1">
        <w:r w:rsidR="00FA30D0" w:rsidRPr="0039148A">
          <w:rPr>
            <w:rStyle w:val="a9"/>
            <w:noProof/>
          </w:rPr>
          <w:t>8.8</w:t>
        </w:r>
        <w:r w:rsidR="00FA30D0" w:rsidRPr="0039148A">
          <w:rPr>
            <w:rStyle w:val="a9"/>
            <w:rFonts w:hint="eastAsia"/>
            <w:noProof/>
          </w:rPr>
          <w:t>报告期末按公允价值占基金资产净值比例大小排序的前五名贵金属投资明细</w:t>
        </w:r>
        <w:r w:rsidR="00FA30D0">
          <w:rPr>
            <w:noProof/>
            <w:webHidden/>
          </w:rPr>
          <w:tab/>
        </w:r>
        <w:r w:rsidR="00FA30D0">
          <w:rPr>
            <w:noProof/>
            <w:webHidden/>
          </w:rPr>
          <w:fldChar w:fldCharType="begin"/>
        </w:r>
        <w:r w:rsidR="00FA30D0">
          <w:rPr>
            <w:noProof/>
            <w:webHidden/>
          </w:rPr>
          <w:instrText xml:space="preserve"> PAGEREF _Toc4153591 \h </w:instrText>
        </w:r>
        <w:r w:rsidR="00FA30D0">
          <w:rPr>
            <w:noProof/>
            <w:webHidden/>
          </w:rPr>
        </w:r>
        <w:r w:rsidR="00FA30D0">
          <w:rPr>
            <w:noProof/>
            <w:webHidden/>
          </w:rPr>
          <w:fldChar w:fldCharType="separate"/>
        </w:r>
        <w:r w:rsidR="00FA30D0">
          <w:rPr>
            <w:noProof/>
            <w:webHidden/>
          </w:rPr>
          <w:t>51</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92" w:history="1">
        <w:r w:rsidR="00FA30D0" w:rsidRPr="0039148A">
          <w:rPr>
            <w:rStyle w:val="a9"/>
            <w:noProof/>
          </w:rPr>
          <w:t>8.9</w:t>
        </w:r>
        <w:r w:rsidR="00FA30D0" w:rsidRPr="0039148A">
          <w:rPr>
            <w:rStyle w:val="a9"/>
            <w:rFonts w:hint="eastAsia"/>
            <w:noProof/>
          </w:rPr>
          <w:t>期末按公允价值占基金资产净值比例大小排序的前五名权证投资明细</w:t>
        </w:r>
        <w:r w:rsidR="00FA30D0">
          <w:rPr>
            <w:noProof/>
            <w:webHidden/>
          </w:rPr>
          <w:tab/>
        </w:r>
        <w:r w:rsidR="00FA30D0">
          <w:rPr>
            <w:noProof/>
            <w:webHidden/>
          </w:rPr>
          <w:fldChar w:fldCharType="begin"/>
        </w:r>
        <w:r w:rsidR="00FA30D0">
          <w:rPr>
            <w:noProof/>
            <w:webHidden/>
          </w:rPr>
          <w:instrText xml:space="preserve"> PAGEREF _Toc4153592 \h </w:instrText>
        </w:r>
        <w:r w:rsidR="00FA30D0">
          <w:rPr>
            <w:noProof/>
            <w:webHidden/>
          </w:rPr>
        </w:r>
        <w:r w:rsidR="00FA30D0">
          <w:rPr>
            <w:noProof/>
            <w:webHidden/>
          </w:rPr>
          <w:fldChar w:fldCharType="separate"/>
        </w:r>
        <w:r w:rsidR="00FA30D0">
          <w:rPr>
            <w:noProof/>
            <w:webHidden/>
          </w:rPr>
          <w:t>51</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93" w:history="1">
        <w:r w:rsidR="00FA30D0" w:rsidRPr="0039148A">
          <w:rPr>
            <w:rStyle w:val="a9"/>
            <w:noProof/>
          </w:rPr>
          <w:t xml:space="preserve">8.10 </w:t>
        </w:r>
        <w:r w:rsidR="00FA30D0" w:rsidRPr="0039148A">
          <w:rPr>
            <w:rStyle w:val="a9"/>
            <w:rFonts w:hint="eastAsia"/>
            <w:noProof/>
          </w:rPr>
          <w:t>报告期末本基金投资的股指期货交易情况说明</w:t>
        </w:r>
        <w:r w:rsidR="00FA30D0">
          <w:rPr>
            <w:noProof/>
            <w:webHidden/>
          </w:rPr>
          <w:tab/>
        </w:r>
        <w:r w:rsidR="00FA30D0">
          <w:rPr>
            <w:noProof/>
            <w:webHidden/>
          </w:rPr>
          <w:fldChar w:fldCharType="begin"/>
        </w:r>
        <w:r w:rsidR="00FA30D0">
          <w:rPr>
            <w:noProof/>
            <w:webHidden/>
          </w:rPr>
          <w:instrText xml:space="preserve"> PAGEREF _Toc4153593 \h </w:instrText>
        </w:r>
        <w:r w:rsidR="00FA30D0">
          <w:rPr>
            <w:noProof/>
            <w:webHidden/>
          </w:rPr>
        </w:r>
        <w:r w:rsidR="00FA30D0">
          <w:rPr>
            <w:noProof/>
            <w:webHidden/>
          </w:rPr>
          <w:fldChar w:fldCharType="separate"/>
        </w:r>
        <w:r w:rsidR="00FA30D0">
          <w:rPr>
            <w:noProof/>
            <w:webHidden/>
          </w:rPr>
          <w:t>51</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94" w:history="1">
        <w:r w:rsidR="00FA30D0" w:rsidRPr="0039148A">
          <w:rPr>
            <w:rStyle w:val="a9"/>
            <w:noProof/>
          </w:rPr>
          <w:t>8.11</w:t>
        </w:r>
        <w:r w:rsidR="00FA30D0" w:rsidRPr="0039148A">
          <w:rPr>
            <w:rStyle w:val="a9"/>
            <w:rFonts w:hint="eastAsia"/>
            <w:noProof/>
          </w:rPr>
          <w:t>报告期末本基金投资的国债期货交易情况说明</w:t>
        </w:r>
        <w:r w:rsidR="00FA30D0">
          <w:rPr>
            <w:noProof/>
            <w:webHidden/>
          </w:rPr>
          <w:tab/>
        </w:r>
        <w:r w:rsidR="00FA30D0">
          <w:rPr>
            <w:noProof/>
            <w:webHidden/>
          </w:rPr>
          <w:fldChar w:fldCharType="begin"/>
        </w:r>
        <w:r w:rsidR="00FA30D0">
          <w:rPr>
            <w:noProof/>
            <w:webHidden/>
          </w:rPr>
          <w:instrText xml:space="preserve"> PAGEREF _Toc4153594 \h </w:instrText>
        </w:r>
        <w:r w:rsidR="00FA30D0">
          <w:rPr>
            <w:noProof/>
            <w:webHidden/>
          </w:rPr>
        </w:r>
        <w:r w:rsidR="00FA30D0">
          <w:rPr>
            <w:noProof/>
            <w:webHidden/>
          </w:rPr>
          <w:fldChar w:fldCharType="separate"/>
        </w:r>
        <w:r w:rsidR="00FA30D0">
          <w:rPr>
            <w:noProof/>
            <w:webHidden/>
          </w:rPr>
          <w:t>51</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595" w:history="1">
        <w:r w:rsidR="00FA30D0" w:rsidRPr="0039148A">
          <w:rPr>
            <w:rStyle w:val="a9"/>
            <w:noProof/>
          </w:rPr>
          <w:t xml:space="preserve">8.12 </w:t>
        </w:r>
        <w:r w:rsidR="00FA30D0" w:rsidRPr="0039148A">
          <w:rPr>
            <w:rStyle w:val="a9"/>
            <w:rFonts w:hint="eastAsia"/>
            <w:noProof/>
          </w:rPr>
          <w:t>投资组合报告附注</w:t>
        </w:r>
        <w:r w:rsidR="00FA30D0">
          <w:rPr>
            <w:noProof/>
            <w:webHidden/>
          </w:rPr>
          <w:tab/>
        </w:r>
        <w:r w:rsidR="00FA30D0">
          <w:rPr>
            <w:noProof/>
            <w:webHidden/>
          </w:rPr>
          <w:fldChar w:fldCharType="begin"/>
        </w:r>
        <w:r w:rsidR="00FA30D0">
          <w:rPr>
            <w:noProof/>
            <w:webHidden/>
          </w:rPr>
          <w:instrText xml:space="preserve"> PAGEREF _Toc4153595 \h </w:instrText>
        </w:r>
        <w:r w:rsidR="00FA30D0">
          <w:rPr>
            <w:noProof/>
            <w:webHidden/>
          </w:rPr>
        </w:r>
        <w:r w:rsidR="00FA30D0">
          <w:rPr>
            <w:noProof/>
            <w:webHidden/>
          </w:rPr>
          <w:fldChar w:fldCharType="separate"/>
        </w:r>
        <w:r w:rsidR="00FA30D0">
          <w:rPr>
            <w:noProof/>
            <w:webHidden/>
          </w:rPr>
          <w:t>51</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600" w:history="1">
        <w:r w:rsidR="00FA30D0" w:rsidRPr="0039148A">
          <w:rPr>
            <w:rStyle w:val="a9"/>
            <w:b/>
            <w:noProof/>
          </w:rPr>
          <w:t>§9</w:t>
        </w:r>
        <w:r w:rsidR="00FA30D0" w:rsidRPr="0039148A">
          <w:rPr>
            <w:rStyle w:val="a9"/>
            <w:rFonts w:hint="eastAsia"/>
            <w:b/>
            <w:noProof/>
          </w:rPr>
          <w:t>基金份额持有人信息</w:t>
        </w:r>
        <w:r w:rsidR="00FA30D0">
          <w:rPr>
            <w:noProof/>
            <w:webHidden/>
          </w:rPr>
          <w:tab/>
        </w:r>
        <w:r w:rsidR="00FA30D0">
          <w:rPr>
            <w:noProof/>
            <w:webHidden/>
          </w:rPr>
          <w:fldChar w:fldCharType="begin"/>
        </w:r>
        <w:r w:rsidR="00FA30D0">
          <w:rPr>
            <w:noProof/>
            <w:webHidden/>
          </w:rPr>
          <w:instrText xml:space="preserve"> PAGEREF _Toc4153600 \h </w:instrText>
        </w:r>
        <w:r w:rsidR="00FA30D0">
          <w:rPr>
            <w:noProof/>
            <w:webHidden/>
          </w:rPr>
        </w:r>
        <w:r w:rsidR="00FA30D0">
          <w:rPr>
            <w:noProof/>
            <w:webHidden/>
          </w:rPr>
          <w:fldChar w:fldCharType="separate"/>
        </w:r>
        <w:r w:rsidR="00FA30D0">
          <w:rPr>
            <w:noProof/>
            <w:webHidden/>
          </w:rPr>
          <w:t>52</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01" w:history="1">
        <w:r w:rsidR="00FA30D0" w:rsidRPr="0039148A">
          <w:rPr>
            <w:rStyle w:val="a9"/>
            <w:noProof/>
          </w:rPr>
          <w:t xml:space="preserve">9.1 </w:t>
        </w:r>
        <w:r w:rsidR="00FA30D0" w:rsidRPr="0039148A">
          <w:rPr>
            <w:rStyle w:val="a9"/>
            <w:rFonts w:hint="eastAsia"/>
            <w:noProof/>
          </w:rPr>
          <w:t>期末基金份额持有人户数及持有人结构</w:t>
        </w:r>
        <w:r w:rsidR="00FA30D0">
          <w:rPr>
            <w:noProof/>
            <w:webHidden/>
          </w:rPr>
          <w:tab/>
        </w:r>
        <w:r w:rsidR="00FA30D0">
          <w:rPr>
            <w:noProof/>
            <w:webHidden/>
          </w:rPr>
          <w:fldChar w:fldCharType="begin"/>
        </w:r>
        <w:r w:rsidR="00FA30D0">
          <w:rPr>
            <w:noProof/>
            <w:webHidden/>
          </w:rPr>
          <w:instrText xml:space="preserve"> PAGEREF _Toc4153601 \h </w:instrText>
        </w:r>
        <w:r w:rsidR="00FA30D0">
          <w:rPr>
            <w:noProof/>
            <w:webHidden/>
          </w:rPr>
        </w:r>
        <w:r w:rsidR="00FA30D0">
          <w:rPr>
            <w:noProof/>
            <w:webHidden/>
          </w:rPr>
          <w:fldChar w:fldCharType="separate"/>
        </w:r>
        <w:r w:rsidR="00FA30D0">
          <w:rPr>
            <w:noProof/>
            <w:webHidden/>
          </w:rPr>
          <w:t>52</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02" w:history="1">
        <w:r w:rsidR="00FA30D0" w:rsidRPr="0039148A">
          <w:rPr>
            <w:rStyle w:val="a9"/>
            <w:noProof/>
          </w:rPr>
          <w:t>9.2</w:t>
        </w:r>
        <w:r w:rsidR="00FA30D0" w:rsidRPr="0039148A">
          <w:rPr>
            <w:rStyle w:val="a9"/>
            <w:rFonts w:hint="eastAsia"/>
            <w:noProof/>
          </w:rPr>
          <w:t>期末基金管理人的从业人员持有本基金的情况</w:t>
        </w:r>
        <w:r w:rsidR="00FA30D0">
          <w:rPr>
            <w:noProof/>
            <w:webHidden/>
          </w:rPr>
          <w:tab/>
        </w:r>
        <w:r w:rsidR="00FA30D0">
          <w:rPr>
            <w:noProof/>
            <w:webHidden/>
          </w:rPr>
          <w:fldChar w:fldCharType="begin"/>
        </w:r>
        <w:r w:rsidR="00FA30D0">
          <w:rPr>
            <w:noProof/>
            <w:webHidden/>
          </w:rPr>
          <w:instrText xml:space="preserve"> PAGEREF _Toc4153602 \h </w:instrText>
        </w:r>
        <w:r w:rsidR="00FA30D0">
          <w:rPr>
            <w:noProof/>
            <w:webHidden/>
          </w:rPr>
        </w:r>
        <w:r w:rsidR="00FA30D0">
          <w:rPr>
            <w:noProof/>
            <w:webHidden/>
          </w:rPr>
          <w:fldChar w:fldCharType="separate"/>
        </w:r>
        <w:r w:rsidR="00FA30D0">
          <w:rPr>
            <w:noProof/>
            <w:webHidden/>
          </w:rPr>
          <w:t>53</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03" w:history="1">
        <w:r w:rsidR="00FA30D0" w:rsidRPr="0039148A">
          <w:rPr>
            <w:rStyle w:val="a9"/>
            <w:noProof/>
          </w:rPr>
          <w:t>9.3</w:t>
        </w:r>
        <w:r w:rsidR="00FA30D0" w:rsidRPr="0039148A">
          <w:rPr>
            <w:rStyle w:val="a9"/>
            <w:rFonts w:hint="eastAsia"/>
            <w:noProof/>
          </w:rPr>
          <w:t>期末基金管理人的从业人员持有本开放式基金份额总量区间的情况</w:t>
        </w:r>
        <w:r w:rsidR="00FA30D0">
          <w:rPr>
            <w:noProof/>
            <w:webHidden/>
          </w:rPr>
          <w:tab/>
        </w:r>
        <w:r w:rsidR="00FA30D0">
          <w:rPr>
            <w:noProof/>
            <w:webHidden/>
          </w:rPr>
          <w:fldChar w:fldCharType="begin"/>
        </w:r>
        <w:r w:rsidR="00FA30D0">
          <w:rPr>
            <w:noProof/>
            <w:webHidden/>
          </w:rPr>
          <w:instrText xml:space="preserve"> PAGEREF _Toc4153603 \h </w:instrText>
        </w:r>
        <w:r w:rsidR="00FA30D0">
          <w:rPr>
            <w:noProof/>
            <w:webHidden/>
          </w:rPr>
        </w:r>
        <w:r w:rsidR="00FA30D0">
          <w:rPr>
            <w:noProof/>
            <w:webHidden/>
          </w:rPr>
          <w:fldChar w:fldCharType="separate"/>
        </w:r>
        <w:r w:rsidR="00FA30D0">
          <w:rPr>
            <w:noProof/>
            <w:webHidden/>
          </w:rPr>
          <w:t>53</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604" w:history="1">
        <w:r w:rsidR="00FA30D0" w:rsidRPr="0039148A">
          <w:rPr>
            <w:rStyle w:val="a9"/>
            <w:b/>
            <w:bCs/>
            <w:noProof/>
          </w:rPr>
          <w:t>§10</w:t>
        </w:r>
        <w:r w:rsidR="00FA30D0" w:rsidRPr="0039148A">
          <w:rPr>
            <w:rStyle w:val="a9"/>
            <w:rFonts w:hint="eastAsia"/>
            <w:b/>
            <w:bCs/>
            <w:noProof/>
          </w:rPr>
          <w:t>开放式基金份额变动</w:t>
        </w:r>
        <w:r w:rsidR="00FA30D0">
          <w:rPr>
            <w:noProof/>
            <w:webHidden/>
          </w:rPr>
          <w:tab/>
        </w:r>
        <w:r w:rsidR="00FA30D0">
          <w:rPr>
            <w:noProof/>
            <w:webHidden/>
          </w:rPr>
          <w:fldChar w:fldCharType="begin"/>
        </w:r>
        <w:r w:rsidR="00FA30D0">
          <w:rPr>
            <w:noProof/>
            <w:webHidden/>
          </w:rPr>
          <w:instrText xml:space="preserve"> PAGEREF _Toc4153604 \h </w:instrText>
        </w:r>
        <w:r w:rsidR="00FA30D0">
          <w:rPr>
            <w:noProof/>
            <w:webHidden/>
          </w:rPr>
        </w:r>
        <w:r w:rsidR="00FA30D0">
          <w:rPr>
            <w:noProof/>
            <w:webHidden/>
          </w:rPr>
          <w:fldChar w:fldCharType="separate"/>
        </w:r>
        <w:r w:rsidR="00FA30D0">
          <w:rPr>
            <w:noProof/>
            <w:webHidden/>
          </w:rPr>
          <w:t>53</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605" w:history="1">
        <w:r w:rsidR="00FA30D0" w:rsidRPr="0039148A">
          <w:rPr>
            <w:rStyle w:val="a9"/>
            <w:b/>
            <w:bCs/>
            <w:noProof/>
          </w:rPr>
          <w:t>§11</w:t>
        </w:r>
        <w:r w:rsidR="00FA30D0" w:rsidRPr="0039148A">
          <w:rPr>
            <w:rStyle w:val="a9"/>
            <w:rFonts w:hint="eastAsia"/>
            <w:b/>
            <w:bCs/>
            <w:noProof/>
          </w:rPr>
          <w:t>重大事件揭示</w:t>
        </w:r>
        <w:r w:rsidR="00FA30D0">
          <w:rPr>
            <w:noProof/>
            <w:webHidden/>
          </w:rPr>
          <w:tab/>
        </w:r>
        <w:r w:rsidR="00FA30D0">
          <w:rPr>
            <w:noProof/>
            <w:webHidden/>
          </w:rPr>
          <w:fldChar w:fldCharType="begin"/>
        </w:r>
        <w:r w:rsidR="00FA30D0">
          <w:rPr>
            <w:noProof/>
            <w:webHidden/>
          </w:rPr>
          <w:instrText xml:space="preserve"> PAGEREF _Toc4153605 \h </w:instrText>
        </w:r>
        <w:r w:rsidR="00FA30D0">
          <w:rPr>
            <w:noProof/>
            <w:webHidden/>
          </w:rPr>
        </w:r>
        <w:r w:rsidR="00FA30D0">
          <w:rPr>
            <w:noProof/>
            <w:webHidden/>
          </w:rPr>
          <w:fldChar w:fldCharType="separate"/>
        </w:r>
        <w:r w:rsidR="00FA30D0">
          <w:rPr>
            <w:noProof/>
            <w:webHidden/>
          </w:rPr>
          <w:t>53</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06" w:history="1">
        <w:r w:rsidR="00FA30D0" w:rsidRPr="0039148A">
          <w:rPr>
            <w:rStyle w:val="a9"/>
            <w:noProof/>
          </w:rPr>
          <w:t>11.1</w:t>
        </w:r>
        <w:r w:rsidR="00FA30D0" w:rsidRPr="0039148A">
          <w:rPr>
            <w:rStyle w:val="a9"/>
            <w:rFonts w:hint="eastAsia"/>
            <w:noProof/>
          </w:rPr>
          <w:t>基金份额持有人大会决议</w:t>
        </w:r>
        <w:r w:rsidR="00FA30D0">
          <w:rPr>
            <w:noProof/>
            <w:webHidden/>
          </w:rPr>
          <w:tab/>
        </w:r>
        <w:r w:rsidR="00FA30D0">
          <w:rPr>
            <w:noProof/>
            <w:webHidden/>
          </w:rPr>
          <w:fldChar w:fldCharType="begin"/>
        </w:r>
        <w:r w:rsidR="00FA30D0">
          <w:rPr>
            <w:noProof/>
            <w:webHidden/>
          </w:rPr>
          <w:instrText xml:space="preserve"> PAGEREF _Toc4153606 \h </w:instrText>
        </w:r>
        <w:r w:rsidR="00FA30D0">
          <w:rPr>
            <w:noProof/>
            <w:webHidden/>
          </w:rPr>
        </w:r>
        <w:r w:rsidR="00FA30D0">
          <w:rPr>
            <w:noProof/>
            <w:webHidden/>
          </w:rPr>
          <w:fldChar w:fldCharType="separate"/>
        </w:r>
        <w:r w:rsidR="00FA30D0">
          <w:rPr>
            <w:noProof/>
            <w:webHidden/>
          </w:rPr>
          <w:t>53</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07" w:history="1">
        <w:r w:rsidR="00FA30D0" w:rsidRPr="0039148A">
          <w:rPr>
            <w:rStyle w:val="a9"/>
            <w:noProof/>
          </w:rPr>
          <w:t xml:space="preserve">11.2 </w:t>
        </w:r>
        <w:r w:rsidR="00FA30D0" w:rsidRPr="0039148A">
          <w:rPr>
            <w:rStyle w:val="a9"/>
            <w:rFonts w:hint="eastAsia"/>
            <w:noProof/>
          </w:rPr>
          <w:t>基金管理人、基金托管人的专门基金托管部门的重大人事变动</w:t>
        </w:r>
        <w:r w:rsidR="00FA30D0">
          <w:rPr>
            <w:noProof/>
            <w:webHidden/>
          </w:rPr>
          <w:tab/>
        </w:r>
        <w:r w:rsidR="00FA30D0">
          <w:rPr>
            <w:noProof/>
            <w:webHidden/>
          </w:rPr>
          <w:fldChar w:fldCharType="begin"/>
        </w:r>
        <w:r w:rsidR="00FA30D0">
          <w:rPr>
            <w:noProof/>
            <w:webHidden/>
          </w:rPr>
          <w:instrText xml:space="preserve"> PAGEREF _Toc4153607 \h </w:instrText>
        </w:r>
        <w:r w:rsidR="00FA30D0">
          <w:rPr>
            <w:noProof/>
            <w:webHidden/>
          </w:rPr>
        </w:r>
        <w:r w:rsidR="00FA30D0">
          <w:rPr>
            <w:noProof/>
            <w:webHidden/>
          </w:rPr>
          <w:fldChar w:fldCharType="separate"/>
        </w:r>
        <w:r w:rsidR="00FA30D0">
          <w:rPr>
            <w:noProof/>
            <w:webHidden/>
          </w:rPr>
          <w:t>53</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08" w:history="1">
        <w:r w:rsidR="00FA30D0" w:rsidRPr="0039148A">
          <w:rPr>
            <w:rStyle w:val="a9"/>
            <w:noProof/>
          </w:rPr>
          <w:t xml:space="preserve">11.3 </w:t>
        </w:r>
        <w:r w:rsidR="00FA30D0" w:rsidRPr="0039148A">
          <w:rPr>
            <w:rStyle w:val="a9"/>
            <w:rFonts w:hint="eastAsia"/>
            <w:noProof/>
          </w:rPr>
          <w:t>涉及基金管理人、基金财产、基金托管业务的诉讼</w:t>
        </w:r>
        <w:r w:rsidR="00FA30D0">
          <w:rPr>
            <w:noProof/>
            <w:webHidden/>
          </w:rPr>
          <w:tab/>
        </w:r>
        <w:r w:rsidR="00FA30D0">
          <w:rPr>
            <w:noProof/>
            <w:webHidden/>
          </w:rPr>
          <w:fldChar w:fldCharType="begin"/>
        </w:r>
        <w:r w:rsidR="00FA30D0">
          <w:rPr>
            <w:noProof/>
            <w:webHidden/>
          </w:rPr>
          <w:instrText xml:space="preserve"> PAGEREF _Toc4153608 \h </w:instrText>
        </w:r>
        <w:r w:rsidR="00FA30D0">
          <w:rPr>
            <w:noProof/>
            <w:webHidden/>
          </w:rPr>
        </w:r>
        <w:r w:rsidR="00FA30D0">
          <w:rPr>
            <w:noProof/>
            <w:webHidden/>
          </w:rPr>
          <w:fldChar w:fldCharType="separate"/>
        </w:r>
        <w:r w:rsidR="00FA30D0">
          <w:rPr>
            <w:noProof/>
            <w:webHidden/>
          </w:rPr>
          <w:t>54</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09" w:history="1">
        <w:r w:rsidR="00FA30D0" w:rsidRPr="0039148A">
          <w:rPr>
            <w:rStyle w:val="a9"/>
            <w:noProof/>
          </w:rPr>
          <w:t xml:space="preserve">11.4 </w:t>
        </w:r>
        <w:r w:rsidR="00FA30D0" w:rsidRPr="0039148A">
          <w:rPr>
            <w:rStyle w:val="a9"/>
            <w:rFonts w:hint="eastAsia"/>
            <w:noProof/>
          </w:rPr>
          <w:t>基金投资策略的改变</w:t>
        </w:r>
        <w:r w:rsidR="00FA30D0">
          <w:rPr>
            <w:noProof/>
            <w:webHidden/>
          </w:rPr>
          <w:tab/>
        </w:r>
        <w:r w:rsidR="00FA30D0">
          <w:rPr>
            <w:noProof/>
            <w:webHidden/>
          </w:rPr>
          <w:fldChar w:fldCharType="begin"/>
        </w:r>
        <w:r w:rsidR="00FA30D0">
          <w:rPr>
            <w:noProof/>
            <w:webHidden/>
          </w:rPr>
          <w:instrText xml:space="preserve"> PAGEREF _Toc4153609 \h </w:instrText>
        </w:r>
        <w:r w:rsidR="00FA30D0">
          <w:rPr>
            <w:noProof/>
            <w:webHidden/>
          </w:rPr>
        </w:r>
        <w:r w:rsidR="00FA30D0">
          <w:rPr>
            <w:noProof/>
            <w:webHidden/>
          </w:rPr>
          <w:fldChar w:fldCharType="separate"/>
        </w:r>
        <w:r w:rsidR="00FA30D0">
          <w:rPr>
            <w:noProof/>
            <w:webHidden/>
          </w:rPr>
          <w:t>54</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10" w:history="1">
        <w:r w:rsidR="00FA30D0" w:rsidRPr="0039148A">
          <w:rPr>
            <w:rStyle w:val="a9"/>
            <w:noProof/>
          </w:rPr>
          <w:t xml:space="preserve">11.5 </w:t>
        </w:r>
        <w:r w:rsidR="00FA30D0" w:rsidRPr="0039148A">
          <w:rPr>
            <w:rStyle w:val="a9"/>
            <w:rFonts w:hint="eastAsia"/>
            <w:noProof/>
          </w:rPr>
          <w:t>本报告期持有的基金发生的重大影响事件</w:t>
        </w:r>
        <w:r w:rsidR="00FA30D0">
          <w:rPr>
            <w:noProof/>
            <w:webHidden/>
          </w:rPr>
          <w:tab/>
        </w:r>
        <w:r w:rsidR="00FA30D0">
          <w:rPr>
            <w:noProof/>
            <w:webHidden/>
          </w:rPr>
          <w:fldChar w:fldCharType="begin"/>
        </w:r>
        <w:r w:rsidR="00FA30D0">
          <w:rPr>
            <w:noProof/>
            <w:webHidden/>
          </w:rPr>
          <w:instrText xml:space="preserve"> PAGEREF _Toc4153610 \h </w:instrText>
        </w:r>
        <w:r w:rsidR="00FA30D0">
          <w:rPr>
            <w:noProof/>
            <w:webHidden/>
          </w:rPr>
        </w:r>
        <w:r w:rsidR="00FA30D0">
          <w:rPr>
            <w:noProof/>
            <w:webHidden/>
          </w:rPr>
          <w:fldChar w:fldCharType="separate"/>
        </w:r>
        <w:r w:rsidR="00FA30D0">
          <w:rPr>
            <w:noProof/>
            <w:webHidden/>
          </w:rPr>
          <w:t>54</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11" w:history="1">
        <w:r w:rsidR="00FA30D0" w:rsidRPr="0039148A">
          <w:rPr>
            <w:rStyle w:val="a9"/>
            <w:noProof/>
          </w:rPr>
          <w:t>11.6</w:t>
        </w:r>
        <w:r w:rsidR="00FA30D0" w:rsidRPr="0039148A">
          <w:rPr>
            <w:rStyle w:val="a9"/>
            <w:rFonts w:hint="eastAsia"/>
            <w:noProof/>
          </w:rPr>
          <w:t>为基金进行审计的会计师事务所情况</w:t>
        </w:r>
        <w:r w:rsidR="00FA30D0">
          <w:rPr>
            <w:noProof/>
            <w:webHidden/>
          </w:rPr>
          <w:tab/>
        </w:r>
        <w:r w:rsidR="00FA30D0">
          <w:rPr>
            <w:noProof/>
            <w:webHidden/>
          </w:rPr>
          <w:fldChar w:fldCharType="begin"/>
        </w:r>
        <w:r w:rsidR="00FA30D0">
          <w:rPr>
            <w:noProof/>
            <w:webHidden/>
          </w:rPr>
          <w:instrText xml:space="preserve"> PAGEREF _Toc4153611 \h </w:instrText>
        </w:r>
        <w:r w:rsidR="00FA30D0">
          <w:rPr>
            <w:noProof/>
            <w:webHidden/>
          </w:rPr>
        </w:r>
        <w:r w:rsidR="00FA30D0">
          <w:rPr>
            <w:noProof/>
            <w:webHidden/>
          </w:rPr>
          <w:fldChar w:fldCharType="separate"/>
        </w:r>
        <w:r w:rsidR="00FA30D0">
          <w:rPr>
            <w:noProof/>
            <w:webHidden/>
          </w:rPr>
          <w:t>54</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12" w:history="1">
        <w:r w:rsidR="00FA30D0" w:rsidRPr="0039148A">
          <w:rPr>
            <w:rStyle w:val="a9"/>
            <w:noProof/>
          </w:rPr>
          <w:t xml:space="preserve">11.7 </w:t>
        </w:r>
        <w:r w:rsidR="00FA30D0" w:rsidRPr="0039148A">
          <w:rPr>
            <w:rStyle w:val="a9"/>
            <w:rFonts w:hint="eastAsia"/>
            <w:noProof/>
          </w:rPr>
          <w:t>管理人、托管人及其高级管理人员受稽查或处罚等情况</w:t>
        </w:r>
        <w:r w:rsidR="00FA30D0">
          <w:rPr>
            <w:noProof/>
            <w:webHidden/>
          </w:rPr>
          <w:tab/>
        </w:r>
        <w:r w:rsidR="00FA30D0">
          <w:rPr>
            <w:noProof/>
            <w:webHidden/>
          </w:rPr>
          <w:fldChar w:fldCharType="begin"/>
        </w:r>
        <w:r w:rsidR="00FA30D0">
          <w:rPr>
            <w:noProof/>
            <w:webHidden/>
          </w:rPr>
          <w:instrText xml:space="preserve"> PAGEREF _Toc4153612 \h </w:instrText>
        </w:r>
        <w:r w:rsidR="00FA30D0">
          <w:rPr>
            <w:noProof/>
            <w:webHidden/>
          </w:rPr>
        </w:r>
        <w:r w:rsidR="00FA30D0">
          <w:rPr>
            <w:noProof/>
            <w:webHidden/>
          </w:rPr>
          <w:fldChar w:fldCharType="separate"/>
        </w:r>
        <w:r w:rsidR="00FA30D0">
          <w:rPr>
            <w:noProof/>
            <w:webHidden/>
          </w:rPr>
          <w:t>54</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13" w:history="1">
        <w:r w:rsidR="00FA30D0" w:rsidRPr="0039148A">
          <w:rPr>
            <w:rStyle w:val="a9"/>
            <w:noProof/>
          </w:rPr>
          <w:t xml:space="preserve">11.8 </w:t>
        </w:r>
        <w:r w:rsidR="00FA30D0" w:rsidRPr="0039148A">
          <w:rPr>
            <w:rStyle w:val="a9"/>
            <w:rFonts w:hint="eastAsia"/>
            <w:noProof/>
          </w:rPr>
          <w:t>基金租用证券公司交易单元的有关情况</w:t>
        </w:r>
        <w:r w:rsidR="00FA30D0">
          <w:rPr>
            <w:noProof/>
            <w:webHidden/>
          </w:rPr>
          <w:tab/>
        </w:r>
        <w:r w:rsidR="00FA30D0">
          <w:rPr>
            <w:noProof/>
            <w:webHidden/>
          </w:rPr>
          <w:fldChar w:fldCharType="begin"/>
        </w:r>
        <w:r w:rsidR="00FA30D0">
          <w:rPr>
            <w:noProof/>
            <w:webHidden/>
          </w:rPr>
          <w:instrText xml:space="preserve"> PAGEREF _Toc4153613 \h </w:instrText>
        </w:r>
        <w:r w:rsidR="00FA30D0">
          <w:rPr>
            <w:noProof/>
            <w:webHidden/>
          </w:rPr>
        </w:r>
        <w:r w:rsidR="00FA30D0">
          <w:rPr>
            <w:noProof/>
            <w:webHidden/>
          </w:rPr>
          <w:fldChar w:fldCharType="separate"/>
        </w:r>
        <w:r w:rsidR="00FA30D0">
          <w:rPr>
            <w:noProof/>
            <w:webHidden/>
          </w:rPr>
          <w:t>54</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14" w:history="1">
        <w:r w:rsidR="00FA30D0" w:rsidRPr="0039148A">
          <w:rPr>
            <w:rStyle w:val="a9"/>
            <w:noProof/>
          </w:rPr>
          <w:t>11.9</w:t>
        </w:r>
        <w:r w:rsidR="00FA30D0" w:rsidRPr="0039148A">
          <w:rPr>
            <w:rStyle w:val="a9"/>
            <w:rFonts w:hint="eastAsia"/>
            <w:noProof/>
          </w:rPr>
          <w:t>其他重大事件</w:t>
        </w:r>
        <w:r w:rsidR="00FA30D0">
          <w:rPr>
            <w:noProof/>
            <w:webHidden/>
          </w:rPr>
          <w:tab/>
        </w:r>
        <w:r w:rsidR="00FA30D0">
          <w:rPr>
            <w:noProof/>
            <w:webHidden/>
          </w:rPr>
          <w:fldChar w:fldCharType="begin"/>
        </w:r>
        <w:r w:rsidR="00FA30D0">
          <w:rPr>
            <w:noProof/>
            <w:webHidden/>
          </w:rPr>
          <w:instrText xml:space="preserve"> PAGEREF _Toc4153614 \h </w:instrText>
        </w:r>
        <w:r w:rsidR="00FA30D0">
          <w:rPr>
            <w:noProof/>
            <w:webHidden/>
          </w:rPr>
        </w:r>
        <w:r w:rsidR="00FA30D0">
          <w:rPr>
            <w:noProof/>
            <w:webHidden/>
          </w:rPr>
          <w:fldChar w:fldCharType="separate"/>
        </w:r>
        <w:r w:rsidR="00FA30D0">
          <w:rPr>
            <w:noProof/>
            <w:webHidden/>
          </w:rPr>
          <w:t>55</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615" w:history="1">
        <w:r w:rsidR="00FA30D0" w:rsidRPr="0039148A">
          <w:rPr>
            <w:rStyle w:val="a9"/>
            <w:b/>
            <w:bCs/>
            <w:noProof/>
          </w:rPr>
          <w:t xml:space="preserve">12  </w:t>
        </w:r>
        <w:r w:rsidR="00FA30D0" w:rsidRPr="0039148A">
          <w:rPr>
            <w:rStyle w:val="a9"/>
            <w:rFonts w:hint="eastAsia"/>
            <w:b/>
            <w:bCs/>
            <w:noProof/>
          </w:rPr>
          <w:t>影响投资者决策的其他重要信息</w:t>
        </w:r>
        <w:r w:rsidR="00FA30D0">
          <w:rPr>
            <w:noProof/>
            <w:webHidden/>
          </w:rPr>
          <w:tab/>
        </w:r>
        <w:r w:rsidR="00FA30D0">
          <w:rPr>
            <w:noProof/>
            <w:webHidden/>
          </w:rPr>
          <w:fldChar w:fldCharType="begin"/>
        </w:r>
        <w:r w:rsidR="00FA30D0">
          <w:rPr>
            <w:noProof/>
            <w:webHidden/>
          </w:rPr>
          <w:instrText xml:space="preserve"> PAGEREF _Toc4153615 \h </w:instrText>
        </w:r>
        <w:r w:rsidR="00FA30D0">
          <w:rPr>
            <w:noProof/>
            <w:webHidden/>
          </w:rPr>
        </w:r>
        <w:r w:rsidR="00FA30D0">
          <w:rPr>
            <w:noProof/>
            <w:webHidden/>
          </w:rPr>
          <w:fldChar w:fldCharType="separate"/>
        </w:r>
        <w:r w:rsidR="00FA30D0">
          <w:rPr>
            <w:noProof/>
            <w:webHidden/>
          </w:rPr>
          <w:t>57</w:t>
        </w:r>
        <w:r w:rsidR="00FA30D0">
          <w:rPr>
            <w:noProof/>
            <w:webHidden/>
          </w:rPr>
          <w:fldChar w:fldCharType="end"/>
        </w:r>
      </w:hyperlink>
    </w:p>
    <w:p w:rsidR="00FA30D0" w:rsidRDefault="00786873">
      <w:pPr>
        <w:pStyle w:val="11"/>
        <w:rPr>
          <w:rFonts w:asciiTheme="minorHAnsi" w:eastAsiaTheme="minorEastAsia" w:hAnsiTheme="minorHAnsi" w:cstheme="minorBidi"/>
          <w:noProof/>
          <w:szCs w:val="22"/>
        </w:rPr>
      </w:pPr>
      <w:hyperlink w:anchor="_Toc4153616" w:history="1">
        <w:r w:rsidR="00FA30D0" w:rsidRPr="0039148A">
          <w:rPr>
            <w:rStyle w:val="a9"/>
            <w:b/>
            <w:bCs/>
            <w:noProof/>
          </w:rPr>
          <w:t>§13</w:t>
        </w:r>
        <w:r w:rsidR="00FA30D0" w:rsidRPr="0039148A">
          <w:rPr>
            <w:rStyle w:val="a9"/>
            <w:rFonts w:hint="eastAsia"/>
            <w:b/>
            <w:bCs/>
            <w:noProof/>
          </w:rPr>
          <w:t>备查文件目录</w:t>
        </w:r>
        <w:r w:rsidR="00FA30D0">
          <w:rPr>
            <w:noProof/>
            <w:webHidden/>
          </w:rPr>
          <w:tab/>
        </w:r>
        <w:r w:rsidR="00FA30D0">
          <w:rPr>
            <w:noProof/>
            <w:webHidden/>
          </w:rPr>
          <w:fldChar w:fldCharType="begin"/>
        </w:r>
        <w:r w:rsidR="00FA30D0">
          <w:rPr>
            <w:noProof/>
            <w:webHidden/>
          </w:rPr>
          <w:instrText xml:space="preserve"> PAGEREF _Toc4153616 \h </w:instrText>
        </w:r>
        <w:r w:rsidR="00FA30D0">
          <w:rPr>
            <w:noProof/>
            <w:webHidden/>
          </w:rPr>
        </w:r>
        <w:r w:rsidR="00FA30D0">
          <w:rPr>
            <w:noProof/>
            <w:webHidden/>
          </w:rPr>
          <w:fldChar w:fldCharType="separate"/>
        </w:r>
        <w:r w:rsidR="00FA30D0">
          <w:rPr>
            <w:noProof/>
            <w:webHidden/>
          </w:rPr>
          <w:t>58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17" w:history="1">
        <w:r w:rsidR="00FA30D0" w:rsidRPr="0039148A">
          <w:rPr>
            <w:rStyle w:val="a9"/>
            <w:noProof/>
          </w:rPr>
          <w:t xml:space="preserve">13.1 </w:t>
        </w:r>
        <w:r w:rsidR="00FA30D0" w:rsidRPr="0039148A">
          <w:rPr>
            <w:rStyle w:val="a9"/>
            <w:rFonts w:hint="eastAsia"/>
            <w:noProof/>
          </w:rPr>
          <w:t>备查文件目录</w:t>
        </w:r>
        <w:r w:rsidR="00FA30D0">
          <w:rPr>
            <w:noProof/>
            <w:webHidden/>
          </w:rPr>
          <w:tab/>
        </w:r>
        <w:r w:rsidR="00FA30D0">
          <w:rPr>
            <w:noProof/>
            <w:webHidden/>
          </w:rPr>
          <w:fldChar w:fldCharType="begin"/>
        </w:r>
        <w:r w:rsidR="00FA30D0">
          <w:rPr>
            <w:noProof/>
            <w:webHidden/>
          </w:rPr>
          <w:instrText xml:space="preserve"> PAGEREF _Toc4153617 \h </w:instrText>
        </w:r>
        <w:r w:rsidR="00FA30D0">
          <w:rPr>
            <w:noProof/>
            <w:webHidden/>
          </w:rPr>
        </w:r>
        <w:r w:rsidR="00FA30D0">
          <w:rPr>
            <w:noProof/>
            <w:webHidden/>
          </w:rPr>
          <w:fldChar w:fldCharType="separate"/>
        </w:r>
        <w:r w:rsidR="00FA30D0">
          <w:rPr>
            <w:noProof/>
            <w:webHidden/>
          </w:rPr>
          <w:t>58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18" w:history="1">
        <w:r w:rsidR="00FA30D0" w:rsidRPr="0039148A">
          <w:rPr>
            <w:rStyle w:val="a9"/>
            <w:noProof/>
          </w:rPr>
          <w:t>13.2</w:t>
        </w:r>
        <w:r w:rsidR="00FA30D0" w:rsidRPr="0039148A">
          <w:rPr>
            <w:rStyle w:val="a9"/>
            <w:rFonts w:hint="eastAsia"/>
            <w:noProof/>
          </w:rPr>
          <w:t>存放地点</w:t>
        </w:r>
        <w:r w:rsidR="00FA30D0">
          <w:rPr>
            <w:noProof/>
            <w:webHidden/>
          </w:rPr>
          <w:tab/>
        </w:r>
        <w:r w:rsidR="00FA30D0">
          <w:rPr>
            <w:noProof/>
            <w:webHidden/>
          </w:rPr>
          <w:fldChar w:fldCharType="begin"/>
        </w:r>
        <w:r w:rsidR="00FA30D0">
          <w:rPr>
            <w:noProof/>
            <w:webHidden/>
          </w:rPr>
          <w:instrText xml:space="preserve"> PAGEREF _Toc4153618 \h </w:instrText>
        </w:r>
        <w:r w:rsidR="00FA30D0">
          <w:rPr>
            <w:noProof/>
            <w:webHidden/>
          </w:rPr>
        </w:r>
        <w:r w:rsidR="00FA30D0">
          <w:rPr>
            <w:noProof/>
            <w:webHidden/>
          </w:rPr>
          <w:fldChar w:fldCharType="separate"/>
        </w:r>
        <w:r w:rsidR="00FA30D0">
          <w:rPr>
            <w:noProof/>
            <w:webHidden/>
          </w:rPr>
          <w:t>58</w:t>
        </w:r>
        <w:r w:rsidR="00FA30D0">
          <w:rPr>
            <w:noProof/>
            <w:webHidden/>
          </w:rPr>
          <w:fldChar w:fldCharType="end"/>
        </w:r>
      </w:hyperlink>
    </w:p>
    <w:p w:rsidR="00FA30D0" w:rsidRDefault="00786873">
      <w:pPr>
        <w:pStyle w:val="22"/>
        <w:rPr>
          <w:rFonts w:asciiTheme="minorHAnsi" w:eastAsiaTheme="minorEastAsia" w:hAnsiTheme="minorHAnsi" w:cstheme="minorBidi"/>
          <w:noProof/>
          <w:kern w:val="2"/>
          <w:szCs w:val="22"/>
        </w:rPr>
      </w:pPr>
      <w:hyperlink w:anchor="_Toc4153619" w:history="1">
        <w:r w:rsidR="00FA30D0" w:rsidRPr="0039148A">
          <w:rPr>
            <w:rStyle w:val="a9"/>
            <w:noProof/>
          </w:rPr>
          <w:t>13.3</w:t>
        </w:r>
        <w:r w:rsidR="00FA30D0" w:rsidRPr="0039148A">
          <w:rPr>
            <w:rStyle w:val="a9"/>
            <w:rFonts w:hint="eastAsia"/>
            <w:noProof/>
          </w:rPr>
          <w:t>查阅方式</w:t>
        </w:r>
        <w:r w:rsidR="00FA30D0">
          <w:rPr>
            <w:noProof/>
            <w:webHidden/>
          </w:rPr>
          <w:tab/>
        </w:r>
        <w:r w:rsidR="00FA30D0">
          <w:rPr>
            <w:noProof/>
            <w:webHidden/>
          </w:rPr>
          <w:fldChar w:fldCharType="begin"/>
        </w:r>
        <w:r w:rsidR="00FA30D0">
          <w:rPr>
            <w:noProof/>
            <w:webHidden/>
          </w:rPr>
          <w:instrText xml:space="preserve"> PAGEREF _Toc4153619 \h </w:instrText>
        </w:r>
        <w:r w:rsidR="00FA30D0">
          <w:rPr>
            <w:noProof/>
            <w:webHidden/>
          </w:rPr>
        </w:r>
        <w:r w:rsidR="00FA30D0">
          <w:rPr>
            <w:noProof/>
            <w:webHidden/>
          </w:rPr>
          <w:fldChar w:fldCharType="separate"/>
        </w:r>
        <w:r w:rsidR="00FA30D0">
          <w:rPr>
            <w:noProof/>
            <w:webHidden/>
          </w:rPr>
          <w:t>58</w:t>
        </w:r>
        <w:r w:rsidR="00FA30D0">
          <w:rPr>
            <w:noProof/>
            <w:webHidden/>
          </w:rPr>
          <w:fldChar w:fldCharType="end"/>
        </w:r>
      </w:hyperlink>
    </w:p>
    <w:p w:rsidR="001A59F9" w:rsidRPr="005B4332" w:rsidRDefault="00E8694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6A7711">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346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346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交银施罗德荣鑫保本混合型证券投资基金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交银荣鑫保本混合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519766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519766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3</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中国民生银行股份有限公司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563,077,746.71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190DA1" w:rsidRDefault="001A59F9" w:rsidP="00190DA1">
      <w:pPr>
        <w:pStyle w:val="20"/>
        <w:spacing w:before="29" w:after="0" w:line="288" w:lineRule="auto"/>
        <w:rPr>
          <w:rFonts w:ascii="Times New Roman" w:hAnsi="Times New Roman"/>
          <w:kern w:val="0"/>
          <w:szCs w:val="24"/>
        </w:rPr>
      </w:pPr>
      <w:bookmarkStart w:id="14" w:name="_Toc361324846"/>
      <w:bookmarkStart w:id="15" w:name="_Toc4153469"/>
      <w:r w:rsidRPr="00190DA1">
        <w:rPr>
          <w:rFonts w:ascii="Times New Roman" w:hAnsi="Times New Roman"/>
          <w:kern w:val="0"/>
          <w:szCs w:val="24"/>
        </w:rPr>
        <w:t xml:space="preserve">2.2 </w:t>
      </w:r>
      <w:r w:rsidRPr="00190DA1">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本基金通过运用投资组合保险技术，有效控制本金损失的风险，在追求保本周期到期时本金安全的基础上，力争实现基金资产的稳定增值。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）原理，动态调整固定收益类资产与权益类资产在基金组合中的投资比例，以确保本基金在保本周期到期时的本金安全，并实现基金资产在保本基础上的保值增值目的。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本基金是一只保本混合型基金，在证券投资基金中属于低风险品种。其风险和预期收益低于股票型基金和非保本的混合型基金，高于货币市场基金和债券型基金。</w:t>
            </w:r>
          </w:p>
        </w:tc>
      </w:tr>
    </w:tbl>
    <w:p w:rsidR="00D91A7E" w:rsidRPr="00EF1D48" w:rsidRDefault="00D91A7E" w:rsidP="00EF1D48">
      <w:pPr>
        <w:tabs>
          <w:tab w:val="left" w:pos="426"/>
        </w:tabs>
        <w:spacing w:before="29" w:line="288" w:lineRule="auto"/>
        <w:jc w:val="left"/>
        <w:rPr>
          <w:kern w:val="0"/>
          <w:sz w:val="24"/>
        </w:rPr>
      </w:pPr>
    </w:p>
    <w:p w:rsidR="001A59F9" w:rsidRPr="00190DA1" w:rsidRDefault="001A59F9" w:rsidP="00190DA1">
      <w:pPr>
        <w:pStyle w:val="20"/>
        <w:spacing w:before="29" w:after="0" w:line="288" w:lineRule="auto"/>
        <w:rPr>
          <w:rFonts w:ascii="Times New Roman" w:hAnsi="Times New Roman"/>
          <w:kern w:val="0"/>
          <w:szCs w:val="24"/>
        </w:rPr>
      </w:pPr>
      <w:bookmarkStart w:id="16" w:name="_Toc225498247"/>
      <w:bookmarkStart w:id="17" w:name="_Toc361324847"/>
      <w:bookmarkStart w:id="18" w:name="_Toc4153470"/>
      <w:r w:rsidRPr="00190DA1">
        <w:rPr>
          <w:rFonts w:ascii="Times New Roman" w:hAnsi="Times New Roman"/>
          <w:kern w:val="0"/>
          <w:szCs w:val="24"/>
        </w:rPr>
        <w:t xml:space="preserve">2.3 </w:t>
      </w:r>
      <w:r w:rsidRPr="00190DA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中国民生银行股份有限公司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罗菲菲</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010-58560666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tgbfxjdzx@cmbc.com.cn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95568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010-58560798</w:t>
            </w:r>
          </w:p>
        </w:tc>
      </w:tr>
      <w:tr w:rsidR="0039032C" w:rsidRPr="0091212A" w:rsidTr="00BE3EBF">
        <w:tc>
          <w:tcPr>
            <w:tcW w:w="2552" w:type="dxa"/>
            <w:gridSpan w:val="2"/>
            <w:vAlign w:val="center"/>
          </w:tcPr>
          <w:p w:rsidR="0039032C" w:rsidRPr="002A7419" w:rsidRDefault="0039032C" w:rsidP="0039032C">
            <w:pPr>
              <w:spacing w:before="29" w:line="288" w:lineRule="auto"/>
              <w:rPr>
                <w:sz w:val="24"/>
              </w:rPr>
            </w:pPr>
            <w:r w:rsidRPr="002A7419">
              <w:rPr>
                <w:rFonts w:hint="eastAsia"/>
                <w:sz w:val="24"/>
              </w:rPr>
              <w:t>注册地址</w:t>
            </w:r>
          </w:p>
        </w:tc>
        <w:tc>
          <w:tcPr>
            <w:tcW w:w="3118" w:type="dxa"/>
            <w:vAlign w:val="center"/>
          </w:tcPr>
          <w:p w:rsidR="0039032C" w:rsidRDefault="0039032C" w:rsidP="0039032C">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39032C" w:rsidRPr="002A7419" w:rsidRDefault="0039032C" w:rsidP="0039032C">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39032C" w:rsidRPr="0091212A" w:rsidTr="00BE3EBF">
        <w:tc>
          <w:tcPr>
            <w:tcW w:w="2552" w:type="dxa"/>
            <w:gridSpan w:val="2"/>
            <w:vAlign w:val="center"/>
          </w:tcPr>
          <w:p w:rsidR="0039032C" w:rsidRPr="002A7419" w:rsidRDefault="0039032C" w:rsidP="0039032C">
            <w:pPr>
              <w:spacing w:before="29" w:line="288" w:lineRule="auto"/>
              <w:rPr>
                <w:sz w:val="24"/>
              </w:rPr>
            </w:pPr>
            <w:r w:rsidRPr="002A7419">
              <w:rPr>
                <w:rFonts w:hint="eastAsia"/>
                <w:sz w:val="24"/>
              </w:rPr>
              <w:t>办公地址</w:t>
            </w:r>
          </w:p>
        </w:tc>
        <w:tc>
          <w:tcPr>
            <w:tcW w:w="3118" w:type="dxa"/>
            <w:vAlign w:val="center"/>
          </w:tcPr>
          <w:p w:rsidR="0039032C" w:rsidRDefault="0039032C" w:rsidP="0039032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39032C" w:rsidRPr="002A7419" w:rsidRDefault="0039032C" w:rsidP="0039032C">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39032C" w:rsidRPr="0091212A" w:rsidTr="00BE3EBF">
        <w:tc>
          <w:tcPr>
            <w:tcW w:w="2552" w:type="dxa"/>
            <w:gridSpan w:val="2"/>
            <w:vAlign w:val="center"/>
          </w:tcPr>
          <w:p w:rsidR="0039032C" w:rsidRPr="002A7419" w:rsidRDefault="0039032C" w:rsidP="0039032C">
            <w:pPr>
              <w:spacing w:before="29" w:line="288" w:lineRule="auto"/>
              <w:rPr>
                <w:sz w:val="24"/>
              </w:rPr>
            </w:pPr>
            <w:r w:rsidRPr="002A7419">
              <w:rPr>
                <w:rFonts w:hint="eastAsia"/>
                <w:sz w:val="24"/>
              </w:rPr>
              <w:t>邮政编码</w:t>
            </w:r>
          </w:p>
        </w:tc>
        <w:tc>
          <w:tcPr>
            <w:tcW w:w="3118" w:type="dxa"/>
            <w:vAlign w:val="center"/>
          </w:tcPr>
          <w:p w:rsidR="0039032C" w:rsidRDefault="0039032C" w:rsidP="0039032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39032C" w:rsidRPr="002A7419" w:rsidRDefault="0039032C" w:rsidP="0039032C">
            <w:pPr>
              <w:spacing w:before="29" w:line="288" w:lineRule="auto"/>
              <w:jc w:val="center"/>
              <w:rPr>
                <w:sz w:val="24"/>
              </w:rPr>
            </w:pPr>
            <w:r w:rsidRPr="002A7419">
              <w:rPr>
                <w:sz w:val="24"/>
              </w:rPr>
              <w:t>100031</w:t>
            </w:r>
          </w:p>
        </w:tc>
      </w:tr>
      <w:tr w:rsidR="0039032C" w:rsidRPr="0091212A" w:rsidTr="00BE3EBF">
        <w:tc>
          <w:tcPr>
            <w:tcW w:w="2552" w:type="dxa"/>
            <w:gridSpan w:val="2"/>
            <w:vAlign w:val="center"/>
          </w:tcPr>
          <w:p w:rsidR="0039032C" w:rsidRPr="002A7419" w:rsidRDefault="0039032C" w:rsidP="0039032C">
            <w:pPr>
              <w:spacing w:before="29" w:line="288" w:lineRule="auto"/>
              <w:rPr>
                <w:sz w:val="24"/>
              </w:rPr>
            </w:pPr>
            <w:r w:rsidRPr="002A7419">
              <w:rPr>
                <w:rFonts w:hint="eastAsia"/>
                <w:sz w:val="24"/>
              </w:rPr>
              <w:t>法定代表人</w:t>
            </w:r>
          </w:p>
        </w:tc>
        <w:tc>
          <w:tcPr>
            <w:tcW w:w="3118" w:type="dxa"/>
            <w:vAlign w:val="center"/>
          </w:tcPr>
          <w:p w:rsidR="0039032C" w:rsidRDefault="0039032C" w:rsidP="0039032C">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39032C" w:rsidRPr="002A7419" w:rsidRDefault="0039032C" w:rsidP="0039032C">
            <w:pPr>
              <w:spacing w:before="29" w:line="288" w:lineRule="auto"/>
              <w:jc w:val="center"/>
              <w:rPr>
                <w:sz w:val="24"/>
              </w:rPr>
            </w:pPr>
            <w:r w:rsidRPr="002A7419">
              <w:rPr>
                <w:sz w:val="24"/>
              </w:rPr>
              <w:t>洪崎</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90DA1" w:rsidRDefault="001A59F9" w:rsidP="00190DA1">
      <w:pPr>
        <w:pStyle w:val="20"/>
        <w:spacing w:before="29" w:after="0" w:line="288" w:lineRule="auto"/>
        <w:rPr>
          <w:rFonts w:ascii="Times New Roman" w:hAnsi="Times New Roman"/>
          <w:kern w:val="0"/>
          <w:szCs w:val="24"/>
        </w:rPr>
      </w:pPr>
      <w:bookmarkStart w:id="19" w:name="_Toc225498248"/>
      <w:bookmarkStart w:id="20" w:name="_Toc361324848"/>
      <w:bookmarkStart w:id="21" w:name="_Toc4153471"/>
      <w:r w:rsidRPr="00190DA1">
        <w:rPr>
          <w:rFonts w:ascii="Times New Roman" w:hAnsi="Times New Roman"/>
          <w:kern w:val="0"/>
          <w:szCs w:val="24"/>
        </w:rPr>
        <w:t xml:space="preserve">2.4 </w:t>
      </w:r>
      <w:r w:rsidRPr="00190DA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90DA1" w:rsidRDefault="001A59F9" w:rsidP="00190DA1">
      <w:pPr>
        <w:pStyle w:val="20"/>
        <w:spacing w:before="29" w:after="0" w:line="288" w:lineRule="auto"/>
        <w:rPr>
          <w:rFonts w:ascii="Times New Roman" w:hAnsi="Times New Roman"/>
          <w:kern w:val="0"/>
          <w:szCs w:val="24"/>
        </w:rPr>
      </w:pPr>
      <w:bookmarkStart w:id="22" w:name="_Toc225498249"/>
      <w:bookmarkStart w:id="23" w:name="_Toc361324849"/>
      <w:bookmarkStart w:id="24" w:name="_Toc4153472"/>
      <w:r w:rsidRPr="00190DA1">
        <w:rPr>
          <w:rFonts w:ascii="Times New Roman" w:hAnsi="Times New Roman"/>
          <w:kern w:val="0"/>
          <w:szCs w:val="24"/>
        </w:rPr>
        <w:t xml:space="preserve">2.5 </w:t>
      </w:r>
      <w:r w:rsidRPr="00190DA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基金保证人</w:t>
            </w:r>
          </w:p>
        </w:tc>
        <w:tc>
          <w:tcPr>
            <w:tcW w:w="2976" w:type="dxa"/>
            <w:vAlign w:val="center"/>
          </w:tcPr>
          <w:p w:rsidR="001A59F9" w:rsidRPr="002A7419" w:rsidRDefault="001A59F9" w:rsidP="002A7419">
            <w:pPr>
              <w:spacing w:before="29" w:line="288" w:lineRule="auto"/>
              <w:jc w:val="center"/>
              <w:rPr>
                <w:sz w:val="24"/>
              </w:rPr>
            </w:pPr>
            <w:r w:rsidRPr="002A7419">
              <w:rPr>
                <w:sz w:val="24"/>
              </w:rPr>
              <w:t>中国投融资担保股份有限公司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rsidR="00BC224C" w:rsidRPr="00EF1D48" w:rsidRDefault="00BC224C" w:rsidP="00A2573A">
      <w:pPr>
        <w:spacing w:before="29" w:line="288" w:lineRule="auto"/>
        <w:jc w:val="left"/>
        <w:rPr>
          <w:kern w:val="0"/>
          <w:sz w:val="24"/>
        </w:rPr>
      </w:pPr>
    </w:p>
    <w:p w:rsidR="001A59F9" w:rsidRDefault="001A59F9" w:rsidP="006A771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347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190DA1" w:rsidRDefault="001A59F9" w:rsidP="00190DA1">
      <w:pPr>
        <w:pStyle w:val="20"/>
        <w:spacing w:before="29" w:after="0" w:line="288" w:lineRule="auto"/>
        <w:rPr>
          <w:rFonts w:ascii="Times New Roman" w:hAnsi="Times New Roman"/>
          <w:kern w:val="0"/>
          <w:szCs w:val="24"/>
        </w:rPr>
      </w:pPr>
      <w:bookmarkStart w:id="28" w:name="_Toc286996129"/>
      <w:bookmarkStart w:id="29" w:name="_Toc361324851"/>
      <w:bookmarkStart w:id="30" w:name="_Toc4153474"/>
      <w:r w:rsidRPr="00190DA1">
        <w:rPr>
          <w:rFonts w:ascii="Times New Roman" w:hAnsi="Times New Roman"/>
          <w:kern w:val="0"/>
          <w:szCs w:val="24"/>
        </w:rPr>
        <w:t xml:space="preserve">3.1 </w:t>
      </w:r>
      <w:r w:rsidRPr="00190DA1">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3</w:t>
            </w:r>
            <w:r w:rsidRPr="00251D94">
              <w:rPr>
                <w:b/>
                <w:szCs w:val="21"/>
              </w:rPr>
              <w:t>月</w:t>
            </w:r>
            <w:r w:rsidRPr="00251D94">
              <w:rPr>
                <w:b/>
                <w:szCs w:val="21"/>
              </w:rPr>
              <w:t>25</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22,290,618.02</w:t>
            </w:r>
          </w:p>
        </w:tc>
        <w:tc>
          <w:tcPr>
            <w:tcW w:w="1297" w:type="pct"/>
            <w:vAlign w:val="center"/>
          </w:tcPr>
          <w:p w:rsidR="0040141B" w:rsidRPr="00251D94" w:rsidRDefault="0040141B" w:rsidP="004E3EF9">
            <w:pPr>
              <w:spacing w:before="29" w:line="288" w:lineRule="auto"/>
              <w:jc w:val="right"/>
              <w:rPr>
                <w:szCs w:val="21"/>
              </w:rPr>
            </w:pPr>
            <w:r w:rsidRPr="00251D94">
              <w:rPr>
                <w:szCs w:val="21"/>
              </w:rPr>
              <w:t>14,296,105.84</w:t>
            </w:r>
          </w:p>
        </w:tc>
        <w:tc>
          <w:tcPr>
            <w:tcW w:w="1278" w:type="pct"/>
            <w:vAlign w:val="center"/>
          </w:tcPr>
          <w:p w:rsidR="0040141B" w:rsidRPr="00251D94" w:rsidRDefault="0040141B" w:rsidP="004E3EF9">
            <w:pPr>
              <w:spacing w:before="29" w:line="288" w:lineRule="auto"/>
              <w:jc w:val="right"/>
              <w:rPr>
                <w:szCs w:val="21"/>
              </w:rPr>
            </w:pPr>
            <w:r w:rsidRPr="00251D94">
              <w:rPr>
                <w:szCs w:val="21"/>
              </w:rPr>
              <w:t>5,027,241.75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30,352,234.18</w:t>
            </w:r>
          </w:p>
        </w:tc>
        <w:tc>
          <w:tcPr>
            <w:tcW w:w="1297" w:type="pct"/>
            <w:vAlign w:val="center"/>
          </w:tcPr>
          <w:p w:rsidR="0040141B" w:rsidRPr="00251D94" w:rsidRDefault="0040141B" w:rsidP="004E3EF9">
            <w:pPr>
              <w:spacing w:before="29" w:line="288" w:lineRule="auto"/>
              <w:jc w:val="right"/>
              <w:rPr>
                <w:szCs w:val="21"/>
              </w:rPr>
            </w:pPr>
            <w:r w:rsidRPr="00251D94">
              <w:rPr>
                <w:szCs w:val="21"/>
              </w:rPr>
              <w:t>15,630,475.06</w:t>
            </w:r>
          </w:p>
        </w:tc>
        <w:tc>
          <w:tcPr>
            <w:tcW w:w="1278" w:type="pct"/>
            <w:vAlign w:val="center"/>
          </w:tcPr>
          <w:p w:rsidR="0040141B" w:rsidRPr="00251D94" w:rsidRDefault="0040141B" w:rsidP="004E3EF9">
            <w:pPr>
              <w:spacing w:before="29" w:line="288" w:lineRule="auto"/>
              <w:jc w:val="right"/>
              <w:rPr>
                <w:szCs w:val="21"/>
              </w:rPr>
            </w:pPr>
            <w:r w:rsidRPr="00251D94">
              <w:rPr>
                <w:szCs w:val="21"/>
              </w:rPr>
              <w:t>1,893,436.61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0.0506</w:t>
            </w:r>
          </w:p>
        </w:tc>
        <w:tc>
          <w:tcPr>
            <w:tcW w:w="1297" w:type="pct"/>
            <w:vAlign w:val="center"/>
          </w:tcPr>
          <w:p w:rsidR="0040141B" w:rsidRPr="00251D94" w:rsidRDefault="0040141B" w:rsidP="004E3EF9">
            <w:pPr>
              <w:spacing w:before="29" w:line="288" w:lineRule="auto"/>
              <w:jc w:val="right"/>
              <w:rPr>
                <w:szCs w:val="21"/>
              </w:rPr>
            </w:pPr>
            <w:r w:rsidRPr="00251D94">
              <w:rPr>
                <w:szCs w:val="21"/>
              </w:rPr>
              <w:t>0.0193</w:t>
            </w:r>
          </w:p>
        </w:tc>
        <w:tc>
          <w:tcPr>
            <w:tcW w:w="1278" w:type="pct"/>
            <w:vAlign w:val="center"/>
          </w:tcPr>
          <w:p w:rsidR="0040141B" w:rsidRPr="00251D94" w:rsidRDefault="0040141B" w:rsidP="004E3EF9">
            <w:pPr>
              <w:spacing w:before="29" w:line="288" w:lineRule="auto"/>
              <w:jc w:val="right"/>
              <w:rPr>
                <w:szCs w:val="21"/>
              </w:rPr>
            </w:pPr>
            <w:r w:rsidRPr="00251D94">
              <w:rPr>
                <w:szCs w:val="21"/>
              </w:rPr>
              <w:t>0.0020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4.82%</w:t>
            </w:r>
          </w:p>
        </w:tc>
        <w:tc>
          <w:tcPr>
            <w:tcW w:w="1297" w:type="pct"/>
            <w:vAlign w:val="center"/>
          </w:tcPr>
          <w:p w:rsidR="0040141B" w:rsidRPr="00251D94" w:rsidRDefault="0040141B" w:rsidP="004E3EF9">
            <w:pPr>
              <w:spacing w:before="29" w:line="288" w:lineRule="auto"/>
              <w:jc w:val="right"/>
              <w:rPr>
                <w:szCs w:val="21"/>
              </w:rPr>
            </w:pPr>
            <w:r w:rsidRPr="00251D94">
              <w:rPr>
                <w:szCs w:val="21"/>
              </w:rPr>
              <w:t>1.91%</w:t>
            </w:r>
          </w:p>
        </w:tc>
        <w:tc>
          <w:tcPr>
            <w:tcW w:w="1278" w:type="pct"/>
            <w:vAlign w:val="center"/>
          </w:tcPr>
          <w:p w:rsidR="0040141B" w:rsidRPr="00251D94" w:rsidRDefault="0040141B" w:rsidP="004E3EF9">
            <w:pPr>
              <w:spacing w:before="29" w:line="288" w:lineRule="auto"/>
              <w:jc w:val="right"/>
              <w:rPr>
                <w:szCs w:val="21"/>
              </w:rPr>
            </w:pPr>
            <w:r w:rsidRPr="00251D94">
              <w:rPr>
                <w:szCs w:val="21"/>
              </w:rPr>
              <w:t>0.19%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4.80%</w:t>
            </w:r>
          </w:p>
        </w:tc>
        <w:tc>
          <w:tcPr>
            <w:tcW w:w="1297" w:type="pct"/>
            <w:vAlign w:val="center"/>
          </w:tcPr>
          <w:p w:rsidR="0040141B" w:rsidRPr="00251D94" w:rsidRDefault="0040141B" w:rsidP="004E3EF9">
            <w:pPr>
              <w:spacing w:before="29" w:line="288" w:lineRule="auto"/>
              <w:jc w:val="right"/>
              <w:rPr>
                <w:szCs w:val="21"/>
              </w:rPr>
            </w:pPr>
            <w:r w:rsidRPr="00251D94">
              <w:rPr>
                <w:szCs w:val="21"/>
              </w:rPr>
              <w:t>2.00%</w:t>
            </w:r>
          </w:p>
        </w:tc>
        <w:tc>
          <w:tcPr>
            <w:tcW w:w="1278" w:type="pct"/>
            <w:vAlign w:val="center"/>
          </w:tcPr>
          <w:p w:rsidR="0040141B" w:rsidRPr="00251D94" w:rsidRDefault="0040141B" w:rsidP="004E3EF9">
            <w:pPr>
              <w:spacing w:before="29" w:line="288" w:lineRule="auto"/>
              <w:jc w:val="right"/>
              <w:rPr>
                <w:szCs w:val="21"/>
              </w:rPr>
            </w:pPr>
            <w:r w:rsidRPr="00251D94">
              <w:rPr>
                <w:szCs w:val="21"/>
              </w:rPr>
              <w:t>0.10%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34,038,020.84</w:t>
            </w:r>
          </w:p>
        </w:tc>
        <w:tc>
          <w:tcPr>
            <w:tcW w:w="1297" w:type="pct"/>
            <w:vAlign w:val="center"/>
          </w:tcPr>
          <w:p w:rsidR="0040141B" w:rsidRPr="00251D94" w:rsidRDefault="0040141B" w:rsidP="004E3EF9">
            <w:pPr>
              <w:spacing w:before="29" w:line="288" w:lineRule="auto"/>
              <w:jc w:val="right"/>
              <w:rPr>
                <w:szCs w:val="21"/>
              </w:rPr>
            </w:pPr>
            <w:r w:rsidRPr="00251D94">
              <w:rPr>
                <w:szCs w:val="21"/>
              </w:rPr>
              <w:t>14,166,766.00</w:t>
            </w:r>
          </w:p>
        </w:tc>
        <w:tc>
          <w:tcPr>
            <w:tcW w:w="1278" w:type="pct"/>
            <w:vAlign w:val="center"/>
          </w:tcPr>
          <w:p w:rsidR="0040141B" w:rsidRPr="00251D94" w:rsidRDefault="0040141B" w:rsidP="004E3EF9">
            <w:pPr>
              <w:spacing w:before="29" w:line="288" w:lineRule="auto"/>
              <w:jc w:val="right"/>
              <w:rPr>
                <w:szCs w:val="21"/>
              </w:rPr>
            </w:pPr>
            <w:r w:rsidRPr="00251D94">
              <w:rPr>
                <w:szCs w:val="21"/>
              </w:rPr>
              <w:t>1,243,304.83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0.060</w:t>
            </w:r>
          </w:p>
        </w:tc>
        <w:tc>
          <w:tcPr>
            <w:tcW w:w="1297" w:type="pct"/>
            <w:vAlign w:val="center"/>
          </w:tcPr>
          <w:p w:rsidR="0040141B" w:rsidRPr="00251D94" w:rsidRDefault="0040141B" w:rsidP="004E3EF9">
            <w:pPr>
              <w:spacing w:before="29" w:line="288" w:lineRule="auto"/>
              <w:jc w:val="right"/>
              <w:rPr>
                <w:szCs w:val="21"/>
              </w:rPr>
            </w:pPr>
            <w:r w:rsidRPr="00251D94">
              <w:rPr>
                <w:szCs w:val="21"/>
              </w:rPr>
              <w:t>0.021</w:t>
            </w:r>
          </w:p>
        </w:tc>
        <w:tc>
          <w:tcPr>
            <w:tcW w:w="1278" w:type="pct"/>
            <w:vAlign w:val="center"/>
          </w:tcPr>
          <w:p w:rsidR="0040141B" w:rsidRPr="00251D94" w:rsidRDefault="0040141B" w:rsidP="004E3EF9">
            <w:pPr>
              <w:spacing w:before="29" w:line="288" w:lineRule="auto"/>
              <w:jc w:val="right"/>
              <w:rPr>
                <w:szCs w:val="21"/>
              </w:rPr>
            </w:pPr>
            <w:r w:rsidRPr="00251D94">
              <w:rPr>
                <w:szCs w:val="21"/>
              </w:rPr>
              <w:t>0.001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602,640,845.33</w:t>
            </w:r>
          </w:p>
        </w:tc>
        <w:tc>
          <w:tcPr>
            <w:tcW w:w="1297" w:type="pct"/>
            <w:vAlign w:val="center"/>
          </w:tcPr>
          <w:p w:rsidR="0040141B" w:rsidRPr="00251D94" w:rsidRDefault="0040141B" w:rsidP="004E3EF9">
            <w:pPr>
              <w:spacing w:before="29" w:line="288" w:lineRule="auto"/>
              <w:jc w:val="right"/>
              <w:rPr>
                <w:szCs w:val="21"/>
              </w:rPr>
            </w:pPr>
            <w:r w:rsidRPr="00251D94">
              <w:rPr>
                <w:szCs w:val="21"/>
              </w:rPr>
              <w:t>703,983,617.23</w:t>
            </w:r>
          </w:p>
        </w:tc>
        <w:tc>
          <w:tcPr>
            <w:tcW w:w="1278" w:type="pct"/>
            <w:vAlign w:val="center"/>
          </w:tcPr>
          <w:p w:rsidR="0040141B" w:rsidRPr="00251D94" w:rsidRDefault="0040141B" w:rsidP="004E3EF9">
            <w:pPr>
              <w:spacing w:before="29" w:line="288" w:lineRule="auto"/>
              <w:jc w:val="right"/>
              <w:rPr>
                <w:szCs w:val="21"/>
              </w:rPr>
            </w:pPr>
            <w:r w:rsidRPr="00251D94">
              <w:rPr>
                <w:szCs w:val="21"/>
              </w:rPr>
              <w:t>928,468,032.05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1.070</w:t>
            </w:r>
          </w:p>
        </w:tc>
        <w:tc>
          <w:tcPr>
            <w:tcW w:w="1297" w:type="pct"/>
            <w:vAlign w:val="center"/>
          </w:tcPr>
          <w:p w:rsidR="0040141B" w:rsidRPr="00251D94" w:rsidRDefault="0040141B" w:rsidP="004E3EF9">
            <w:pPr>
              <w:spacing w:before="29" w:line="288" w:lineRule="auto"/>
              <w:jc w:val="right"/>
              <w:rPr>
                <w:szCs w:val="21"/>
              </w:rPr>
            </w:pPr>
            <w:r w:rsidRPr="00251D94">
              <w:rPr>
                <w:szCs w:val="21"/>
              </w:rPr>
              <w:t>1.021</w:t>
            </w:r>
          </w:p>
        </w:tc>
        <w:tc>
          <w:tcPr>
            <w:tcW w:w="1278" w:type="pct"/>
            <w:vAlign w:val="center"/>
          </w:tcPr>
          <w:p w:rsidR="0040141B" w:rsidRPr="00251D94" w:rsidRDefault="0040141B" w:rsidP="004E3EF9">
            <w:pPr>
              <w:spacing w:before="29" w:line="288" w:lineRule="auto"/>
              <w:jc w:val="right"/>
              <w:rPr>
                <w:szCs w:val="21"/>
              </w:rPr>
            </w:pPr>
            <w:r w:rsidRPr="00251D94">
              <w:rPr>
                <w:szCs w:val="21"/>
              </w:rPr>
              <w:t>1.001</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7.00%</w:t>
            </w:r>
          </w:p>
        </w:tc>
        <w:tc>
          <w:tcPr>
            <w:tcW w:w="1297" w:type="pct"/>
            <w:vAlign w:val="center"/>
          </w:tcPr>
          <w:p w:rsidR="0040141B" w:rsidRPr="00251D94" w:rsidRDefault="0040141B" w:rsidP="004E3EF9">
            <w:pPr>
              <w:spacing w:before="29" w:line="288" w:lineRule="auto"/>
              <w:jc w:val="right"/>
              <w:rPr>
                <w:szCs w:val="21"/>
              </w:rPr>
            </w:pPr>
            <w:r w:rsidRPr="00251D94">
              <w:rPr>
                <w:szCs w:val="21"/>
              </w:rPr>
              <w:t>2.10%</w:t>
            </w:r>
          </w:p>
        </w:tc>
        <w:tc>
          <w:tcPr>
            <w:tcW w:w="1278" w:type="pct"/>
            <w:vAlign w:val="center"/>
          </w:tcPr>
          <w:p w:rsidR="0040141B" w:rsidRPr="00251D94" w:rsidRDefault="0040141B" w:rsidP="004E3EF9">
            <w:pPr>
              <w:spacing w:before="29" w:line="288" w:lineRule="auto"/>
              <w:jc w:val="right"/>
              <w:rPr>
                <w:szCs w:val="21"/>
              </w:rPr>
            </w:pPr>
            <w:r w:rsidRPr="00251D94">
              <w:rPr>
                <w:szCs w:val="21"/>
              </w:rPr>
              <w:t>0.10%</w:t>
            </w:r>
          </w:p>
        </w:tc>
      </w:tr>
    </w:tbl>
    <w:p w:rsidR="00DE2586" w:rsidRDefault="00CC3F7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DE2586" w:rsidRDefault="00CC3F76">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szCs w:val="21"/>
        </w:rPr>
      </w:pPr>
    </w:p>
    <w:p w:rsidR="005D6373" w:rsidRPr="009421FD" w:rsidRDefault="005D6373" w:rsidP="005D6373">
      <w:pPr>
        <w:pStyle w:val="20"/>
        <w:spacing w:before="29" w:after="0" w:line="288" w:lineRule="auto"/>
        <w:rPr>
          <w:rFonts w:ascii="Times New Roman" w:hAnsi="Times New Roman"/>
          <w:kern w:val="0"/>
          <w:szCs w:val="24"/>
        </w:rPr>
      </w:pPr>
      <w:bookmarkStart w:id="31" w:name="_Toc225498252"/>
      <w:bookmarkStart w:id="32" w:name="_Toc361324852"/>
      <w:bookmarkStart w:id="33" w:name="_Toc415347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5D6373" w:rsidRDefault="005D6373" w:rsidP="005D6373">
      <w:pPr>
        <w:pStyle w:val="20"/>
        <w:spacing w:before="29" w:after="0" w:line="288" w:lineRule="auto"/>
        <w:rPr>
          <w:rFonts w:ascii="Times New Roman" w:hAnsi="Times New Roman"/>
          <w:kern w:val="0"/>
          <w:szCs w:val="24"/>
        </w:rPr>
      </w:pPr>
      <w:bookmarkStart w:id="34" w:name="_Toc415347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0" w:type="dxa"/>
        <w:tblInd w:w="108" w:type="dxa"/>
        <w:tblCellMar>
          <w:left w:w="0" w:type="dxa"/>
          <w:right w:w="0" w:type="dxa"/>
        </w:tblCellMar>
        <w:tblLook w:val="04A0" w:firstRow="1" w:lastRow="0" w:firstColumn="1" w:lastColumn="0" w:noHBand="0" w:noVBand="1"/>
      </w:tblPr>
      <w:tblGrid>
        <w:gridCol w:w="1039"/>
        <w:gridCol w:w="1345"/>
        <w:gridCol w:w="1346"/>
        <w:gridCol w:w="1346"/>
        <w:gridCol w:w="1346"/>
        <w:gridCol w:w="1410"/>
        <w:gridCol w:w="1346"/>
      </w:tblGrid>
      <w:tr w:rsidR="004D596E" w:rsidTr="0013581D">
        <w:tc>
          <w:tcPr>
            <w:tcW w:w="3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spacing w:before="29" w:line="288" w:lineRule="auto"/>
              <w:jc w:val="center"/>
              <w:rPr>
                <w:color w:val="000000"/>
                <w:sz w:val="24"/>
              </w:rPr>
            </w:pPr>
            <w:r>
              <w:rPr>
                <w:rFonts w:ascii="宋体" w:hAnsi="宋体" w:hint="eastAsia"/>
                <w:color w:val="000000"/>
                <w:sz w:val="24"/>
              </w:rPr>
              <w:t>阶段</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spacing w:before="29" w:line="288" w:lineRule="auto"/>
              <w:jc w:val="center"/>
              <w:rPr>
                <w:rFonts w:ascii="Calibri" w:hAnsi="Calibri" w:cs="宋体"/>
                <w:color w:val="000000"/>
                <w:sz w:val="24"/>
              </w:rPr>
            </w:pPr>
            <w:r>
              <w:rPr>
                <w:rFonts w:ascii="宋体" w:hAnsi="宋体" w:hint="eastAsia"/>
                <w:color w:val="000000"/>
                <w:sz w:val="24"/>
              </w:rPr>
              <w:t>份额净值增长率①</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spacing w:before="29" w:line="288" w:lineRule="auto"/>
              <w:jc w:val="center"/>
              <w:rPr>
                <w:color w:val="000000"/>
                <w:sz w:val="24"/>
              </w:rPr>
            </w:pPr>
            <w:r>
              <w:rPr>
                <w:rFonts w:ascii="宋体" w:hAnsi="宋体" w:hint="eastAsia"/>
                <w:color w:val="000000"/>
                <w:sz w:val="24"/>
              </w:rPr>
              <w:t>份额净值增长率标准差②</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spacing w:before="29" w:line="288" w:lineRule="auto"/>
              <w:jc w:val="center"/>
              <w:rPr>
                <w:color w:val="000000"/>
                <w:sz w:val="24"/>
              </w:rPr>
            </w:pPr>
            <w:r>
              <w:rPr>
                <w:rFonts w:ascii="宋体" w:hAnsi="宋体" w:hint="eastAsia"/>
                <w:color w:val="000000"/>
                <w:sz w:val="24"/>
              </w:rPr>
              <w:t>业绩比较基准收益率③</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spacing w:before="29" w:line="288" w:lineRule="auto"/>
              <w:jc w:val="center"/>
              <w:rPr>
                <w:color w:val="000000"/>
                <w:sz w:val="24"/>
              </w:rPr>
            </w:pPr>
            <w:r>
              <w:rPr>
                <w:rFonts w:ascii="宋体" w:hAnsi="宋体" w:hint="eastAsia"/>
                <w:color w:val="000000"/>
                <w:sz w:val="24"/>
              </w:rPr>
              <w:t>业绩比较基准收益率标准差④</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spacing w:before="29" w:line="288" w:lineRule="auto"/>
              <w:jc w:val="center"/>
              <w:rPr>
                <w:color w:val="000000"/>
                <w:sz w:val="24"/>
              </w:rPr>
            </w:pPr>
            <w:r>
              <w:rPr>
                <w:rFonts w:ascii="宋体" w:hAnsi="宋体" w:hint="eastAsia"/>
                <w:color w:val="000000"/>
                <w:sz w:val="24"/>
              </w:rPr>
              <w:t>①－③</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spacing w:before="29" w:line="288" w:lineRule="auto"/>
              <w:jc w:val="center"/>
              <w:rPr>
                <w:color w:val="000000"/>
                <w:sz w:val="24"/>
              </w:rPr>
            </w:pPr>
            <w:r>
              <w:rPr>
                <w:rFonts w:ascii="宋体" w:hAnsi="宋体" w:hint="eastAsia"/>
                <w:color w:val="000000"/>
                <w:sz w:val="24"/>
              </w:rPr>
              <w:t>②－④</w:t>
            </w:r>
          </w:p>
        </w:tc>
      </w:tr>
      <w:tr w:rsidR="004D596E" w:rsidTr="0013581D">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left"/>
              <w:rPr>
                <w:szCs w:val="21"/>
              </w:rPr>
            </w:pPr>
            <w:r>
              <w:rPr>
                <w:rFonts w:ascii="宋体" w:hAnsi="宋体" w:hint="eastAsia"/>
                <w:color w:val="000000"/>
                <w:sz w:val="24"/>
              </w:rPr>
              <w:t>过去三个月</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0.47%</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0.04%</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0.70%</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-0.23%</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0.03%</w:t>
            </w:r>
          </w:p>
        </w:tc>
      </w:tr>
      <w:tr w:rsidR="004D596E" w:rsidTr="0013581D">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left"/>
            </w:pPr>
            <w:r>
              <w:rPr>
                <w:rFonts w:ascii="宋体" w:hAnsi="宋体" w:hint="eastAsia"/>
                <w:color w:val="000000"/>
                <w:sz w:val="24"/>
              </w:rPr>
              <w:t>过去六个月</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2.00%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0.06%</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1.41%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0.59%</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0.05%</w:t>
            </w:r>
          </w:p>
        </w:tc>
      </w:tr>
      <w:tr w:rsidR="004D596E" w:rsidTr="0013581D">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left"/>
            </w:pPr>
            <w:r>
              <w:rPr>
                <w:rFonts w:ascii="宋体" w:hAnsi="宋体" w:hint="eastAsia"/>
                <w:color w:val="000000"/>
                <w:sz w:val="24"/>
              </w:rPr>
              <w:t>过去一年</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4.80%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0.07%</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2.79%</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2.01%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0.06%</w:t>
            </w:r>
          </w:p>
        </w:tc>
      </w:tr>
      <w:tr w:rsidR="004D596E" w:rsidTr="0013581D">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left"/>
            </w:pPr>
            <w:r>
              <w:rPr>
                <w:rFonts w:ascii="宋体" w:hAnsi="宋体" w:hint="eastAsia"/>
                <w:color w:val="000000"/>
                <w:sz w:val="24"/>
              </w:rPr>
              <w:t>自基金合同生效起至今</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7.00%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0.07%</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7.73%</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-0.73%</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96E" w:rsidRDefault="004D596E" w:rsidP="0013581D">
            <w:pPr>
              <w:jc w:val="center"/>
            </w:pPr>
            <w:r>
              <w:rPr>
                <w:color w:val="000000"/>
                <w:sz w:val="24"/>
              </w:rPr>
              <w:t>0.06%</w:t>
            </w:r>
          </w:p>
        </w:tc>
      </w:tr>
    </w:tbl>
    <w:p w:rsidR="004D596E" w:rsidRDefault="004D596E" w:rsidP="004D596E">
      <w:pPr>
        <w:spacing w:after="240"/>
        <w:rPr>
          <w:rFonts w:ascii="宋体" w:hAnsi="宋体"/>
          <w:sz w:val="24"/>
        </w:rPr>
      </w:pPr>
      <w:r>
        <w:rPr>
          <w:rFonts w:ascii="宋体" w:hAnsi="宋体" w:hint="eastAsia"/>
          <w:sz w:val="24"/>
        </w:rPr>
        <w:t>注：本基金的业绩比较基准为三年期银行定期存款税后收益率。</w:t>
      </w:r>
    </w:p>
    <w:p w:rsidR="004D596E" w:rsidRDefault="004D596E" w:rsidP="004D596E">
      <w:pPr>
        <w:spacing w:after="240"/>
        <w:rPr>
          <w:rFonts w:ascii="Calibri" w:hAnsi="Calibri"/>
          <w:color w:val="1F497D"/>
          <w:szCs w:val="21"/>
        </w:rPr>
      </w:pP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5C6D53" w:rsidRDefault="005C6D53" w:rsidP="005C6D53">
      <w:pPr>
        <w:spacing w:line="360" w:lineRule="auto"/>
        <w:jc w:val="center"/>
        <w:rPr>
          <w:rFonts w:ascii="宋体" w:hAnsi="宋体"/>
          <w:b/>
          <w:bCs/>
          <w:color w:val="000000"/>
          <w:vertAlign w:val="superscript"/>
        </w:rPr>
      </w:pPr>
      <w:r>
        <w:rPr>
          <w:rFonts w:ascii="宋体" w:hAnsi="宋体"/>
          <w:b/>
          <w:noProof/>
          <w:color w:val="000000"/>
          <w:vertAlign w:val="superscript"/>
        </w:rPr>
        <w:drawing>
          <wp:inline distT="0" distB="0" distL="0" distR="0" wp14:anchorId="06CEE1AE" wp14:editId="49B48629">
            <wp:extent cx="5753100" cy="3368040"/>
            <wp:effectExtent l="0" t="0" r="0" b="3810"/>
            <wp:docPr id="6" name="图片 6"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柱状图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368040"/>
                    </a:xfrm>
                    <a:prstGeom prst="rect">
                      <a:avLst/>
                    </a:prstGeom>
                    <a:noFill/>
                    <a:ln>
                      <a:noFill/>
                    </a:ln>
                  </pic:spPr>
                </pic:pic>
              </a:graphicData>
            </a:graphic>
          </wp:inline>
        </w:drawing>
      </w:r>
    </w:p>
    <w:p w:rsidR="005C6D53" w:rsidRDefault="005C6D53" w:rsidP="005C6D53">
      <w:pPr>
        <w:tabs>
          <w:tab w:val="left" w:pos="426"/>
        </w:tabs>
        <w:spacing w:before="29" w:line="288" w:lineRule="auto"/>
        <w:jc w:val="left"/>
        <w:rPr>
          <w:sz w:val="24"/>
        </w:rPr>
      </w:pPr>
      <w:r>
        <w:rPr>
          <w:rFonts w:hint="eastAsia"/>
          <w:sz w:val="24"/>
        </w:rPr>
        <w:t>注：图示日期为</w:t>
      </w:r>
      <w:r>
        <w:rPr>
          <w:sz w:val="24"/>
        </w:rPr>
        <w:t>2016</w:t>
      </w:r>
      <w:r>
        <w:rPr>
          <w:rFonts w:hint="eastAsia"/>
          <w:sz w:val="24"/>
        </w:rPr>
        <w:t>年</w:t>
      </w:r>
      <w:r>
        <w:rPr>
          <w:sz w:val="24"/>
        </w:rPr>
        <w:t>3</w:t>
      </w:r>
      <w:r>
        <w:rPr>
          <w:rFonts w:hint="eastAsia"/>
          <w:sz w:val="24"/>
        </w:rPr>
        <w:t>月</w:t>
      </w:r>
      <w:r>
        <w:rPr>
          <w:sz w:val="24"/>
        </w:rPr>
        <w:t>25</w:t>
      </w:r>
      <w:r>
        <w:rPr>
          <w:rFonts w:hint="eastAsia"/>
          <w:sz w:val="24"/>
        </w:rPr>
        <w:t>日至</w:t>
      </w:r>
      <w:r>
        <w:rPr>
          <w:sz w:val="24"/>
        </w:rPr>
        <w:t>2018</w:t>
      </w:r>
      <w:r>
        <w:rPr>
          <w:rFonts w:hint="eastAsia"/>
          <w:sz w:val="24"/>
        </w:rPr>
        <w:t>年</w:t>
      </w:r>
      <w:r>
        <w:rPr>
          <w:sz w:val="24"/>
        </w:rPr>
        <w:t>12</w:t>
      </w:r>
      <w:r>
        <w:rPr>
          <w:rFonts w:hint="eastAsia"/>
          <w:sz w:val="24"/>
        </w:rPr>
        <w:t>月</w:t>
      </w:r>
      <w:r>
        <w:rPr>
          <w:sz w:val="24"/>
        </w:rPr>
        <w:t>31</w:t>
      </w:r>
      <w:r>
        <w:rPr>
          <w:rFonts w:hint="eastAsia"/>
          <w:sz w:val="24"/>
        </w:rPr>
        <w:t>日。基金合同生效当年的净值增长率按照当年实际存续期计算。</w:t>
      </w:r>
    </w:p>
    <w:p w:rsidR="002E63B8" w:rsidRPr="00190DA1" w:rsidRDefault="002E63B8" w:rsidP="00190DA1">
      <w:pPr>
        <w:pStyle w:val="20"/>
        <w:spacing w:before="29" w:after="0" w:line="288" w:lineRule="auto"/>
        <w:rPr>
          <w:rFonts w:ascii="Times New Roman" w:hAnsi="Times New Roman"/>
          <w:kern w:val="0"/>
          <w:szCs w:val="24"/>
        </w:rPr>
      </w:pPr>
    </w:p>
    <w:p w:rsidR="00E63239" w:rsidRPr="00190DA1" w:rsidRDefault="00E63239" w:rsidP="00190DA1">
      <w:pPr>
        <w:pStyle w:val="20"/>
        <w:spacing w:before="29" w:after="0" w:line="288" w:lineRule="auto"/>
        <w:rPr>
          <w:rFonts w:ascii="Times New Roman" w:hAnsi="Times New Roman"/>
          <w:kern w:val="0"/>
          <w:szCs w:val="24"/>
        </w:rPr>
      </w:pPr>
      <w:bookmarkStart w:id="35" w:name="_Toc249760033"/>
      <w:bookmarkStart w:id="36" w:name="_Toc361324853"/>
      <w:bookmarkStart w:id="37" w:name="_Toc4153477"/>
      <w:r w:rsidRPr="00190DA1">
        <w:rPr>
          <w:rFonts w:ascii="Times New Roman" w:hAnsi="Times New Roman"/>
          <w:kern w:val="0"/>
          <w:szCs w:val="24"/>
        </w:rPr>
        <w:t>3.3</w:t>
      </w:r>
      <w:r w:rsidRPr="00190DA1">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E2586">
        <w:trPr>
          <w:jc w:val="center"/>
        </w:trPr>
        <w:tc>
          <w:tcPr>
            <w:tcW w:w="1157" w:type="dxa"/>
            <w:vAlign w:val="center"/>
          </w:tcPr>
          <w:p w:rsidR="00DE2586" w:rsidRDefault="00CC3F76">
            <w:pPr>
              <w:jc w:val="center"/>
            </w:pPr>
            <w:r>
              <w:rPr>
                <w:color w:val="000000"/>
                <w:sz w:val="24"/>
              </w:rPr>
              <w:t>2018</w:t>
            </w:r>
            <w:r>
              <w:rPr>
                <w:color w:val="000000"/>
                <w:sz w:val="24"/>
              </w:rPr>
              <w:t>年</w:t>
            </w:r>
          </w:p>
        </w:tc>
        <w:tc>
          <w:tcPr>
            <w:tcW w:w="1378" w:type="dxa"/>
            <w:vAlign w:val="center"/>
          </w:tcPr>
          <w:p w:rsidR="00DE2586" w:rsidRDefault="00CC3F76">
            <w:pPr>
              <w:jc w:val="right"/>
            </w:pPr>
            <w:r>
              <w:rPr>
                <w:color w:val="000000"/>
                <w:sz w:val="24"/>
              </w:rPr>
              <w:t>-</w:t>
            </w:r>
          </w:p>
        </w:tc>
        <w:tc>
          <w:tcPr>
            <w:tcW w:w="1839" w:type="dxa"/>
            <w:vAlign w:val="center"/>
          </w:tcPr>
          <w:p w:rsidR="00DE2586" w:rsidRDefault="00CC3F76">
            <w:pPr>
              <w:jc w:val="right"/>
            </w:pPr>
            <w:r>
              <w:rPr>
                <w:color w:val="000000"/>
                <w:sz w:val="24"/>
              </w:rPr>
              <w:t>-</w:t>
            </w:r>
          </w:p>
        </w:tc>
        <w:tc>
          <w:tcPr>
            <w:tcW w:w="1950" w:type="dxa"/>
            <w:vAlign w:val="center"/>
          </w:tcPr>
          <w:p w:rsidR="00DE2586" w:rsidRDefault="00CC3F76">
            <w:pPr>
              <w:jc w:val="right"/>
            </w:pPr>
            <w:r>
              <w:rPr>
                <w:color w:val="000000"/>
                <w:sz w:val="24"/>
              </w:rPr>
              <w:t>-</w:t>
            </w:r>
          </w:p>
        </w:tc>
        <w:tc>
          <w:tcPr>
            <w:tcW w:w="1894" w:type="dxa"/>
            <w:vAlign w:val="center"/>
          </w:tcPr>
          <w:p w:rsidR="00DE2586" w:rsidRDefault="00CC3F76">
            <w:pPr>
              <w:jc w:val="right"/>
            </w:pPr>
            <w:r>
              <w:rPr>
                <w:color w:val="000000"/>
                <w:sz w:val="24"/>
              </w:rPr>
              <w:t>-</w:t>
            </w:r>
          </w:p>
        </w:tc>
        <w:tc>
          <w:tcPr>
            <w:tcW w:w="1068" w:type="dxa"/>
            <w:vAlign w:val="center"/>
          </w:tcPr>
          <w:p w:rsidR="00DE2586" w:rsidRDefault="00CC3F76">
            <w:pPr>
              <w:jc w:val="left"/>
            </w:pPr>
            <w:r>
              <w:rPr>
                <w:color w:val="000000"/>
                <w:sz w:val="24"/>
              </w:rPr>
              <w:t>-</w:t>
            </w:r>
          </w:p>
        </w:tc>
      </w:tr>
      <w:tr w:rsidR="00DE2586">
        <w:trPr>
          <w:jc w:val="center"/>
        </w:trPr>
        <w:tc>
          <w:tcPr>
            <w:tcW w:w="1157" w:type="dxa"/>
            <w:vAlign w:val="center"/>
          </w:tcPr>
          <w:p w:rsidR="00DE2586" w:rsidRDefault="00CC3F76">
            <w:pPr>
              <w:jc w:val="center"/>
            </w:pPr>
            <w:r>
              <w:rPr>
                <w:color w:val="000000"/>
                <w:sz w:val="24"/>
              </w:rPr>
              <w:t>2017</w:t>
            </w:r>
            <w:r>
              <w:rPr>
                <w:color w:val="000000"/>
                <w:sz w:val="24"/>
              </w:rPr>
              <w:t>年</w:t>
            </w:r>
          </w:p>
        </w:tc>
        <w:tc>
          <w:tcPr>
            <w:tcW w:w="1378" w:type="dxa"/>
            <w:vAlign w:val="center"/>
          </w:tcPr>
          <w:p w:rsidR="00DE2586" w:rsidRDefault="00CC3F76">
            <w:pPr>
              <w:jc w:val="right"/>
            </w:pPr>
            <w:r>
              <w:rPr>
                <w:color w:val="000000"/>
                <w:sz w:val="24"/>
              </w:rPr>
              <w:t>-</w:t>
            </w:r>
          </w:p>
        </w:tc>
        <w:tc>
          <w:tcPr>
            <w:tcW w:w="1839" w:type="dxa"/>
            <w:vAlign w:val="center"/>
          </w:tcPr>
          <w:p w:rsidR="00DE2586" w:rsidRDefault="00CC3F76">
            <w:pPr>
              <w:jc w:val="right"/>
            </w:pPr>
            <w:r>
              <w:rPr>
                <w:color w:val="000000"/>
                <w:sz w:val="24"/>
              </w:rPr>
              <w:t>-</w:t>
            </w:r>
          </w:p>
        </w:tc>
        <w:tc>
          <w:tcPr>
            <w:tcW w:w="1950" w:type="dxa"/>
            <w:vAlign w:val="center"/>
          </w:tcPr>
          <w:p w:rsidR="00DE2586" w:rsidRDefault="00CC3F76">
            <w:pPr>
              <w:jc w:val="right"/>
            </w:pPr>
            <w:r>
              <w:rPr>
                <w:color w:val="000000"/>
                <w:sz w:val="24"/>
              </w:rPr>
              <w:t>-</w:t>
            </w:r>
          </w:p>
        </w:tc>
        <w:tc>
          <w:tcPr>
            <w:tcW w:w="1894" w:type="dxa"/>
            <w:vAlign w:val="center"/>
          </w:tcPr>
          <w:p w:rsidR="00DE2586" w:rsidRDefault="00CC3F76">
            <w:pPr>
              <w:jc w:val="right"/>
            </w:pPr>
            <w:r>
              <w:rPr>
                <w:color w:val="000000"/>
                <w:sz w:val="24"/>
              </w:rPr>
              <w:t>-</w:t>
            </w:r>
          </w:p>
        </w:tc>
        <w:tc>
          <w:tcPr>
            <w:tcW w:w="1068" w:type="dxa"/>
            <w:vAlign w:val="center"/>
          </w:tcPr>
          <w:p w:rsidR="00DE2586" w:rsidRDefault="00CC3F76">
            <w:pPr>
              <w:jc w:val="left"/>
            </w:pPr>
            <w:r>
              <w:rPr>
                <w:color w:val="000000"/>
                <w:sz w:val="24"/>
              </w:rPr>
              <w:t>-</w:t>
            </w:r>
          </w:p>
        </w:tc>
      </w:tr>
      <w:tr w:rsidR="00DE2586">
        <w:trPr>
          <w:jc w:val="center"/>
        </w:trPr>
        <w:tc>
          <w:tcPr>
            <w:tcW w:w="1157" w:type="dxa"/>
            <w:vAlign w:val="center"/>
          </w:tcPr>
          <w:p w:rsidR="00DE2586" w:rsidRDefault="00CC3F76">
            <w:pPr>
              <w:jc w:val="center"/>
            </w:pPr>
            <w:r>
              <w:rPr>
                <w:color w:val="000000"/>
                <w:sz w:val="24"/>
              </w:rPr>
              <w:t>2016</w:t>
            </w:r>
            <w:r>
              <w:rPr>
                <w:color w:val="000000"/>
                <w:sz w:val="24"/>
              </w:rPr>
              <w:t>年</w:t>
            </w:r>
          </w:p>
        </w:tc>
        <w:tc>
          <w:tcPr>
            <w:tcW w:w="1378" w:type="dxa"/>
            <w:vAlign w:val="center"/>
          </w:tcPr>
          <w:p w:rsidR="00DE2586" w:rsidRDefault="00CC3F76">
            <w:pPr>
              <w:jc w:val="right"/>
            </w:pPr>
            <w:r>
              <w:rPr>
                <w:color w:val="000000"/>
                <w:sz w:val="24"/>
              </w:rPr>
              <w:t>-</w:t>
            </w:r>
          </w:p>
        </w:tc>
        <w:tc>
          <w:tcPr>
            <w:tcW w:w="1839" w:type="dxa"/>
            <w:vAlign w:val="center"/>
          </w:tcPr>
          <w:p w:rsidR="00DE2586" w:rsidRDefault="00CC3F76">
            <w:pPr>
              <w:jc w:val="right"/>
            </w:pPr>
            <w:r>
              <w:rPr>
                <w:color w:val="000000"/>
                <w:sz w:val="24"/>
              </w:rPr>
              <w:t>-</w:t>
            </w:r>
          </w:p>
        </w:tc>
        <w:tc>
          <w:tcPr>
            <w:tcW w:w="1950" w:type="dxa"/>
            <w:vAlign w:val="center"/>
          </w:tcPr>
          <w:p w:rsidR="00DE2586" w:rsidRDefault="00CC3F76">
            <w:pPr>
              <w:jc w:val="right"/>
            </w:pPr>
            <w:r>
              <w:rPr>
                <w:color w:val="000000"/>
                <w:sz w:val="24"/>
              </w:rPr>
              <w:t>-</w:t>
            </w:r>
          </w:p>
        </w:tc>
        <w:tc>
          <w:tcPr>
            <w:tcW w:w="1894" w:type="dxa"/>
            <w:vAlign w:val="center"/>
          </w:tcPr>
          <w:p w:rsidR="00DE2586" w:rsidRDefault="00CC3F76">
            <w:pPr>
              <w:jc w:val="right"/>
            </w:pPr>
            <w:r>
              <w:rPr>
                <w:color w:val="000000"/>
                <w:sz w:val="24"/>
              </w:rPr>
              <w:t>-</w:t>
            </w:r>
          </w:p>
        </w:tc>
        <w:tc>
          <w:tcPr>
            <w:tcW w:w="1068" w:type="dxa"/>
            <w:vAlign w:val="center"/>
          </w:tcPr>
          <w:p w:rsidR="00DE2586" w:rsidRDefault="00CC3F7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6A7711">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347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347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348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DE2586" w:rsidRDefault="00CC3F7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348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E2586">
        <w:tc>
          <w:tcPr>
            <w:tcW w:w="1032" w:type="dxa"/>
            <w:vAlign w:val="center"/>
          </w:tcPr>
          <w:p w:rsidR="00DE2586" w:rsidRDefault="00CC3F76">
            <w:pPr>
              <w:jc w:val="center"/>
            </w:pPr>
            <w:r>
              <w:rPr>
                <w:color w:val="000000"/>
                <w:sz w:val="24"/>
              </w:rPr>
              <w:t>于海颖</w:t>
            </w:r>
          </w:p>
        </w:tc>
        <w:tc>
          <w:tcPr>
            <w:tcW w:w="1416" w:type="dxa"/>
            <w:vAlign w:val="center"/>
          </w:tcPr>
          <w:p w:rsidR="00DE2586" w:rsidRDefault="00CC3F76">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38" w:type="dxa"/>
            <w:vAlign w:val="center"/>
          </w:tcPr>
          <w:p w:rsidR="00DE2586" w:rsidRDefault="00CC3F76">
            <w:pPr>
              <w:jc w:val="center"/>
            </w:pPr>
            <w:r>
              <w:rPr>
                <w:color w:val="000000"/>
                <w:sz w:val="24"/>
              </w:rPr>
              <w:t>2017-06-10</w:t>
            </w:r>
          </w:p>
        </w:tc>
        <w:tc>
          <w:tcPr>
            <w:tcW w:w="1276" w:type="dxa"/>
            <w:vAlign w:val="center"/>
          </w:tcPr>
          <w:p w:rsidR="00DE2586" w:rsidRDefault="00CC3F76">
            <w:pPr>
              <w:jc w:val="center"/>
            </w:pPr>
            <w:r>
              <w:rPr>
                <w:color w:val="000000"/>
                <w:sz w:val="24"/>
              </w:rPr>
              <w:t>-</w:t>
            </w:r>
          </w:p>
        </w:tc>
        <w:tc>
          <w:tcPr>
            <w:tcW w:w="996" w:type="dxa"/>
            <w:vAlign w:val="center"/>
          </w:tcPr>
          <w:p w:rsidR="00DE2586" w:rsidRDefault="00CC3F76">
            <w:pPr>
              <w:jc w:val="center"/>
            </w:pPr>
            <w:r>
              <w:rPr>
                <w:color w:val="000000"/>
                <w:sz w:val="24"/>
              </w:rPr>
              <w:t>12</w:t>
            </w:r>
            <w:r>
              <w:rPr>
                <w:color w:val="000000"/>
                <w:sz w:val="24"/>
              </w:rPr>
              <w:t>年</w:t>
            </w:r>
          </w:p>
        </w:tc>
        <w:tc>
          <w:tcPr>
            <w:tcW w:w="3040" w:type="dxa"/>
            <w:vAlign w:val="center"/>
          </w:tcPr>
          <w:p w:rsidR="00DE2586" w:rsidRDefault="00CC3F7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DE2586">
        <w:tc>
          <w:tcPr>
            <w:tcW w:w="1032" w:type="dxa"/>
            <w:vAlign w:val="center"/>
          </w:tcPr>
          <w:p w:rsidR="00DE2586" w:rsidRDefault="00CC3F76">
            <w:pPr>
              <w:jc w:val="center"/>
            </w:pPr>
            <w:r>
              <w:rPr>
                <w:color w:val="000000"/>
                <w:sz w:val="24"/>
              </w:rPr>
              <w:t>王艺伟</w:t>
            </w:r>
          </w:p>
        </w:tc>
        <w:tc>
          <w:tcPr>
            <w:tcW w:w="1416" w:type="dxa"/>
            <w:vAlign w:val="center"/>
          </w:tcPr>
          <w:p w:rsidR="00DE2586" w:rsidRDefault="00CC3F76">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238" w:type="dxa"/>
            <w:vAlign w:val="center"/>
          </w:tcPr>
          <w:p w:rsidR="00DE2586" w:rsidRDefault="00CC3F76">
            <w:pPr>
              <w:jc w:val="center"/>
            </w:pPr>
            <w:r>
              <w:rPr>
                <w:color w:val="000000"/>
                <w:sz w:val="24"/>
              </w:rPr>
              <w:t>2017-05-24</w:t>
            </w:r>
          </w:p>
        </w:tc>
        <w:tc>
          <w:tcPr>
            <w:tcW w:w="1276" w:type="dxa"/>
            <w:vAlign w:val="center"/>
          </w:tcPr>
          <w:p w:rsidR="00DE2586" w:rsidRDefault="00CC3F76">
            <w:pPr>
              <w:jc w:val="center"/>
            </w:pPr>
            <w:r>
              <w:rPr>
                <w:color w:val="000000"/>
                <w:sz w:val="24"/>
              </w:rPr>
              <w:t>-</w:t>
            </w:r>
          </w:p>
        </w:tc>
        <w:tc>
          <w:tcPr>
            <w:tcW w:w="996" w:type="dxa"/>
            <w:vAlign w:val="center"/>
          </w:tcPr>
          <w:p w:rsidR="00DE2586" w:rsidRDefault="00CC3F76">
            <w:pPr>
              <w:jc w:val="center"/>
            </w:pPr>
            <w:r>
              <w:rPr>
                <w:color w:val="000000"/>
                <w:sz w:val="24"/>
              </w:rPr>
              <w:t>6</w:t>
            </w:r>
            <w:r>
              <w:rPr>
                <w:color w:val="000000"/>
                <w:sz w:val="24"/>
              </w:rPr>
              <w:t>年</w:t>
            </w:r>
          </w:p>
        </w:tc>
        <w:tc>
          <w:tcPr>
            <w:tcW w:w="3040" w:type="dxa"/>
            <w:vAlign w:val="center"/>
          </w:tcPr>
          <w:p w:rsidR="00DE2586" w:rsidRDefault="00CC3F7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DE2586" w:rsidRDefault="00CC3F7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E2586" w:rsidRDefault="00CC3F7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348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348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348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DE2586" w:rsidRDefault="00CC3F7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E2586" w:rsidRDefault="00CC3F7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E2586" w:rsidRDefault="00CC3F7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E2586" w:rsidRDefault="00CC3F7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E2586" w:rsidRDefault="00CC3F7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348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DE2586" w:rsidRDefault="00CC3F7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E2586" w:rsidRDefault="00CC3F7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E2586" w:rsidRDefault="00CC3F7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348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348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348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DE2586" w:rsidRDefault="00CC3F76">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年五月的调整主要来自资金面紧张、信用违约频发以及对稳增长的担忧。</w:t>
      </w:r>
      <w:r>
        <w:rPr>
          <w:color w:val="000000"/>
          <w:sz w:val="24"/>
        </w:rPr>
        <w:t>2018</w:t>
      </w:r>
      <w:r>
        <w:rPr>
          <w:color w:val="000000"/>
          <w:sz w:val="24"/>
        </w:rPr>
        <w:t>年八、九月的调整主要来自对信用扩张、通胀预期、地方债供给增加以及央行收紧资金面的担忧。</w:t>
      </w:r>
    </w:p>
    <w:p w:rsidR="00DE2586" w:rsidRDefault="00CC3F76">
      <w:pPr>
        <w:spacing w:before="29" w:line="288" w:lineRule="auto"/>
        <w:ind w:firstLineChars="200" w:firstLine="480"/>
        <w:rPr>
          <w:color w:val="000000"/>
          <w:sz w:val="24"/>
        </w:rPr>
      </w:pPr>
      <w:r>
        <w:rPr>
          <w:color w:val="000000"/>
          <w:sz w:val="24"/>
        </w:rPr>
        <w:t>权益市场方面，在经济基本面下行、金融去杠杆以及中美贸易争端三重因素影响下，权益市场普遍面临业绩估值下调的困境，上证综指年跌幅</w:t>
      </w:r>
      <w:r>
        <w:rPr>
          <w:color w:val="000000"/>
          <w:sz w:val="24"/>
        </w:rPr>
        <w:t>24.59%</w:t>
      </w:r>
      <w:r>
        <w:rPr>
          <w:color w:val="000000"/>
          <w:sz w:val="24"/>
        </w:rPr>
        <w:t>，创业板指年跌幅</w:t>
      </w:r>
      <w:r>
        <w:rPr>
          <w:color w:val="000000"/>
          <w:sz w:val="24"/>
        </w:rPr>
        <w:t>28.65%</w:t>
      </w:r>
      <w:r>
        <w:rPr>
          <w:color w:val="000000"/>
          <w:sz w:val="24"/>
        </w:rPr>
        <w:t>。全年看，防御性较强的消费及银行跌幅相对较小，但随着经济增速下滑，消费行业在</w:t>
      </w:r>
      <w:r>
        <w:rPr>
          <w:color w:val="000000"/>
          <w:sz w:val="24"/>
        </w:rPr>
        <w:t>2018</w:t>
      </w:r>
      <w:r>
        <w:rPr>
          <w:color w:val="000000"/>
          <w:sz w:val="24"/>
        </w:rPr>
        <w:t>年三季度起的表现也逐步走疲，而电子、有色等在</w:t>
      </w:r>
      <w:r>
        <w:rPr>
          <w:color w:val="000000"/>
          <w:sz w:val="24"/>
        </w:rPr>
        <w:t>2017</w:t>
      </w:r>
      <w:r>
        <w:rPr>
          <w:color w:val="000000"/>
          <w:sz w:val="24"/>
        </w:rPr>
        <w:t>年相对强势的行业表现较差。</w:t>
      </w:r>
    </w:p>
    <w:p w:rsidR="001A59F9" w:rsidRPr="00125363" w:rsidRDefault="001A59F9" w:rsidP="00125363">
      <w:pPr>
        <w:spacing w:before="29" w:line="288" w:lineRule="auto"/>
        <w:ind w:firstLineChars="200" w:firstLine="480"/>
        <w:rPr>
          <w:color w:val="000000"/>
          <w:sz w:val="24"/>
        </w:rPr>
      </w:pPr>
      <w:r w:rsidRPr="00125363">
        <w:rPr>
          <w:color w:val="000000"/>
          <w:sz w:val="24"/>
        </w:rPr>
        <w:t>组合操作层面，本基金在</w:t>
      </w:r>
      <w:r w:rsidRPr="00125363">
        <w:rPr>
          <w:color w:val="000000"/>
          <w:sz w:val="24"/>
        </w:rPr>
        <w:t>CPPI</w:t>
      </w:r>
      <w:r w:rsidRPr="00125363">
        <w:rPr>
          <w:color w:val="000000"/>
          <w:sz w:val="24"/>
        </w:rPr>
        <w:t>管理框架的基础上继续积累组合安全垫，并控制组合回撤。考虑到流动性宽松较为确定，组合维持高杠杆策略，并在</w:t>
      </w:r>
      <w:r w:rsidRPr="00125363">
        <w:rPr>
          <w:color w:val="000000"/>
          <w:sz w:val="24"/>
        </w:rPr>
        <w:t>2018</w:t>
      </w:r>
      <w:r w:rsidRPr="00125363">
        <w:rPr>
          <w:color w:val="000000"/>
          <w:sz w:val="24"/>
        </w:rPr>
        <w:t>年前三个季度择机将部分短久期资产置换为保本周期范围内和保本剩余期限相匹配的久期较长的优质资产，以提升组合静态。</w:t>
      </w:r>
      <w:r w:rsidRPr="00125363">
        <w:rPr>
          <w:color w:val="000000"/>
          <w:sz w:val="24"/>
        </w:rPr>
        <w:t>2018</w:t>
      </w:r>
      <w:r w:rsidRPr="00125363">
        <w:rPr>
          <w:color w:val="000000"/>
          <w:sz w:val="24"/>
        </w:rPr>
        <w:t>年四季度由于保本周期即将到期，组合资产期限与保本周期较为匹配，因此不再进行置换操作。在权益和转债配置方面，组合在</w:t>
      </w:r>
      <w:r w:rsidRPr="00125363">
        <w:rPr>
          <w:color w:val="000000"/>
          <w:sz w:val="24"/>
        </w:rPr>
        <w:t>2018</w:t>
      </w:r>
      <w:r w:rsidRPr="00125363">
        <w:rPr>
          <w:color w:val="000000"/>
          <w:sz w:val="24"/>
        </w:rPr>
        <w:t>年一、二季度维持偏低仓位，三季度起权益和转债基本维持零仓位，以控制回撤风险。</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348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349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25363">
        <w:rPr>
          <w:color w:val="000000"/>
          <w:sz w:val="24"/>
        </w:rPr>
        <w:t>2018</w:t>
      </w:r>
      <w:r w:rsidRPr="00125363">
        <w:rPr>
          <w:color w:val="000000"/>
          <w:sz w:val="24"/>
        </w:rPr>
        <w:t>年那么顺畅，关注逆周期调节政策可能会导致社融同比阶段性企稳，猪价油价超预期上涨可能会对通胀预期产生扰动。从操作层面上，我们预期资金面相对充裕的格局并未改变，保本组合将延续杠杆策略，并保证组合久期与保本周期基本匹配，赚取稳定收益，同时由于本组合保本周期将于</w:t>
      </w:r>
      <w:r w:rsidRPr="00125363">
        <w:rPr>
          <w:color w:val="000000"/>
          <w:sz w:val="24"/>
        </w:rPr>
        <w:t>2019</w:t>
      </w:r>
      <w:r w:rsidRPr="00125363">
        <w:rPr>
          <w:color w:val="000000"/>
          <w:sz w:val="24"/>
        </w:rPr>
        <w:t>年一季度到期，届时组合会择机降低杠杆水平，根据规模的变动情况动态的进行组合的调整，并按照转型后的基金合同进行组合的操作和配置。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349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DE2586" w:rsidRDefault="00CC3F76">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DE2586" w:rsidRDefault="00CC3F7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E2586" w:rsidRDefault="00CC3F76">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DE2586" w:rsidRDefault="00CC3F76">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DE2586" w:rsidRDefault="00CC3F76">
      <w:pPr>
        <w:spacing w:before="29" w:line="288" w:lineRule="auto"/>
        <w:ind w:firstLineChars="200" w:firstLine="480"/>
        <w:rPr>
          <w:color w:val="000000"/>
          <w:sz w:val="24"/>
        </w:rPr>
      </w:pPr>
      <w:r>
        <w:rPr>
          <w:color w:val="000000"/>
          <w:sz w:val="24"/>
        </w:rPr>
        <w:t>（二）继续深化全面风险管理，提高风险控制有效性。</w:t>
      </w:r>
    </w:p>
    <w:p w:rsidR="00DE2586" w:rsidRDefault="00CC3F76">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DE2586" w:rsidRDefault="00CC3F76">
      <w:pPr>
        <w:spacing w:before="29" w:line="288" w:lineRule="auto"/>
        <w:ind w:firstLineChars="200" w:firstLine="480"/>
        <w:rPr>
          <w:color w:val="000000"/>
          <w:sz w:val="24"/>
        </w:rPr>
      </w:pPr>
      <w:r>
        <w:rPr>
          <w:color w:val="000000"/>
          <w:sz w:val="24"/>
        </w:rPr>
        <w:t>（三）全面开展内部监督检查，强化公司内部控制。</w:t>
      </w:r>
    </w:p>
    <w:p w:rsidR="00DE2586" w:rsidRDefault="00CC3F7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E2586" w:rsidRDefault="00CC3F76">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349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DE2586" w:rsidRDefault="00CC3F7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E2586" w:rsidRDefault="00CC3F7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190DA1" w:rsidRDefault="00486CC6" w:rsidP="00190DA1">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3493"/>
      <w:r w:rsidRPr="00190DA1">
        <w:rPr>
          <w:rFonts w:ascii="Times New Roman" w:hAnsi="Times New Roman"/>
          <w:kern w:val="0"/>
          <w:szCs w:val="24"/>
        </w:rPr>
        <w:t>4.</w:t>
      </w:r>
      <w:r w:rsidRPr="00190DA1">
        <w:rPr>
          <w:rFonts w:ascii="Times New Roman" w:hAnsi="Times New Roman" w:hint="eastAsia"/>
          <w:kern w:val="0"/>
          <w:szCs w:val="24"/>
        </w:rPr>
        <w:t>8</w:t>
      </w:r>
      <w:r w:rsidRPr="00190DA1">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190DA1" w:rsidRDefault="00486CC6" w:rsidP="00190DA1">
      <w:pPr>
        <w:pStyle w:val="20"/>
        <w:spacing w:before="29" w:after="0" w:line="288" w:lineRule="auto"/>
        <w:rPr>
          <w:rFonts w:ascii="Times New Roman" w:hAnsi="Times New Roman"/>
          <w:kern w:val="0"/>
          <w:szCs w:val="24"/>
        </w:rPr>
      </w:pPr>
      <w:bookmarkStart w:id="75" w:name="_Toc4153494"/>
      <w:r w:rsidRPr="00190DA1">
        <w:rPr>
          <w:rFonts w:ascii="Times New Roman" w:hAnsi="Times New Roman"/>
          <w:kern w:val="0"/>
          <w:szCs w:val="24"/>
        </w:rPr>
        <w:t>4.9</w:t>
      </w:r>
      <w:r w:rsidRPr="00190DA1">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6A7711">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349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349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349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DE2586" w:rsidRDefault="00CC3F76">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本报告期内，本基金未进行利润分配。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349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本托管人复核审查的本报告中的财务指标、净值表现、财务会计报告、投资组合报告等内容真实、准确和完整。</w:t>
      </w:r>
    </w:p>
    <w:p w:rsidR="00F41B52" w:rsidRPr="007455A2" w:rsidRDefault="00F41B52" w:rsidP="007455A2">
      <w:pPr>
        <w:spacing w:before="29" w:line="288" w:lineRule="auto"/>
        <w:ind w:firstLineChars="200" w:firstLine="480"/>
        <w:rPr>
          <w:color w:val="000000"/>
          <w:sz w:val="24"/>
        </w:rPr>
      </w:pPr>
    </w:p>
    <w:p w:rsidR="00996931" w:rsidRPr="00E62260" w:rsidRDefault="00996931" w:rsidP="006A7711">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4153499"/>
      <w:bookmarkStart w:id="96"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996931" w:rsidRPr="00E62260" w:rsidRDefault="00647EF6" w:rsidP="00996931">
      <w:pPr>
        <w:widowControl/>
        <w:spacing w:line="288" w:lineRule="auto"/>
        <w:jc w:val="right"/>
        <w:rPr>
          <w:rFonts w:eastAsiaTheme="minorEastAsia"/>
          <w:sz w:val="24"/>
        </w:rPr>
      </w:pPr>
      <w:r w:rsidRPr="00647EF6">
        <w:rPr>
          <w:rFonts w:eastAsiaTheme="minorEastAsia" w:hint="eastAsia"/>
          <w:kern w:val="0"/>
          <w:sz w:val="24"/>
        </w:rPr>
        <w:t>普华永道中天审字</w:t>
      </w:r>
      <w:r w:rsidRPr="00647EF6">
        <w:rPr>
          <w:rFonts w:eastAsiaTheme="minorEastAsia" w:hint="eastAsia"/>
          <w:kern w:val="0"/>
          <w:sz w:val="24"/>
        </w:rPr>
        <w:t>(2019)</w:t>
      </w:r>
      <w:r w:rsidRPr="00647EF6">
        <w:rPr>
          <w:rFonts w:eastAsiaTheme="minorEastAsia" w:hint="eastAsia"/>
          <w:kern w:val="0"/>
          <w:sz w:val="24"/>
        </w:rPr>
        <w:t>第</w:t>
      </w:r>
      <w:r w:rsidRPr="00647EF6">
        <w:rPr>
          <w:rFonts w:eastAsiaTheme="minorEastAsia" w:hint="eastAsia"/>
          <w:kern w:val="0"/>
          <w:sz w:val="24"/>
        </w:rPr>
        <w:t>21575</w:t>
      </w:r>
      <w:r w:rsidRPr="00647EF6">
        <w:rPr>
          <w:rFonts w:eastAsiaTheme="minorEastAsia" w:hint="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交银施罗德荣鑫保本混合型证券投资基金全体基金份额持有人</w:t>
      </w:r>
      <w:r w:rsidRPr="00E62260">
        <w:rPr>
          <w:rFonts w:eastAsiaTheme="minorEastAsia"/>
          <w:sz w:val="24"/>
        </w:rPr>
        <w:t>：</w:t>
      </w:r>
    </w:p>
    <w:p w:rsidR="00786873" w:rsidRPr="00786873" w:rsidRDefault="00786873" w:rsidP="00786873">
      <w:pPr>
        <w:pStyle w:val="20"/>
        <w:spacing w:beforeLines="50" w:before="156" w:after="0" w:line="288" w:lineRule="auto"/>
        <w:rPr>
          <w:rFonts w:ascii="Times New Roman" w:eastAsiaTheme="minorEastAsia" w:hAnsi="Times New Roman" w:hint="eastAsia"/>
          <w:kern w:val="0"/>
          <w:szCs w:val="24"/>
        </w:rPr>
      </w:pPr>
      <w:r w:rsidRPr="00786873">
        <w:rPr>
          <w:rFonts w:ascii="Times New Roman" w:eastAsiaTheme="minorEastAsia" w:hAnsi="Times New Roman" w:hint="eastAsia"/>
          <w:kern w:val="0"/>
          <w:szCs w:val="24"/>
        </w:rPr>
        <w:t xml:space="preserve">6.1 </w:t>
      </w:r>
      <w:r w:rsidRPr="00786873">
        <w:rPr>
          <w:rFonts w:ascii="Times New Roman" w:eastAsiaTheme="minorEastAsia" w:hAnsi="Times New Roman" w:hint="eastAsia"/>
          <w:kern w:val="0"/>
          <w:szCs w:val="24"/>
        </w:rPr>
        <w:t>审计意见</w:t>
      </w:r>
    </w:p>
    <w:p w:rsidR="00786873" w:rsidRPr="00786873" w:rsidRDefault="00786873" w:rsidP="00786873">
      <w:pPr>
        <w:widowControl/>
        <w:spacing w:line="288" w:lineRule="auto"/>
        <w:ind w:firstLine="420"/>
        <w:rPr>
          <w:rFonts w:eastAsiaTheme="minorEastAsia" w:hint="eastAsia"/>
          <w:kern w:val="0"/>
          <w:sz w:val="24"/>
        </w:rPr>
      </w:pPr>
      <w:bookmarkStart w:id="97" w:name="_Toc286996147"/>
      <w:bookmarkStart w:id="98" w:name="_Toc352255987"/>
      <w:bookmarkStart w:id="99" w:name="_Toc352256055"/>
      <w:bookmarkStart w:id="100" w:name="_Toc352331233"/>
      <w:bookmarkStart w:id="101" w:name="_Toc362424011"/>
      <w:bookmarkStart w:id="102" w:name="_Toc374459273"/>
      <w:r w:rsidRPr="00786873">
        <w:rPr>
          <w:rFonts w:eastAsiaTheme="minorEastAsia" w:hint="eastAsia"/>
          <w:kern w:val="0"/>
          <w:sz w:val="24"/>
        </w:rPr>
        <w:t>(</w:t>
      </w:r>
      <w:r w:rsidRPr="00786873">
        <w:rPr>
          <w:rFonts w:eastAsiaTheme="minorEastAsia" w:hint="eastAsia"/>
          <w:kern w:val="0"/>
          <w:sz w:val="24"/>
        </w:rPr>
        <w:t>一</w:t>
      </w:r>
      <w:r w:rsidRPr="00786873">
        <w:rPr>
          <w:rFonts w:eastAsiaTheme="minorEastAsia" w:hint="eastAsia"/>
          <w:kern w:val="0"/>
          <w:sz w:val="24"/>
        </w:rPr>
        <w:t>)</w:t>
      </w:r>
      <w:r w:rsidRPr="00786873">
        <w:rPr>
          <w:rFonts w:eastAsiaTheme="minorEastAsia" w:hint="eastAsia"/>
          <w:kern w:val="0"/>
          <w:sz w:val="24"/>
        </w:rPr>
        <w:tab/>
      </w:r>
      <w:r w:rsidRPr="00786873">
        <w:rPr>
          <w:rFonts w:eastAsiaTheme="minorEastAsia" w:hint="eastAsia"/>
          <w:kern w:val="0"/>
          <w:sz w:val="24"/>
        </w:rPr>
        <w:t>我们审计的内容</w:t>
      </w:r>
    </w:p>
    <w:p w:rsidR="00786873" w:rsidRPr="00786873" w:rsidRDefault="00786873" w:rsidP="00786873">
      <w:pPr>
        <w:widowControl/>
        <w:spacing w:line="288" w:lineRule="auto"/>
        <w:ind w:firstLine="420"/>
        <w:rPr>
          <w:rFonts w:eastAsiaTheme="minorEastAsia" w:hint="eastAsia"/>
          <w:kern w:val="0"/>
          <w:sz w:val="24"/>
        </w:rPr>
      </w:pPr>
      <w:r w:rsidRPr="00786873">
        <w:rPr>
          <w:rFonts w:eastAsiaTheme="minorEastAsia" w:hint="eastAsia"/>
          <w:kern w:val="0"/>
          <w:sz w:val="24"/>
        </w:rPr>
        <w:t>我们审计了交银施罗德荣鑫保本混合型证券投资基金</w:t>
      </w:r>
      <w:r w:rsidRPr="00786873">
        <w:rPr>
          <w:rFonts w:eastAsiaTheme="minorEastAsia" w:hint="eastAsia"/>
          <w:kern w:val="0"/>
          <w:sz w:val="24"/>
        </w:rPr>
        <w:t>(</w:t>
      </w:r>
      <w:r w:rsidRPr="00786873">
        <w:rPr>
          <w:rFonts w:eastAsiaTheme="minorEastAsia" w:hint="eastAsia"/>
          <w:kern w:val="0"/>
          <w:sz w:val="24"/>
        </w:rPr>
        <w:t>以下简称“交银荣鑫保本混合基金”</w:t>
      </w:r>
      <w:r w:rsidRPr="00786873">
        <w:rPr>
          <w:rFonts w:eastAsiaTheme="minorEastAsia" w:hint="eastAsia"/>
          <w:kern w:val="0"/>
          <w:sz w:val="24"/>
        </w:rPr>
        <w:t>)</w:t>
      </w:r>
      <w:r w:rsidRPr="00786873">
        <w:rPr>
          <w:rFonts w:eastAsiaTheme="minorEastAsia" w:hint="eastAsia"/>
          <w:kern w:val="0"/>
          <w:sz w:val="24"/>
        </w:rPr>
        <w:t>的财务报表，包括</w:t>
      </w:r>
      <w:r w:rsidRPr="00786873">
        <w:rPr>
          <w:rFonts w:eastAsiaTheme="minorEastAsia" w:hint="eastAsia"/>
          <w:kern w:val="0"/>
          <w:sz w:val="24"/>
        </w:rPr>
        <w:t>2018</w:t>
      </w:r>
      <w:r w:rsidRPr="00786873">
        <w:rPr>
          <w:rFonts w:eastAsiaTheme="minorEastAsia" w:hint="eastAsia"/>
          <w:kern w:val="0"/>
          <w:sz w:val="24"/>
        </w:rPr>
        <w:t>年</w:t>
      </w:r>
      <w:r w:rsidRPr="00786873">
        <w:rPr>
          <w:rFonts w:eastAsiaTheme="minorEastAsia" w:hint="eastAsia"/>
          <w:kern w:val="0"/>
          <w:sz w:val="24"/>
        </w:rPr>
        <w:t>12</w:t>
      </w:r>
      <w:r w:rsidRPr="00786873">
        <w:rPr>
          <w:rFonts w:eastAsiaTheme="minorEastAsia" w:hint="eastAsia"/>
          <w:kern w:val="0"/>
          <w:sz w:val="24"/>
        </w:rPr>
        <w:t>月</w:t>
      </w:r>
      <w:r w:rsidRPr="00786873">
        <w:rPr>
          <w:rFonts w:eastAsiaTheme="minorEastAsia" w:hint="eastAsia"/>
          <w:kern w:val="0"/>
          <w:sz w:val="24"/>
        </w:rPr>
        <w:t>31</w:t>
      </w:r>
      <w:r w:rsidRPr="00786873">
        <w:rPr>
          <w:rFonts w:eastAsiaTheme="minorEastAsia" w:hint="eastAsia"/>
          <w:kern w:val="0"/>
          <w:sz w:val="24"/>
        </w:rPr>
        <w:t>日的资产负债表，</w:t>
      </w:r>
      <w:r w:rsidRPr="00786873">
        <w:rPr>
          <w:rFonts w:eastAsiaTheme="minorEastAsia" w:hint="eastAsia"/>
          <w:kern w:val="0"/>
          <w:sz w:val="24"/>
        </w:rPr>
        <w:t>2018</w:t>
      </w:r>
      <w:r w:rsidRPr="00786873">
        <w:rPr>
          <w:rFonts w:eastAsiaTheme="minorEastAsia" w:hint="eastAsia"/>
          <w:kern w:val="0"/>
          <w:sz w:val="24"/>
        </w:rPr>
        <w:t>年度的利润表和所有者权益</w:t>
      </w:r>
      <w:r w:rsidRPr="00786873">
        <w:rPr>
          <w:rFonts w:eastAsiaTheme="minorEastAsia" w:hint="eastAsia"/>
          <w:kern w:val="0"/>
          <w:sz w:val="24"/>
        </w:rPr>
        <w:t>(</w:t>
      </w:r>
      <w:r w:rsidRPr="00786873">
        <w:rPr>
          <w:rFonts w:eastAsiaTheme="minorEastAsia" w:hint="eastAsia"/>
          <w:kern w:val="0"/>
          <w:sz w:val="24"/>
        </w:rPr>
        <w:t>基金净值</w:t>
      </w:r>
      <w:r w:rsidRPr="00786873">
        <w:rPr>
          <w:rFonts w:eastAsiaTheme="minorEastAsia" w:hint="eastAsia"/>
          <w:kern w:val="0"/>
          <w:sz w:val="24"/>
        </w:rPr>
        <w:t>)</w:t>
      </w:r>
      <w:r w:rsidRPr="00786873">
        <w:rPr>
          <w:rFonts w:eastAsiaTheme="minorEastAsia" w:hint="eastAsia"/>
          <w:kern w:val="0"/>
          <w:sz w:val="24"/>
        </w:rPr>
        <w:t>变动表以及财务报表附注。</w:t>
      </w:r>
    </w:p>
    <w:p w:rsidR="00786873" w:rsidRPr="00786873" w:rsidRDefault="00786873" w:rsidP="00786873">
      <w:pPr>
        <w:widowControl/>
        <w:spacing w:line="288" w:lineRule="auto"/>
        <w:ind w:firstLine="420"/>
        <w:rPr>
          <w:rFonts w:eastAsiaTheme="minorEastAsia" w:hint="eastAsia"/>
          <w:kern w:val="0"/>
          <w:sz w:val="24"/>
        </w:rPr>
      </w:pPr>
      <w:r w:rsidRPr="00786873">
        <w:rPr>
          <w:rFonts w:eastAsiaTheme="minorEastAsia" w:hint="eastAsia"/>
          <w:kern w:val="0"/>
          <w:sz w:val="24"/>
        </w:rPr>
        <w:t>(</w:t>
      </w:r>
      <w:r w:rsidRPr="00786873">
        <w:rPr>
          <w:rFonts w:eastAsiaTheme="minorEastAsia" w:hint="eastAsia"/>
          <w:kern w:val="0"/>
          <w:sz w:val="24"/>
        </w:rPr>
        <w:t>二</w:t>
      </w:r>
      <w:r w:rsidRPr="00786873">
        <w:rPr>
          <w:rFonts w:eastAsiaTheme="minorEastAsia" w:hint="eastAsia"/>
          <w:kern w:val="0"/>
          <w:sz w:val="24"/>
        </w:rPr>
        <w:t>)</w:t>
      </w:r>
      <w:r w:rsidRPr="00786873">
        <w:rPr>
          <w:rFonts w:eastAsiaTheme="minorEastAsia" w:hint="eastAsia"/>
          <w:kern w:val="0"/>
          <w:sz w:val="24"/>
        </w:rPr>
        <w:tab/>
      </w:r>
      <w:r w:rsidRPr="00786873">
        <w:rPr>
          <w:rFonts w:eastAsiaTheme="minorEastAsia" w:hint="eastAsia"/>
          <w:kern w:val="0"/>
          <w:sz w:val="24"/>
        </w:rPr>
        <w:t>我们的意见</w:t>
      </w:r>
    </w:p>
    <w:p w:rsidR="00996931" w:rsidRDefault="00786873" w:rsidP="00786873">
      <w:pPr>
        <w:widowControl/>
        <w:spacing w:line="288" w:lineRule="auto"/>
        <w:ind w:firstLine="420"/>
        <w:rPr>
          <w:rFonts w:eastAsiaTheme="minorEastAsia"/>
          <w:kern w:val="0"/>
          <w:sz w:val="24"/>
        </w:rPr>
      </w:pPr>
      <w:r w:rsidRPr="00786873">
        <w:rPr>
          <w:rFonts w:eastAsiaTheme="minorEastAsia" w:hint="eastAsia"/>
          <w:kern w:val="0"/>
          <w:sz w:val="24"/>
        </w:rPr>
        <w:t>我们认为，后附的财务报表在所有重大方面按照企业会计准则和在财务报表附注中所列示的中国证券监督管理委员会</w:t>
      </w:r>
      <w:r w:rsidRPr="00786873">
        <w:rPr>
          <w:rFonts w:eastAsiaTheme="minorEastAsia" w:hint="eastAsia"/>
          <w:kern w:val="0"/>
          <w:sz w:val="24"/>
        </w:rPr>
        <w:t>(</w:t>
      </w:r>
      <w:r w:rsidRPr="00786873">
        <w:rPr>
          <w:rFonts w:eastAsiaTheme="minorEastAsia" w:hint="eastAsia"/>
          <w:kern w:val="0"/>
          <w:sz w:val="24"/>
        </w:rPr>
        <w:t>以下简称“中国证监会”</w:t>
      </w:r>
      <w:r w:rsidRPr="00786873">
        <w:rPr>
          <w:rFonts w:eastAsiaTheme="minorEastAsia" w:hint="eastAsia"/>
          <w:kern w:val="0"/>
          <w:sz w:val="24"/>
        </w:rPr>
        <w:t>)</w:t>
      </w:r>
      <w:r w:rsidRPr="00786873">
        <w:rPr>
          <w:rFonts w:eastAsiaTheme="minorEastAsia" w:hint="eastAsia"/>
          <w:kern w:val="0"/>
          <w:sz w:val="24"/>
        </w:rPr>
        <w:t>、中国证券投资基金业协会</w:t>
      </w:r>
      <w:r w:rsidRPr="00786873">
        <w:rPr>
          <w:rFonts w:eastAsiaTheme="minorEastAsia" w:hint="eastAsia"/>
          <w:kern w:val="0"/>
          <w:sz w:val="24"/>
        </w:rPr>
        <w:t>(</w:t>
      </w:r>
      <w:r w:rsidRPr="00786873">
        <w:rPr>
          <w:rFonts w:eastAsiaTheme="minorEastAsia" w:hint="eastAsia"/>
          <w:kern w:val="0"/>
          <w:sz w:val="24"/>
        </w:rPr>
        <w:t>以下简称“中国基金业协会”</w:t>
      </w:r>
      <w:r w:rsidRPr="00786873">
        <w:rPr>
          <w:rFonts w:eastAsiaTheme="minorEastAsia" w:hint="eastAsia"/>
          <w:kern w:val="0"/>
          <w:sz w:val="24"/>
        </w:rPr>
        <w:t>)</w:t>
      </w:r>
      <w:r w:rsidRPr="00786873">
        <w:rPr>
          <w:rFonts w:eastAsiaTheme="minorEastAsia" w:hint="eastAsia"/>
          <w:kern w:val="0"/>
          <w:sz w:val="24"/>
        </w:rPr>
        <w:t>发布的有关规定及允许的基金行业实务操作编制，公允反映了交银荣鑫保本混合基金</w:t>
      </w:r>
      <w:r w:rsidRPr="00786873">
        <w:rPr>
          <w:rFonts w:eastAsiaTheme="minorEastAsia" w:hint="eastAsia"/>
          <w:kern w:val="0"/>
          <w:sz w:val="24"/>
        </w:rPr>
        <w:t>2018</w:t>
      </w:r>
      <w:r w:rsidRPr="00786873">
        <w:rPr>
          <w:rFonts w:eastAsiaTheme="minorEastAsia" w:hint="eastAsia"/>
          <w:kern w:val="0"/>
          <w:sz w:val="24"/>
        </w:rPr>
        <w:t>年</w:t>
      </w:r>
      <w:r w:rsidRPr="00786873">
        <w:rPr>
          <w:rFonts w:eastAsiaTheme="minorEastAsia" w:hint="eastAsia"/>
          <w:kern w:val="0"/>
          <w:sz w:val="24"/>
        </w:rPr>
        <w:t>12</w:t>
      </w:r>
      <w:r w:rsidRPr="00786873">
        <w:rPr>
          <w:rFonts w:eastAsiaTheme="minorEastAsia" w:hint="eastAsia"/>
          <w:kern w:val="0"/>
          <w:sz w:val="24"/>
        </w:rPr>
        <w:t>月</w:t>
      </w:r>
      <w:r w:rsidRPr="00786873">
        <w:rPr>
          <w:rFonts w:eastAsiaTheme="minorEastAsia" w:hint="eastAsia"/>
          <w:kern w:val="0"/>
          <w:sz w:val="24"/>
        </w:rPr>
        <w:t>31</w:t>
      </w:r>
      <w:r w:rsidRPr="00786873">
        <w:rPr>
          <w:rFonts w:eastAsiaTheme="minorEastAsia" w:hint="eastAsia"/>
          <w:kern w:val="0"/>
          <w:sz w:val="24"/>
        </w:rPr>
        <w:t>日的财务状况以及</w:t>
      </w:r>
      <w:r w:rsidRPr="00786873">
        <w:rPr>
          <w:rFonts w:eastAsiaTheme="minorEastAsia" w:hint="eastAsia"/>
          <w:kern w:val="0"/>
          <w:sz w:val="24"/>
        </w:rPr>
        <w:t>2018</w:t>
      </w:r>
      <w:r w:rsidRPr="00786873">
        <w:rPr>
          <w:rFonts w:eastAsiaTheme="minorEastAsia" w:hint="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6A7711">
      <w:pPr>
        <w:pStyle w:val="20"/>
        <w:spacing w:beforeLines="50" w:before="156" w:after="0" w:line="288" w:lineRule="auto"/>
        <w:rPr>
          <w:rFonts w:ascii="Times New Roman" w:eastAsiaTheme="minorEastAsia" w:hAnsi="Times New Roman"/>
          <w:kern w:val="0"/>
          <w:szCs w:val="24"/>
        </w:rPr>
      </w:pPr>
      <w:bookmarkStart w:id="103" w:name="_Toc4153501"/>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3"/>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223E8" w:rsidRPr="00E62260" w:rsidRDefault="00786873" w:rsidP="00786873">
      <w:pPr>
        <w:spacing w:line="288" w:lineRule="auto"/>
        <w:ind w:firstLineChars="200" w:firstLine="480"/>
        <w:rPr>
          <w:rFonts w:eastAsiaTheme="minorEastAsia"/>
          <w:sz w:val="24"/>
        </w:rPr>
      </w:pPr>
      <w:r w:rsidRPr="00786873">
        <w:rPr>
          <w:rFonts w:eastAsiaTheme="minorEastAsia" w:hint="eastAsia"/>
          <w:sz w:val="24"/>
        </w:rPr>
        <w:t>按照中国注册会计师职业道德守则，我们独立于交银荣鑫保本混合基金，并履行了职业道德方面的其他责任。</w:t>
      </w:r>
    </w:p>
    <w:p w:rsidR="00996931" w:rsidRPr="00E62260" w:rsidRDefault="00996931" w:rsidP="006A7711">
      <w:pPr>
        <w:pStyle w:val="20"/>
        <w:spacing w:beforeLines="50" w:before="156" w:after="0" w:line="288" w:lineRule="auto"/>
        <w:rPr>
          <w:rFonts w:ascii="Times New Roman" w:eastAsiaTheme="minorEastAsia" w:hAnsi="Times New Roman"/>
          <w:kern w:val="0"/>
          <w:szCs w:val="24"/>
        </w:rPr>
      </w:pPr>
      <w:bookmarkStart w:id="104" w:name="_Toc4153502"/>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97"/>
      <w:bookmarkEnd w:id="98"/>
      <w:bookmarkEnd w:id="99"/>
      <w:bookmarkEnd w:id="100"/>
      <w:bookmarkEnd w:id="101"/>
      <w:bookmarkEnd w:id="102"/>
      <w:r w:rsidR="00463320" w:rsidRPr="00463320">
        <w:rPr>
          <w:rFonts w:ascii="Times New Roman" w:eastAsiaTheme="minorEastAsia" w:hAnsi="Times New Roman" w:hint="eastAsia"/>
          <w:kern w:val="0"/>
          <w:szCs w:val="24"/>
        </w:rPr>
        <w:t>管理层和治理层对财务报表的责任</w:t>
      </w:r>
      <w:bookmarkEnd w:id="104"/>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交银荣鑫保本混合基金的基金管理人交银施罗德基金管理有限公司</w:t>
      </w:r>
      <w:r w:rsidRPr="00786873">
        <w:rPr>
          <w:rFonts w:eastAsiaTheme="minorEastAsia" w:hint="eastAsia"/>
          <w:sz w:val="24"/>
        </w:rPr>
        <w:t>(</w:t>
      </w:r>
      <w:r w:rsidRPr="00786873">
        <w:rPr>
          <w:rFonts w:eastAsiaTheme="minorEastAsia" w:hint="eastAsia"/>
          <w:sz w:val="24"/>
        </w:rPr>
        <w:t>以下简称“基金管理人”</w:t>
      </w:r>
      <w:r w:rsidRPr="00786873">
        <w:rPr>
          <w:rFonts w:eastAsiaTheme="minorEastAsia" w:hint="eastAsia"/>
          <w:sz w:val="24"/>
        </w:rPr>
        <w:t>)</w:t>
      </w:r>
      <w:r w:rsidRPr="00786873">
        <w:rPr>
          <w:rFonts w:eastAsiaTheme="minorEastAsia" w:hint="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86873" w:rsidRPr="00786873" w:rsidRDefault="00786873" w:rsidP="00786873">
      <w:pPr>
        <w:spacing w:line="288" w:lineRule="auto"/>
        <w:ind w:firstLineChars="200" w:firstLine="480"/>
        <w:rPr>
          <w:rFonts w:eastAsiaTheme="minorEastAsia"/>
          <w:sz w:val="24"/>
        </w:rPr>
      </w:pPr>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在编制财务报表时，基金管理人管理层负责评估交银荣鑫保本混合基金的持续经营能力，披露与持续经营相关的事项</w:t>
      </w:r>
      <w:r w:rsidRPr="00786873">
        <w:rPr>
          <w:rFonts w:eastAsiaTheme="minorEastAsia" w:hint="eastAsia"/>
          <w:sz w:val="24"/>
        </w:rPr>
        <w:t>(</w:t>
      </w:r>
      <w:r w:rsidRPr="00786873">
        <w:rPr>
          <w:rFonts w:eastAsiaTheme="minorEastAsia" w:hint="eastAsia"/>
          <w:sz w:val="24"/>
        </w:rPr>
        <w:t>如适用</w:t>
      </w:r>
      <w:r w:rsidRPr="00786873">
        <w:rPr>
          <w:rFonts w:eastAsiaTheme="minorEastAsia" w:hint="eastAsia"/>
          <w:sz w:val="24"/>
        </w:rPr>
        <w:t>)</w:t>
      </w:r>
      <w:r w:rsidRPr="00786873">
        <w:rPr>
          <w:rFonts w:eastAsiaTheme="minorEastAsia" w:hint="eastAsia"/>
          <w:sz w:val="24"/>
        </w:rPr>
        <w:t>，并运用持续经营假设，除非基金管理人管理层计划清算交银荣鑫保本混合基金、终止运营或别无其他现实的选择。</w:t>
      </w:r>
    </w:p>
    <w:p w:rsidR="00996931" w:rsidRDefault="00786873" w:rsidP="00786873">
      <w:pPr>
        <w:spacing w:line="288" w:lineRule="auto"/>
        <w:ind w:firstLineChars="200" w:firstLine="480"/>
        <w:rPr>
          <w:rFonts w:eastAsiaTheme="minorEastAsia"/>
          <w:sz w:val="24"/>
        </w:rPr>
      </w:pPr>
      <w:r w:rsidRPr="00786873">
        <w:rPr>
          <w:rFonts w:eastAsiaTheme="minorEastAsia" w:hint="eastAsia"/>
          <w:sz w:val="24"/>
        </w:rPr>
        <w:t>基金管理人治理层负责监督交银荣鑫保本混合基金的财务报告过程。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6A7711">
      <w:pPr>
        <w:pStyle w:val="20"/>
        <w:spacing w:beforeLines="50" w:before="156" w:after="0" w:line="288" w:lineRule="auto"/>
        <w:rPr>
          <w:rFonts w:ascii="Times New Roman" w:eastAsiaTheme="minorEastAsia" w:hAnsi="Times New Roman"/>
          <w:kern w:val="0"/>
          <w:szCs w:val="24"/>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4153503"/>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5"/>
      <w:bookmarkEnd w:id="106"/>
      <w:bookmarkEnd w:id="107"/>
      <w:bookmarkEnd w:id="108"/>
      <w:bookmarkEnd w:id="109"/>
      <w:bookmarkEnd w:id="110"/>
      <w:r w:rsidR="00F808BA" w:rsidRPr="00F808BA">
        <w:rPr>
          <w:rFonts w:ascii="Times New Roman" w:eastAsiaTheme="minorEastAsia" w:hAnsi="Times New Roman" w:hint="eastAsia"/>
          <w:kern w:val="0"/>
          <w:szCs w:val="24"/>
        </w:rPr>
        <w:t>注册会计师对财务报表审计的责任</w:t>
      </w:r>
      <w:bookmarkEnd w:id="111"/>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在按照审计准则执行审计工作的过程中，我们运用职业判断，并保持职业怀疑。同时，我们也执行以下工作：</w:t>
      </w:r>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w:t>
      </w:r>
      <w:r w:rsidRPr="00786873">
        <w:rPr>
          <w:rFonts w:eastAsiaTheme="minorEastAsia" w:hint="eastAsia"/>
          <w:sz w:val="24"/>
        </w:rPr>
        <w:t>一</w:t>
      </w:r>
      <w:r w:rsidRPr="00786873">
        <w:rPr>
          <w:rFonts w:eastAsiaTheme="minorEastAsia" w:hint="eastAsia"/>
          <w:sz w:val="24"/>
        </w:rPr>
        <w:t xml:space="preserve">) </w:t>
      </w:r>
      <w:r w:rsidRPr="00786873">
        <w:rPr>
          <w:rFonts w:eastAsiaTheme="minorEastAs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 xml:space="preserve"> (</w:t>
      </w:r>
      <w:r w:rsidRPr="00786873">
        <w:rPr>
          <w:rFonts w:eastAsiaTheme="minorEastAsia" w:hint="eastAsia"/>
          <w:sz w:val="24"/>
        </w:rPr>
        <w:t>二</w:t>
      </w:r>
      <w:r w:rsidRPr="00786873">
        <w:rPr>
          <w:rFonts w:eastAsiaTheme="minorEastAsia" w:hint="eastAsia"/>
          <w:sz w:val="24"/>
        </w:rPr>
        <w:t xml:space="preserve">) </w:t>
      </w:r>
      <w:r w:rsidRPr="00786873">
        <w:rPr>
          <w:rFonts w:eastAsiaTheme="minorEastAsia" w:hint="eastAsia"/>
          <w:sz w:val="24"/>
        </w:rPr>
        <w:t>了解与审计相关的内部控制，以设计恰当的审计程序，但目的并非对内部控制的有效性发表意见。</w:t>
      </w:r>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w:t>
      </w:r>
      <w:r w:rsidRPr="00786873">
        <w:rPr>
          <w:rFonts w:eastAsiaTheme="minorEastAsia" w:hint="eastAsia"/>
          <w:sz w:val="24"/>
        </w:rPr>
        <w:t>三</w:t>
      </w:r>
      <w:r w:rsidRPr="00786873">
        <w:rPr>
          <w:rFonts w:eastAsiaTheme="minorEastAsia" w:hint="eastAsia"/>
          <w:sz w:val="24"/>
        </w:rPr>
        <w:t xml:space="preserve">) </w:t>
      </w:r>
      <w:r w:rsidRPr="00786873">
        <w:rPr>
          <w:rFonts w:eastAsiaTheme="minorEastAsia" w:hint="eastAsia"/>
          <w:sz w:val="24"/>
        </w:rPr>
        <w:t>评价基金管理人管理层选用会计政策的恰当性和作出会计估计及相关披露的合理性。</w:t>
      </w:r>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w:t>
      </w:r>
      <w:r w:rsidRPr="00786873">
        <w:rPr>
          <w:rFonts w:eastAsiaTheme="minorEastAsia" w:hint="eastAsia"/>
          <w:sz w:val="24"/>
        </w:rPr>
        <w:t>四</w:t>
      </w:r>
      <w:r w:rsidRPr="00786873">
        <w:rPr>
          <w:rFonts w:eastAsiaTheme="minorEastAsia" w:hint="eastAsia"/>
          <w:sz w:val="24"/>
        </w:rPr>
        <w:t xml:space="preserve">) </w:t>
      </w:r>
      <w:r w:rsidRPr="00786873">
        <w:rPr>
          <w:rFonts w:eastAsiaTheme="minorEastAsia" w:hint="eastAsia"/>
          <w:sz w:val="24"/>
        </w:rPr>
        <w:t>对基金管理人管理层使用持续经营假设的恰当性得出结论。同时，根据获取的审计证据，就可能导致对交银荣鑫保本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荣鑫保本混合基金不能持续经营。</w:t>
      </w:r>
    </w:p>
    <w:p w:rsidR="00786873" w:rsidRPr="00786873" w:rsidRDefault="00786873" w:rsidP="00786873">
      <w:pPr>
        <w:spacing w:line="288" w:lineRule="auto"/>
        <w:ind w:firstLineChars="200" w:firstLine="480"/>
        <w:rPr>
          <w:rFonts w:eastAsiaTheme="minorEastAsia" w:hint="eastAsia"/>
          <w:sz w:val="24"/>
        </w:rPr>
      </w:pPr>
      <w:r w:rsidRPr="00786873">
        <w:rPr>
          <w:rFonts w:eastAsiaTheme="minorEastAsia" w:hint="eastAsia"/>
          <w:sz w:val="24"/>
        </w:rPr>
        <w:t>(</w:t>
      </w:r>
      <w:r w:rsidRPr="00786873">
        <w:rPr>
          <w:rFonts w:eastAsiaTheme="minorEastAsia" w:hint="eastAsia"/>
          <w:sz w:val="24"/>
        </w:rPr>
        <w:t>五</w:t>
      </w:r>
      <w:r w:rsidRPr="00786873">
        <w:rPr>
          <w:rFonts w:eastAsiaTheme="minorEastAsia" w:hint="eastAsia"/>
          <w:sz w:val="24"/>
        </w:rPr>
        <w:t xml:space="preserve">) </w:t>
      </w:r>
      <w:r w:rsidRPr="00786873">
        <w:rPr>
          <w:rFonts w:eastAsiaTheme="minorEastAsia" w:hint="eastAsia"/>
          <w:sz w:val="24"/>
        </w:rPr>
        <w:t>评价财务报表的总体列报、结构</w:t>
      </w:r>
      <w:bookmarkStart w:id="112" w:name="_GoBack"/>
      <w:bookmarkEnd w:id="112"/>
      <w:r w:rsidRPr="00786873">
        <w:rPr>
          <w:rFonts w:eastAsiaTheme="minorEastAsia" w:hint="eastAsia"/>
          <w:sz w:val="24"/>
        </w:rPr>
        <w:t>和内容</w:t>
      </w:r>
      <w:r w:rsidRPr="00786873">
        <w:rPr>
          <w:rFonts w:eastAsiaTheme="minorEastAsia" w:hint="eastAsia"/>
          <w:sz w:val="24"/>
        </w:rPr>
        <w:t>(</w:t>
      </w:r>
      <w:r w:rsidRPr="00786873">
        <w:rPr>
          <w:rFonts w:eastAsiaTheme="minorEastAsia" w:hint="eastAsia"/>
          <w:sz w:val="24"/>
        </w:rPr>
        <w:t>包括披露</w:t>
      </w:r>
      <w:r w:rsidRPr="00786873">
        <w:rPr>
          <w:rFonts w:eastAsiaTheme="minorEastAsia" w:hint="eastAsia"/>
          <w:sz w:val="24"/>
        </w:rPr>
        <w:t>)</w:t>
      </w:r>
      <w:r w:rsidRPr="00786873">
        <w:rPr>
          <w:rFonts w:eastAsiaTheme="minorEastAsia" w:hint="eastAsia"/>
          <w:sz w:val="24"/>
        </w:rPr>
        <w:t>，并评价财务报表是否公允反映相关交易和事项。</w:t>
      </w:r>
    </w:p>
    <w:p w:rsidR="00996931" w:rsidRPr="00E62260" w:rsidRDefault="00786873" w:rsidP="00786873">
      <w:pPr>
        <w:spacing w:line="288" w:lineRule="auto"/>
        <w:ind w:firstLineChars="200" w:firstLine="480"/>
        <w:rPr>
          <w:rFonts w:eastAsiaTheme="minorEastAsia"/>
          <w:sz w:val="24"/>
        </w:rPr>
      </w:pPr>
      <w:r w:rsidRPr="00786873">
        <w:rPr>
          <w:rFonts w:eastAsiaTheme="minorEastAsia" w:hint="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909FE">
        <w:tc>
          <w:tcPr>
            <w:tcW w:w="6471"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599"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09FE" w:rsidRDefault="009909FE" w:rsidP="009909FE">
      <w:pPr>
        <w:spacing w:line="288" w:lineRule="auto"/>
        <w:jc w:val="right"/>
        <w:rPr>
          <w:rFonts w:eastAsiaTheme="minorEastAsia"/>
          <w:kern w:val="0"/>
          <w:sz w:val="24"/>
        </w:rPr>
      </w:pPr>
      <w:r>
        <w:rPr>
          <w:rFonts w:eastAsiaTheme="minorEastAsia" w:hint="eastAsia"/>
          <w:kern w:val="0"/>
          <w:sz w:val="24"/>
        </w:rPr>
        <w:t>薛竞</w:t>
      </w:r>
      <w:r>
        <w:rPr>
          <w:rFonts w:eastAsiaTheme="minorEastAsia"/>
          <w:kern w:val="0"/>
          <w:sz w:val="24"/>
        </w:rPr>
        <w:t xml:space="preserve">  </w:t>
      </w:r>
      <w:r>
        <w:rPr>
          <w:rFonts w:eastAsiaTheme="minorEastAsia" w:hint="eastAsia"/>
          <w:kern w:val="0"/>
          <w:sz w:val="24"/>
        </w:rPr>
        <w:t>朱宏宇</w:t>
      </w:r>
    </w:p>
    <w:p w:rsidR="009909FE" w:rsidRDefault="009909FE" w:rsidP="009909FE">
      <w:pPr>
        <w:widowControl/>
        <w:spacing w:line="288" w:lineRule="auto"/>
        <w:jc w:val="right"/>
        <w:rPr>
          <w:rFonts w:eastAsiaTheme="minorEastAsia"/>
          <w:sz w:val="24"/>
        </w:rPr>
      </w:pPr>
      <w:r>
        <w:rPr>
          <w:rFonts w:eastAsiaTheme="minorEastAsia" w:hint="eastAsia"/>
          <w:kern w:val="0"/>
          <w:sz w:val="24"/>
        </w:rPr>
        <w:t>上海市湖滨路</w:t>
      </w:r>
      <w:r>
        <w:rPr>
          <w:rFonts w:eastAsiaTheme="minorEastAsia"/>
          <w:kern w:val="0"/>
          <w:sz w:val="24"/>
        </w:rPr>
        <w:t>202</w:t>
      </w:r>
      <w:r>
        <w:rPr>
          <w:rFonts w:eastAsiaTheme="minorEastAsia" w:hint="eastAsia"/>
          <w:kern w:val="0"/>
          <w:sz w:val="24"/>
        </w:rPr>
        <w:t>号普华永道中心</w:t>
      </w:r>
      <w:r>
        <w:rPr>
          <w:rFonts w:eastAsiaTheme="minorEastAsia"/>
          <w:kern w:val="0"/>
          <w:sz w:val="24"/>
        </w:rPr>
        <w:t>11</w:t>
      </w:r>
      <w:r>
        <w:rPr>
          <w:rFonts w:eastAsiaTheme="minorEastAsia" w:hint="eastAsia"/>
          <w:kern w:val="0"/>
          <w:sz w:val="24"/>
        </w:rPr>
        <w:t>楼</w:t>
      </w:r>
    </w:p>
    <w:p w:rsidR="00F00EC7" w:rsidRPr="00996931" w:rsidRDefault="00647EF6" w:rsidP="00996931">
      <w:pPr>
        <w:widowControl/>
        <w:spacing w:line="288" w:lineRule="auto"/>
        <w:jc w:val="right"/>
        <w:rPr>
          <w:rFonts w:eastAsiaTheme="minorEastAsia"/>
          <w:sz w:val="24"/>
        </w:rPr>
      </w:pPr>
      <w:r>
        <w:rPr>
          <w:rFonts w:eastAsiaTheme="minorEastAsia"/>
          <w:kern w:val="0"/>
          <w:sz w:val="24"/>
        </w:rPr>
        <w:t>2019</w:t>
      </w:r>
      <w:r w:rsidR="00996931" w:rsidRPr="00E62260">
        <w:rPr>
          <w:rFonts w:eastAsiaTheme="minorEastAsia"/>
          <w:kern w:val="0"/>
          <w:sz w:val="24"/>
        </w:rPr>
        <w:t>年</w:t>
      </w:r>
      <w:r w:rsidR="00996931" w:rsidRPr="00E62260">
        <w:rPr>
          <w:rFonts w:eastAsiaTheme="minorEastAsia"/>
          <w:kern w:val="0"/>
          <w:sz w:val="24"/>
        </w:rPr>
        <w:t>3</w:t>
      </w:r>
      <w:r w:rsidR="00996931" w:rsidRPr="00E62260">
        <w:rPr>
          <w:rFonts w:eastAsiaTheme="minorEastAsia"/>
          <w:kern w:val="0"/>
          <w:sz w:val="24"/>
        </w:rPr>
        <w:t>月</w:t>
      </w:r>
      <w:r>
        <w:rPr>
          <w:rFonts w:eastAsiaTheme="minorEastAsia"/>
          <w:kern w:val="0"/>
          <w:sz w:val="24"/>
        </w:rPr>
        <w:t>25</w:t>
      </w:r>
      <w:r w:rsidR="00996931" w:rsidRPr="00E62260">
        <w:rPr>
          <w:rFonts w:eastAsiaTheme="minorEastAsia"/>
          <w:kern w:val="0"/>
          <w:sz w:val="24"/>
        </w:rPr>
        <w:t>日</w:t>
      </w:r>
    </w:p>
    <w:p w:rsidR="001A59F9" w:rsidRDefault="001A59F9" w:rsidP="006A7711">
      <w:pPr>
        <w:pStyle w:val="1"/>
        <w:keepNext/>
        <w:keepLines/>
        <w:widowControl w:val="0"/>
        <w:spacing w:beforeLines="100" w:before="312" w:afterLines="100" w:after="312" w:line="288" w:lineRule="auto"/>
        <w:jc w:val="center"/>
        <w:rPr>
          <w:b/>
          <w:bCs/>
          <w:szCs w:val="24"/>
          <w:lang w:val="en-US"/>
        </w:rPr>
      </w:pPr>
      <w:bookmarkStart w:id="113" w:name="_Toc415350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3"/>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4" w:name="_Toc225498268"/>
      <w:bookmarkStart w:id="115" w:name="_Toc361324873"/>
      <w:bookmarkStart w:id="116" w:name="_Toc415350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4"/>
      <w:bookmarkEnd w:id="115"/>
      <w:bookmarkEnd w:id="116"/>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交银施罗德荣鑫保本混合型证券投资基金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1,115,841.87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1,746,992.33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12,157,253.34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8,746,876.39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3,348.01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13,144.15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909,280,020.00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970,061,321.30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909,280,020.00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970,061,321.30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32,119,085.92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19,267,168.33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1,782.18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954,677,331.32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999,835,502.50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350,659,335.51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294,217,283.67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153,337.80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233,404.56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291.09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146,866.07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614,004.92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727,884.35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102,334.14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121,314.04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9,376.56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18,562.92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23,864.38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244,641.59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144,778.61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229,300.00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241,791.05</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352,036,485.99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295,851,885.27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563,077,746.71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689,816,851.23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39,563,098.62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14,166,766.00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602,640,845.33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703,983,617.23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954,677,331.32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999,835,502.50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1.070</w:t>
      </w:r>
      <w:r w:rsidRPr="00BF6D11">
        <w:rPr>
          <w:kern w:val="0"/>
          <w:sz w:val="24"/>
        </w:rPr>
        <w:t>元，基金份额总额</w:t>
      </w:r>
      <w:r w:rsidRPr="00BF6D11">
        <w:rPr>
          <w:kern w:val="0"/>
          <w:sz w:val="24"/>
        </w:rPr>
        <w:t>563,077,746.71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7" w:name="_Toc225498269"/>
      <w:bookmarkStart w:id="118" w:name="_Toc361324874"/>
      <w:bookmarkStart w:id="119" w:name="_Toc415350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7"/>
      <w:bookmarkEnd w:id="118"/>
      <w:bookmarkEnd w:id="119"/>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交银施罗德荣鑫保本混合型证券投资基金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51,199,986.15</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39,031,135.11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42,782,472.50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42,535,463.38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197,278.25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200,412.25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42,585,194.25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41,260,334.23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1,074,716.90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-94,547.93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-5,846,940.42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-1,223,075.64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-94,547.93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-4,644,230.15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20,365.37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8,061,616.16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1,334,369.22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450,445.42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1,008,242.93</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20,847,751.97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23,400,660.05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7,564,245.71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9,859,424.88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1,260,707.61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1,643,237.45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5,854.53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112,321.37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11,711,639.99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11,495,874.74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11,711,639.99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11,495,874.74</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34,642.41</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270,661.72</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289,801.61</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30,352,234.18</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15,630,475.06</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30,352,234.18</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15,630,475.06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0" w:name="_Toc225498270"/>
      <w:bookmarkStart w:id="121" w:name="_Toc361324875"/>
      <w:bookmarkStart w:id="122" w:name="_Toc415350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0"/>
      <w:bookmarkEnd w:id="121"/>
      <w:bookmarkEnd w:id="122"/>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交银施罗德荣鑫保本混合型证券投资基金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689,816,851.23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14,166,766.00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703,983,617.23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30,352,234.18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30,352,234.18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-126,739,104.52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-4,955,901.56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-131,695,006.08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620,990.32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35,014.28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656,004.60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-127,360,094.84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-4,990,915.84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-132,351,010.68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563,077,746.71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39,563,098.62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602,640,845.33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927,224,727.22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1,243,304.83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928,468,032.05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15,630,475.06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15,630,475.06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-237,407,875.99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-2,707,013.89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-240,114,889.88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251,335.75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1,639.17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252,974.92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-237,659,211.74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-2,708,653.06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-240,367,864.80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689,816,851.23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14,166,766.00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703,983,617.23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2567AB">
        <w:rPr>
          <w:rFonts w:hint="eastAsia"/>
          <w:sz w:val="24"/>
        </w:rPr>
        <w:t>负责人：谢卫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3" w:name="_Toc225498271"/>
      <w:bookmarkStart w:id="124" w:name="_Toc361324876"/>
      <w:bookmarkStart w:id="125" w:name="_Toc415350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3"/>
      <w:bookmarkEnd w:id="124"/>
      <w:bookmarkEnd w:id="125"/>
    </w:p>
    <w:p w:rsidR="001A59F9" w:rsidRPr="00AD0E47" w:rsidRDefault="001A59F9" w:rsidP="00AD0E47">
      <w:pPr>
        <w:pStyle w:val="20"/>
        <w:spacing w:before="29" w:after="0" w:line="288" w:lineRule="auto"/>
        <w:rPr>
          <w:rFonts w:ascii="Times New Roman" w:hAnsi="Times New Roman"/>
          <w:kern w:val="0"/>
          <w:szCs w:val="24"/>
        </w:rPr>
      </w:pPr>
      <w:bookmarkStart w:id="126" w:name="_Toc415350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26"/>
    </w:p>
    <w:p w:rsidR="00FD118F" w:rsidRDefault="00FD118F" w:rsidP="00FD118F">
      <w:pPr>
        <w:spacing w:before="29" w:line="288" w:lineRule="auto"/>
        <w:ind w:firstLine="480"/>
        <w:rPr>
          <w:color w:val="000000"/>
          <w:sz w:val="24"/>
        </w:rPr>
      </w:pPr>
      <w:r>
        <w:rPr>
          <w:rFonts w:ascii="宋体" w:hAnsi="宋体" w:hint="eastAsia"/>
          <w:color w:val="000000"/>
          <w:sz w:val="24"/>
        </w:rPr>
        <w:t>交银施罗德荣鑫保本混合型证券投资基金</w:t>
      </w:r>
      <w:r>
        <w:rPr>
          <w:color w:val="000000"/>
          <w:sz w:val="24"/>
        </w:rPr>
        <w:t>(</w:t>
      </w:r>
      <w:r>
        <w:rPr>
          <w:rFonts w:ascii="宋体" w:hAnsi="宋体" w:hint="eastAsia"/>
          <w:color w:val="000000"/>
          <w:sz w:val="24"/>
        </w:rPr>
        <w:t>以下简称</w:t>
      </w:r>
      <w:r>
        <w:rPr>
          <w:color w:val="000000"/>
          <w:sz w:val="24"/>
        </w:rPr>
        <w:t>“</w:t>
      </w:r>
      <w:r>
        <w:rPr>
          <w:rFonts w:ascii="宋体" w:hAnsi="宋体" w:hint="eastAsia"/>
          <w:color w:val="000000"/>
          <w:sz w:val="24"/>
        </w:rPr>
        <w:t>本基金</w:t>
      </w:r>
      <w:r>
        <w:rPr>
          <w:color w:val="000000"/>
          <w:sz w:val="24"/>
        </w:rPr>
        <w:t>”)</w:t>
      </w:r>
      <w:r>
        <w:rPr>
          <w:rFonts w:ascii="宋体" w:hAnsi="宋体" w:hint="eastAsia"/>
          <w:color w:val="000000"/>
          <w:sz w:val="24"/>
        </w:rPr>
        <w:t>经中国证券监督管理委员会</w:t>
      </w:r>
      <w:r>
        <w:rPr>
          <w:color w:val="000000"/>
          <w:sz w:val="24"/>
        </w:rPr>
        <w:t>(</w:t>
      </w:r>
      <w:r>
        <w:rPr>
          <w:rFonts w:ascii="宋体" w:hAnsi="宋体" w:hint="eastAsia"/>
          <w:color w:val="000000"/>
          <w:sz w:val="24"/>
        </w:rPr>
        <w:t>以下简称</w:t>
      </w:r>
      <w:r>
        <w:rPr>
          <w:color w:val="000000"/>
          <w:sz w:val="24"/>
        </w:rPr>
        <w:t>“</w:t>
      </w:r>
      <w:r>
        <w:rPr>
          <w:rFonts w:ascii="宋体" w:hAnsi="宋体" w:hint="eastAsia"/>
          <w:color w:val="000000"/>
          <w:sz w:val="24"/>
        </w:rPr>
        <w:t>中国证监会</w:t>
      </w:r>
      <w:r>
        <w:rPr>
          <w:color w:val="000000"/>
          <w:sz w:val="24"/>
        </w:rPr>
        <w:t>”)</w:t>
      </w:r>
      <w:r>
        <w:rPr>
          <w:rFonts w:ascii="宋体" w:hAnsi="宋体" w:hint="eastAsia"/>
          <w:color w:val="000000"/>
          <w:sz w:val="24"/>
        </w:rPr>
        <w:t>证监许可</w:t>
      </w:r>
      <w:r>
        <w:rPr>
          <w:color w:val="000000"/>
          <w:sz w:val="24"/>
        </w:rPr>
        <w:t>[2016]449</w:t>
      </w:r>
      <w:r>
        <w:rPr>
          <w:rFonts w:ascii="宋体" w:hAnsi="宋体" w:hint="eastAsia"/>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 w:val="24"/>
        </w:rPr>
        <w:t>988,871,434.55</w:t>
      </w:r>
      <w:r>
        <w:rPr>
          <w:rFonts w:ascii="宋体" w:hAnsi="宋体" w:hint="eastAsia"/>
          <w:color w:val="000000"/>
          <w:sz w:val="24"/>
        </w:rPr>
        <w:t>元，业经普华永道中天会计师事务所</w:t>
      </w:r>
      <w:r>
        <w:rPr>
          <w:color w:val="000000"/>
          <w:sz w:val="24"/>
        </w:rPr>
        <w:t>(</w:t>
      </w:r>
      <w:r>
        <w:rPr>
          <w:rFonts w:ascii="宋体" w:hAnsi="宋体" w:hint="eastAsia"/>
          <w:color w:val="000000"/>
          <w:sz w:val="24"/>
        </w:rPr>
        <w:t>特殊普通合伙</w:t>
      </w:r>
      <w:r>
        <w:rPr>
          <w:color w:val="000000"/>
          <w:sz w:val="24"/>
        </w:rPr>
        <w:t>)</w:t>
      </w:r>
      <w:r>
        <w:rPr>
          <w:rFonts w:ascii="宋体" w:hAnsi="宋体" w:hint="eastAsia"/>
          <w:color w:val="000000"/>
          <w:sz w:val="24"/>
        </w:rPr>
        <w:t>普华永道中天验字</w:t>
      </w:r>
      <w:r>
        <w:rPr>
          <w:color w:val="000000"/>
          <w:sz w:val="24"/>
        </w:rPr>
        <w:t>(2016)</w:t>
      </w:r>
      <w:r>
        <w:rPr>
          <w:rFonts w:ascii="宋体" w:hAnsi="宋体" w:hint="eastAsia"/>
          <w:color w:val="000000"/>
          <w:sz w:val="24"/>
        </w:rPr>
        <w:t>第</w:t>
      </w:r>
      <w:r>
        <w:rPr>
          <w:color w:val="000000"/>
          <w:sz w:val="24"/>
        </w:rPr>
        <w:t>325</w:t>
      </w:r>
      <w:r>
        <w:rPr>
          <w:rFonts w:ascii="宋体" w:hAnsi="宋体" w:hint="eastAsia"/>
          <w:color w:val="000000"/>
          <w:sz w:val="24"/>
        </w:rPr>
        <w:t>号验资报告予以验证。经向中国证监会备案，《交银施罗德荣鑫保本混合型证券投资基金基金合同》于</w:t>
      </w:r>
      <w:r>
        <w:rPr>
          <w:color w:val="000000"/>
          <w:sz w:val="24"/>
        </w:rPr>
        <w:t>2016</w:t>
      </w:r>
      <w:r>
        <w:rPr>
          <w:rFonts w:ascii="宋体" w:hAnsi="宋体" w:hint="eastAsia"/>
          <w:color w:val="000000"/>
          <w:sz w:val="24"/>
        </w:rPr>
        <w:t>年</w:t>
      </w:r>
      <w:r>
        <w:rPr>
          <w:color w:val="000000"/>
          <w:sz w:val="24"/>
        </w:rPr>
        <w:t>3</w:t>
      </w:r>
      <w:r>
        <w:rPr>
          <w:rFonts w:ascii="宋体" w:hAnsi="宋体" w:hint="eastAsia"/>
          <w:color w:val="000000"/>
          <w:sz w:val="24"/>
        </w:rPr>
        <w:t>月</w:t>
      </w:r>
      <w:r>
        <w:rPr>
          <w:color w:val="000000"/>
          <w:sz w:val="24"/>
        </w:rPr>
        <w:t>25</w:t>
      </w:r>
      <w:r>
        <w:rPr>
          <w:rFonts w:ascii="宋体" w:hAnsi="宋体" w:hint="eastAsia"/>
          <w:color w:val="000000"/>
          <w:sz w:val="24"/>
        </w:rPr>
        <w:t>日正式生效，基金合同生效日的基金份额总额为</w:t>
      </w:r>
      <w:r>
        <w:rPr>
          <w:color w:val="000000"/>
          <w:sz w:val="24"/>
        </w:rPr>
        <w:t>988,953,938.88</w:t>
      </w:r>
      <w:r>
        <w:rPr>
          <w:rFonts w:ascii="宋体" w:hAnsi="宋体" w:hint="eastAsia"/>
          <w:color w:val="000000"/>
          <w:sz w:val="24"/>
        </w:rPr>
        <w:t>份基金份额，其中认购资金利息折合</w:t>
      </w:r>
      <w:r>
        <w:rPr>
          <w:color w:val="000000"/>
          <w:sz w:val="24"/>
        </w:rPr>
        <w:t>82,504.33</w:t>
      </w:r>
      <w:r>
        <w:rPr>
          <w:rFonts w:ascii="宋体" w:hAnsi="宋体" w:hint="eastAsia"/>
          <w:color w:val="000000"/>
          <w:sz w:val="24"/>
        </w:rPr>
        <w:t>份基金份额。本基金的基金管理人为交银施罗德基金管理有限公司，基金托管人为中国民生银行股份有限公司，基金保证人为中国投融资担保股份有限公司。</w:t>
      </w:r>
    </w:p>
    <w:p w:rsidR="00FD118F" w:rsidRDefault="00FD118F" w:rsidP="00FD118F">
      <w:pPr>
        <w:spacing w:before="29" w:line="288" w:lineRule="auto"/>
        <w:ind w:firstLine="480"/>
        <w:rPr>
          <w:rFonts w:ascii="Calibri" w:hAnsi="Calibri" w:cs="宋体"/>
          <w:color w:val="000000"/>
          <w:sz w:val="24"/>
        </w:rPr>
      </w:pPr>
      <w:r>
        <w:rPr>
          <w:rFonts w:ascii="宋体" w:hAnsi="宋体" w:hint="eastAsia"/>
          <w:color w:val="000000"/>
          <w:sz w:val="24"/>
        </w:rPr>
        <w:t>根据《交银施罗德荣鑫保本混合型证券投资基金基金合同》的有关约定，本基金的保本周期为三年。本基金第一个保本周期自本基金基金合同生效日起至三个公历年后对应日止</w:t>
      </w:r>
      <w:r>
        <w:rPr>
          <w:color w:val="000000"/>
          <w:sz w:val="24"/>
        </w:rPr>
        <w:t>(</w:t>
      </w:r>
      <w:r>
        <w:rPr>
          <w:rFonts w:ascii="宋体" w:hAnsi="宋体" w:hint="eastAsia"/>
          <w:color w:val="000000"/>
          <w:sz w:val="24"/>
        </w:rPr>
        <w:t>如该对应日为非工作日，保本周期到期日顺延至下一个工作日</w:t>
      </w:r>
      <w:r>
        <w:rPr>
          <w:color w:val="000000"/>
          <w:sz w:val="24"/>
        </w:rPr>
        <w:t>)</w:t>
      </w:r>
      <w:r>
        <w:rPr>
          <w:rFonts w:ascii="宋体" w:hAnsi="宋体" w:hint="eastAsia"/>
          <w:color w:val="000000"/>
          <w:sz w:val="24"/>
        </w:rPr>
        <w:t>。但在保本周期内，如本基金份额累计净值收益率连续</w:t>
      </w:r>
      <w:r>
        <w:rPr>
          <w:color w:val="000000"/>
          <w:sz w:val="24"/>
        </w:rPr>
        <w:t>15</w:t>
      </w:r>
      <w:r>
        <w:rPr>
          <w:rFonts w:ascii="宋体" w:hAnsi="宋体" w:hint="eastAsia"/>
          <w:color w:val="000000"/>
          <w:sz w:val="24"/>
        </w:rPr>
        <w:t>个工作日达到或超过当期保本周期预设的目标收益率，则基金管理人将在基金份额累计净值收益率连续达到或超过预设的目标收益率的第</w:t>
      </w:r>
      <w:r>
        <w:rPr>
          <w:color w:val="000000"/>
          <w:sz w:val="24"/>
        </w:rPr>
        <w:t>15</w:t>
      </w:r>
      <w:r>
        <w:rPr>
          <w:rFonts w:ascii="宋体" w:hAnsi="宋体" w:hint="eastAsia"/>
          <w:color w:val="000000"/>
          <w:sz w:val="24"/>
        </w:rPr>
        <w:t>个工作日当日起</w:t>
      </w:r>
      <w:r>
        <w:rPr>
          <w:color w:val="000000"/>
          <w:sz w:val="24"/>
        </w:rPr>
        <w:t>10</w:t>
      </w:r>
      <w:r>
        <w:rPr>
          <w:rFonts w:ascii="宋体" w:hAnsi="宋体" w:hint="eastAsia"/>
          <w:color w:val="000000"/>
          <w:sz w:val="24"/>
        </w:rPr>
        <w:t>个工作日内公告本基金当期保本周期提前到期，并进入到期期间（提前到期日距离满足提前到期条件之日起不超过</w:t>
      </w:r>
      <w:r>
        <w:rPr>
          <w:color w:val="000000"/>
          <w:sz w:val="24"/>
        </w:rPr>
        <w:t>20</w:t>
      </w:r>
      <w:r>
        <w:rPr>
          <w:rFonts w:ascii="宋体" w:hAnsi="宋体" w:hint="eastAsia"/>
          <w:color w:val="000000"/>
          <w:sz w:val="24"/>
        </w:rPr>
        <w:t>个工作日，且不得晚于非提前到期情形下的保本周期到期日）。本基金第一个保本周期由中国投融资担保有限公司作为担保人，为本基金第一个保本周期的保本提供不可撤销的连带责任保证。</w:t>
      </w:r>
    </w:p>
    <w:p w:rsidR="00FD118F" w:rsidRDefault="00FD118F" w:rsidP="00FD118F">
      <w:pPr>
        <w:spacing w:before="29" w:line="288" w:lineRule="auto"/>
        <w:ind w:firstLine="480"/>
        <w:rPr>
          <w:color w:val="000000"/>
          <w:sz w:val="24"/>
        </w:rPr>
      </w:pPr>
      <w:r>
        <w:rPr>
          <w:rFonts w:ascii="宋体" w:hAnsi="宋体" w:hint="eastAsia"/>
          <w:color w:val="000000"/>
          <w:sz w:val="24"/>
        </w:rPr>
        <w:t>本基金目前处于第一个保本周期，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rFonts w:ascii="宋体" w:hAnsi="宋体" w:hint="eastAsia"/>
          <w:color w:val="000000"/>
          <w:sz w:val="24"/>
        </w:rPr>
        <w:t>即认购保本金额，包括该等基金份额的净认购金额、认购费用以及募集期间的认购利息</w:t>
      </w:r>
      <w:r>
        <w:rPr>
          <w:color w:val="000000"/>
          <w:sz w:val="24"/>
        </w:rPr>
        <w:t>)</w:t>
      </w:r>
      <w:r>
        <w:rPr>
          <w:rFonts w:ascii="宋体" w:hAnsi="宋体" w:hint="eastAsia"/>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FD118F" w:rsidRDefault="00FD118F" w:rsidP="00FD118F">
      <w:pPr>
        <w:spacing w:before="29" w:line="288" w:lineRule="auto"/>
        <w:ind w:firstLine="480"/>
        <w:rPr>
          <w:color w:val="000000"/>
          <w:sz w:val="24"/>
        </w:rPr>
      </w:pPr>
      <w:r>
        <w:rPr>
          <w:rFonts w:ascii="宋体" w:hAnsi="宋体" w:hint="eastAsia"/>
          <w:color w:val="000000"/>
          <w:sz w:val="24"/>
        </w:rPr>
        <w:t>根据《中华人民共和国证券投资基金法》和《交银施罗德荣鑫保本混合型证券投资基金基金合同》的有关规定，本基金的投资范围为具有良好流动性的金融工具，包括国内依法发行上市的股票</w:t>
      </w:r>
      <w:r>
        <w:rPr>
          <w:color w:val="000000"/>
          <w:sz w:val="24"/>
        </w:rPr>
        <w:t>(</w:t>
      </w:r>
      <w:r>
        <w:rPr>
          <w:rFonts w:ascii="宋体" w:hAnsi="宋体" w:hint="eastAsia"/>
          <w:color w:val="000000"/>
          <w:sz w:val="24"/>
        </w:rPr>
        <w:t>含中小板、创业板及其他经中国证监会核准上市的股票</w:t>
      </w:r>
      <w:r>
        <w:rPr>
          <w:color w:val="000000"/>
          <w:sz w:val="24"/>
        </w:rPr>
        <w:t>)</w:t>
      </w:r>
      <w:r>
        <w:rPr>
          <w:rFonts w:ascii="宋体" w:hAnsi="宋体" w:hint="eastAsia"/>
          <w:color w:val="000000"/>
          <w:sz w:val="24"/>
        </w:rPr>
        <w:t>、债券、中期票据、货币市场工具、银行存款、权证、资产支持证券、股指期货以及法律法规或中国证监会允许基金投资的其他金融工具</w:t>
      </w:r>
      <w:r>
        <w:rPr>
          <w:color w:val="000000"/>
          <w:sz w:val="24"/>
        </w:rPr>
        <w:t>(</w:t>
      </w:r>
      <w:r>
        <w:rPr>
          <w:rFonts w:ascii="宋体" w:hAnsi="宋体" w:hint="eastAsia"/>
          <w:color w:val="000000"/>
          <w:sz w:val="24"/>
        </w:rPr>
        <w:t>但须符合中国证监会相关规定</w:t>
      </w:r>
      <w:r>
        <w:rPr>
          <w:color w:val="000000"/>
          <w:sz w:val="24"/>
        </w:rPr>
        <w:t>)</w:t>
      </w:r>
      <w:r>
        <w:rPr>
          <w:rFonts w:ascii="宋体" w:hAnsi="宋体" w:hint="eastAsia"/>
          <w:color w:val="000000"/>
          <w:sz w:val="24"/>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Pr>
          <w:color w:val="000000"/>
          <w:sz w:val="24"/>
        </w:rPr>
        <w:t>(</w:t>
      </w:r>
      <w:r>
        <w:rPr>
          <w:rFonts w:ascii="宋体" w:hAnsi="宋体" w:hint="eastAsia"/>
          <w:color w:val="000000"/>
          <w:sz w:val="24"/>
        </w:rPr>
        <w:t>含分离交易的可转换公司债券</w:t>
      </w:r>
      <w:r>
        <w:rPr>
          <w:color w:val="000000"/>
          <w:sz w:val="24"/>
        </w:rPr>
        <w:t>)</w:t>
      </w:r>
      <w:r>
        <w:rPr>
          <w:rFonts w:ascii="宋体" w:hAnsi="宋体" w:hint="eastAsia"/>
          <w:color w:val="000000"/>
          <w:sz w:val="24"/>
        </w:rPr>
        <w:t>、资产支持证券、债券回购等。风险资产为股票</w:t>
      </w:r>
      <w:r>
        <w:rPr>
          <w:color w:val="000000"/>
          <w:sz w:val="24"/>
        </w:rPr>
        <w:t>(</w:t>
      </w:r>
      <w:r>
        <w:rPr>
          <w:rFonts w:ascii="宋体" w:hAnsi="宋体" w:hint="eastAsia"/>
          <w:color w:val="000000"/>
          <w:sz w:val="24"/>
        </w:rPr>
        <w:t>包括中小板、创业板及其他经中国证监会核准上市的股票</w:t>
      </w:r>
      <w:r>
        <w:rPr>
          <w:color w:val="000000"/>
          <w:sz w:val="24"/>
        </w:rPr>
        <w:t>)</w:t>
      </w:r>
      <w:r>
        <w:rPr>
          <w:rFonts w:ascii="宋体" w:hAnsi="宋体" w:hint="eastAsia"/>
          <w:color w:val="000000"/>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Pr>
          <w:color w:val="000000"/>
          <w:sz w:val="24"/>
        </w:rPr>
        <w:t>60%</w:t>
      </w:r>
      <w:r>
        <w:rPr>
          <w:rFonts w:ascii="宋体" w:hAnsi="宋体" w:hint="eastAsia"/>
          <w:color w:val="000000"/>
          <w:sz w:val="24"/>
        </w:rPr>
        <w:t>，其中基金应保留不低于基金资产净值</w:t>
      </w:r>
      <w:r>
        <w:rPr>
          <w:color w:val="000000"/>
          <w:sz w:val="24"/>
        </w:rPr>
        <w:t>5%</w:t>
      </w:r>
      <w:r>
        <w:rPr>
          <w:rFonts w:ascii="宋体" w:hAnsi="宋体" w:hint="eastAsia"/>
          <w:color w:val="000000"/>
          <w:sz w:val="24"/>
        </w:rPr>
        <w:t>的现金或到期日在一年以内的政府债券；股票、权证、股指期货等风险资产占基金资产的比例不高于</w:t>
      </w:r>
      <w:r>
        <w:rPr>
          <w:color w:val="000000"/>
          <w:sz w:val="24"/>
        </w:rPr>
        <w:t>40%</w:t>
      </w:r>
      <w:r>
        <w:rPr>
          <w:rFonts w:ascii="宋体" w:hAnsi="宋体" w:hint="eastAsia"/>
          <w:color w:val="000000"/>
          <w:sz w:val="24"/>
        </w:rPr>
        <w:t>，其中，基金持有的全部权证的市值不超过基金资产净值的</w:t>
      </w:r>
      <w:r>
        <w:rPr>
          <w:color w:val="000000"/>
          <w:sz w:val="24"/>
        </w:rPr>
        <w:t>3%</w:t>
      </w:r>
      <w:r>
        <w:rPr>
          <w:rFonts w:ascii="宋体" w:hAnsi="宋体" w:hint="eastAsia"/>
          <w:color w:val="000000"/>
          <w:sz w:val="24"/>
        </w:rPr>
        <w:t>。本基金的业绩比较基准为三年期银行定期存款税后收益率。</w:t>
      </w:r>
    </w:p>
    <w:p w:rsidR="00FD118F" w:rsidRDefault="00FD118F" w:rsidP="00FD118F">
      <w:pPr>
        <w:spacing w:before="29" w:line="288" w:lineRule="auto"/>
        <w:ind w:firstLine="480"/>
        <w:rPr>
          <w:color w:val="000000"/>
          <w:sz w:val="24"/>
        </w:rPr>
      </w:pPr>
    </w:p>
    <w:p w:rsidR="00FD118F" w:rsidRDefault="00FD118F" w:rsidP="00FD118F">
      <w:pPr>
        <w:spacing w:before="29" w:line="288" w:lineRule="auto"/>
        <w:ind w:firstLine="480"/>
        <w:rPr>
          <w:color w:val="000000"/>
          <w:sz w:val="24"/>
        </w:rPr>
      </w:pPr>
      <w:r>
        <w:rPr>
          <w:rFonts w:ascii="宋体" w:hAnsi="宋体" w:hint="eastAsia"/>
          <w:color w:val="000000"/>
          <w:sz w:val="24"/>
        </w:rPr>
        <w:t>于</w:t>
      </w:r>
      <w:r>
        <w:rPr>
          <w:color w:val="000000"/>
          <w:sz w:val="24"/>
        </w:rPr>
        <w:t>2018</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日，本基金的保本期安排列示如下：</w:t>
      </w:r>
    </w:p>
    <w:p w:rsidR="00FD118F" w:rsidRDefault="00FD118F" w:rsidP="00FD118F">
      <w:pPr>
        <w:spacing w:before="29" w:line="288" w:lineRule="auto"/>
        <w:ind w:firstLine="480"/>
        <w:rPr>
          <w:color w:val="000000"/>
          <w:sz w:val="24"/>
        </w:rPr>
      </w:pPr>
    </w:p>
    <w:p w:rsidR="00FD118F" w:rsidRDefault="00FD118F" w:rsidP="00FD118F">
      <w:pPr>
        <w:spacing w:before="29" w:line="288" w:lineRule="auto"/>
        <w:ind w:firstLine="480"/>
        <w:rPr>
          <w:color w:val="000000"/>
          <w:sz w:val="24"/>
        </w:rPr>
      </w:pPr>
      <w:r>
        <w:rPr>
          <w:rFonts w:ascii="宋体" w:hAnsi="宋体" w:hint="eastAsia"/>
          <w:color w:val="000000"/>
          <w:sz w:val="24"/>
        </w:rPr>
        <w:t>保本期到期日</w:t>
      </w:r>
      <w:r>
        <w:rPr>
          <w:color w:val="000000"/>
          <w:sz w:val="24"/>
        </w:rPr>
        <w:t xml:space="preserve">  </w:t>
      </w:r>
      <w:r>
        <w:rPr>
          <w:rFonts w:ascii="宋体" w:hAnsi="宋体" w:hint="eastAsia"/>
          <w:color w:val="000000"/>
          <w:sz w:val="24"/>
        </w:rPr>
        <w:t>保本份额数</w:t>
      </w:r>
      <w:r>
        <w:rPr>
          <w:color w:val="000000"/>
          <w:sz w:val="24"/>
        </w:rPr>
        <w:t xml:space="preserve">  </w:t>
      </w:r>
      <w:r>
        <w:rPr>
          <w:rFonts w:ascii="宋体" w:hAnsi="宋体" w:hint="eastAsia"/>
          <w:color w:val="000000"/>
          <w:sz w:val="24"/>
        </w:rPr>
        <w:t>最大保本线</w:t>
      </w:r>
      <w:r>
        <w:rPr>
          <w:color w:val="000000"/>
          <w:sz w:val="24"/>
        </w:rPr>
        <w:t xml:space="preserve">  </w:t>
      </w:r>
      <w:r>
        <w:rPr>
          <w:rFonts w:ascii="宋体" w:hAnsi="宋体" w:hint="eastAsia"/>
          <w:color w:val="000000"/>
          <w:sz w:val="24"/>
        </w:rPr>
        <w:t>截止</w:t>
      </w:r>
      <w:r>
        <w:rPr>
          <w:color w:val="000000"/>
          <w:sz w:val="24"/>
        </w:rPr>
        <w:t>2018</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日基金份额净值</w:t>
      </w:r>
    </w:p>
    <w:p w:rsidR="00FD118F" w:rsidRDefault="00FD118F" w:rsidP="00FD118F">
      <w:pPr>
        <w:spacing w:before="29" w:line="288" w:lineRule="auto"/>
        <w:ind w:firstLine="480"/>
        <w:rPr>
          <w:color w:val="000000"/>
          <w:sz w:val="24"/>
        </w:rPr>
      </w:pPr>
    </w:p>
    <w:p w:rsidR="00FD118F" w:rsidRDefault="00FD118F" w:rsidP="00FD118F">
      <w:pPr>
        <w:spacing w:before="29" w:line="288" w:lineRule="auto"/>
        <w:ind w:firstLine="480"/>
        <w:rPr>
          <w:color w:val="000000"/>
          <w:sz w:val="24"/>
        </w:rPr>
      </w:pPr>
      <w:r>
        <w:rPr>
          <w:color w:val="000000"/>
          <w:sz w:val="24"/>
        </w:rPr>
        <w:t>2019</w:t>
      </w:r>
      <w:r>
        <w:rPr>
          <w:rFonts w:ascii="宋体" w:hAnsi="宋体" w:hint="eastAsia"/>
          <w:color w:val="000000"/>
          <w:sz w:val="24"/>
        </w:rPr>
        <w:t>年</w:t>
      </w:r>
      <w:r>
        <w:rPr>
          <w:color w:val="000000"/>
          <w:sz w:val="24"/>
        </w:rPr>
        <w:t>3</w:t>
      </w:r>
      <w:r>
        <w:rPr>
          <w:rFonts w:ascii="宋体" w:hAnsi="宋体" w:hint="eastAsia"/>
          <w:color w:val="000000"/>
          <w:sz w:val="24"/>
        </w:rPr>
        <w:t>月</w:t>
      </w:r>
      <w:r>
        <w:rPr>
          <w:color w:val="000000"/>
          <w:sz w:val="24"/>
        </w:rPr>
        <w:t>25</w:t>
      </w:r>
      <w:r>
        <w:rPr>
          <w:rFonts w:ascii="宋体" w:hAnsi="宋体" w:hint="eastAsia"/>
          <w:color w:val="000000"/>
          <w:sz w:val="24"/>
        </w:rPr>
        <w:t>日</w:t>
      </w:r>
      <w:r>
        <w:rPr>
          <w:color w:val="000000"/>
          <w:sz w:val="24"/>
        </w:rPr>
        <w:t>  562,523,775.71   1.000  1.070</w:t>
      </w:r>
    </w:p>
    <w:p w:rsidR="00FD118F" w:rsidRDefault="00FD118F" w:rsidP="00FD118F">
      <w:pPr>
        <w:spacing w:before="29" w:line="288" w:lineRule="auto"/>
        <w:ind w:firstLine="480"/>
        <w:rPr>
          <w:color w:val="000000"/>
          <w:sz w:val="24"/>
        </w:rPr>
      </w:pPr>
    </w:p>
    <w:p w:rsidR="00FD118F" w:rsidRDefault="00FD118F" w:rsidP="00FD118F">
      <w:pPr>
        <w:spacing w:before="29" w:line="288" w:lineRule="auto"/>
        <w:ind w:firstLine="480"/>
        <w:rPr>
          <w:color w:val="000000"/>
          <w:sz w:val="24"/>
        </w:rPr>
      </w:pPr>
    </w:p>
    <w:p w:rsidR="00FD118F" w:rsidRDefault="00FD118F" w:rsidP="00FD118F">
      <w:pPr>
        <w:spacing w:before="29" w:line="288" w:lineRule="auto"/>
        <w:ind w:firstLine="480"/>
        <w:rPr>
          <w:color w:val="000000"/>
          <w:sz w:val="24"/>
        </w:rPr>
      </w:pPr>
      <w:r>
        <w:rPr>
          <w:rFonts w:ascii="宋体" w:hAnsi="宋体" w:hint="eastAsia"/>
          <w:color w:val="000000"/>
          <w:sz w:val="24"/>
        </w:rPr>
        <w:t>本财务报表由本基金的基金管理人交银施罗德基金管理有限公司于</w:t>
      </w:r>
      <w:r>
        <w:rPr>
          <w:color w:val="000000"/>
          <w:sz w:val="24"/>
        </w:rPr>
        <w:t>2019</w:t>
      </w:r>
      <w:r>
        <w:rPr>
          <w:rFonts w:ascii="宋体" w:hAnsi="宋体" w:hint="eastAsia"/>
          <w:color w:val="000000"/>
          <w:sz w:val="24"/>
        </w:rPr>
        <w:t>年</w:t>
      </w:r>
      <w:r>
        <w:rPr>
          <w:color w:val="000000"/>
          <w:sz w:val="24"/>
        </w:rPr>
        <w:t>3</w:t>
      </w:r>
      <w:r>
        <w:rPr>
          <w:rFonts w:ascii="宋体" w:hAnsi="宋体" w:hint="eastAsia"/>
          <w:color w:val="000000"/>
          <w:sz w:val="24"/>
        </w:rPr>
        <w:t>月</w:t>
      </w:r>
      <w:r>
        <w:rPr>
          <w:color w:val="000000"/>
          <w:sz w:val="24"/>
        </w:rPr>
        <w:t>25</w:t>
      </w:r>
      <w:r>
        <w:rPr>
          <w:rFonts w:ascii="宋体" w:hAnsi="宋体" w:hint="eastAsia"/>
          <w:color w:val="000000"/>
          <w:sz w:val="24"/>
        </w:rPr>
        <w:t>日批准报出。</w:t>
      </w:r>
    </w:p>
    <w:p w:rsidR="001A59F9" w:rsidRPr="00FD118F"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415351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27"/>
    </w:p>
    <w:p w:rsidR="00DE2586" w:rsidRDefault="00CC3F7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颁布的《证券投资基金会计核算业务指引》、《交银施罗德荣鑫保本混合型证券投资基金基金合同》和在财务报表附注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4153511"/>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28"/>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415351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15351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0"/>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15351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351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2"/>
    </w:p>
    <w:p w:rsidR="00DE2586" w:rsidRDefault="00CC3F76">
      <w:pPr>
        <w:spacing w:before="29" w:line="288" w:lineRule="auto"/>
        <w:ind w:firstLineChars="200" w:firstLine="480"/>
        <w:rPr>
          <w:color w:val="000000"/>
          <w:sz w:val="24"/>
        </w:rPr>
      </w:pPr>
      <w:r>
        <w:rPr>
          <w:color w:val="000000"/>
          <w:sz w:val="24"/>
        </w:rPr>
        <w:t>(1)</w:t>
      </w:r>
      <w:r>
        <w:rPr>
          <w:color w:val="000000"/>
          <w:sz w:val="24"/>
        </w:rPr>
        <w:t>金融资产的分类</w:t>
      </w:r>
    </w:p>
    <w:p w:rsidR="00B04D99" w:rsidRPr="00695C79" w:rsidRDefault="00B04D99" w:rsidP="00B04D99">
      <w:pPr>
        <w:spacing w:before="29" w:line="288" w:lineRule="auto"/>
        <w:ind w:firstLineChars="200" w:firstLine="480"/>
        <w:rPr>
          <w:color w:val="000000"/>
          <w:sz w:val="24"/>
        </w:rPr>
      </w:pPr>
      <w:r w:rsidRPr="00695C79">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04D99" w:rsidRPr="00695C79" w:rsidRDefault="00B04D99" w:rsidP="00B04D99">
      <w:pPr>
        <w:spacing w:before="29" w:line="288" w:lineRule="auto"/>
        <w:ind w:firstLineChars="200" w:firstLine="480"/>
        <w:rPr>
          <w:color w:val="000000"/>
          <w:sz w:val="24"/>
        </w:rPr>
      </w:pPr>
      <w:r w:rsidRPr="00695C79">
        <w:rPr>
          <w:color w:val="000000"/>
          <w:sz w:val="24"/>
        </w:rPr>
        <w:t>本基金以交易目的持有的股票投资、债券投资、资产支持证券投资和衍生工具</w:t>
      </w:r>
      <w:r w:rsidRPr="00695C79">
        <w:rPr>
          <w:color w:val="000000"/>
          <w:sz w:val="24"/>
        </w:rPr>
        <w:t>(</w:t>
      </w:r>
      <w:r w:rsidRPr="00695C79">
        <w:rPr>
          <w:color w:val="000000"/>
          <w:sz w:val="24"/>
        </w:rPr>
        <w:t>主要为股指期货投资</w:t>
      </w:r>
      <w:r w:rsidRPr="00695C79">
        <w:rPr>
          <w:color w:val="000000"/>
          <w:sz w:val="24"/>
        </w:rPr>
        <w:t>)</w:t>
      </w:r>
      <w:r w:rsidRPr="00695C79">
        <w:rPr>
          <w:color w:val="000000"/>
          <w:sz w:val="24"/>
        </w:rPr>
        <w:t>分类为以公允价值计量且其变动计入当期损益的金融资产。除衍生工具所产生的金融资产在资产负债表中以衍生金融资产列示外，以公允价值计量且其变动计入</w:t>
      </w:r>
      <w:r>
        <w:rPr>
          <w:rFonts w:hint="eastAsia"/>
          <w:color w:val="000000"/>
          <w:sz w:val="24"/>
        </w:rPr>
        <w:t>当期</w:t>
      </w:r>
      <w:r w:rsidRPr="00695C79">
        <w:rPr>
          <w:color w:val="000000"/>
          <w:sz w:val="24"/>
        </w:rPr>
        <w:t>损益的金融资产在资产负债表中以交易性金融资产列示。</w:t>
      </w:r>
    </w:p>
    <w:p w:rsidR="00B04D99" w:rsidRPr="00695C79" w:rsidRDefault="00B04D99" w:rsidP="00B04D99">
      <w:pPr>
        <w:spacing w:before="29" w:line="288" w:lineRule="auto"/>
        <w:ind w:firstLineChars="200" w:firstLine="480"/>
        <w:rPr>
          <w:color w:val="000000"/>
          <w:sz w:val="24"/>
        </w:rPr>
      </w:pPr>
      <w:r w:rsidRPr="00695C79">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E2586" w:rsidRDefault="00B04D99" w:rsidP="00B04D99">
      <w:pPr>
        <w:spacing w:before="29" w:line="288" w:lineRule="auto"/>
        <w:ind w:firstLineChars="200" w:firstLine="480"/>
        <w:rPr>
          <w:color w:val="000000"/>
          <w:sz w:val="24"/>
        </w:rPr>
      </w:pPr>
      <w:r>
        <w:rPr>
          <w:color w:val="000000"/>
          <w:sz w:val="24"/>
        </w:rPr>
        <w:t xml:space="preserve"> </w:t>
      </w:r>
      <w:r w:rsidR="00CC3F76">
        <w:rPr>
          <w:color w:val="000000"/>
          <w:sz w:val="24"/>
        </w:rPr>
        <w:t>(2)</w:t>
      </w:r>
      <w:r w:rsidR="00CC3F76">
        <w:rPr>
          <w:color w:val="000000"/>
          <w:sz w:val="24"/>
        </w:rPr>
        <w:t>金融负债的分类</w:t>
      </w:r>
    </w:p>
    <w:p w:rsidR="005C0D0D" w:rsidRDefault="005C0D0D" w:rsidP="005C0D0D">
      <w:pPr>
        <w:spacing w:before="29" w:line="288" w:lineRule="auto"/>
        <w:ind w:firstLineChars="200" w:firstLine="480"/>
        <w:rPr>
          <w:color w:val="000000"/>
          <w:sz w:val="24"/>
        </w:rPr>
      </w:pPr>
      <w:r w:rsidRPr="00695C79">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pStyle w:val="20"/>
        <w:spacing w:before="29" w:after="0" w:line="288" w:lineRule="auto"/>
        <w:rPr>
          <w:rFonts w:ascii="Times New Roman" w:hAnsi="Times New Roman"/>
          <w:kern w:val="0"/>
          <w:szCs w:val="24"/>
        </w:rPr>
      </w:pPr>
      <w:bookmarkStart w:id="133" w:name="_Toc4153516"/>
      <w:r w:rsidRPr="00695C79">
        <w:rPr>
          <w:rFonts w:ascii="Times New Roman" w:hAnsi="Times New Roman"/>
          <w:kern w:val="0"/>
          <w:szCs w:val="24"/>
        </w:rPr>
        <w:t xml:space="preserve">7.4.4.4 </w:t>
      </w:r>
      <w:r w:rsidRPr="00695C79">
        <w:rPr>
          <w:rFonts w:ascii="Times New Roman" w:hAnsi="Times New Roman" w:hint="eastAsia"/>
          <w:kern w:val="0"/>
          <w:szCs w:val="24"/>
        </w:rPr>
        <w:t>金融资产和金融负债的初始确认、后续计量和终止确认</w:t>
      </w:r>
      <w:bookmarkEnd w:id="133"/>
    </w:p>
    <w:p w:rsidR="005C0D0D" w:rsidRPr="00695C79" w:rsidRDefault="005C0D0D" w:rsidP="005C0D0D">
      <w:pPr>
        <w:spacing w:before="29" w:line="288" w:lineRule="auto"/>
        <w:ind w:firstLineChars="200" w:firstLine="480"/>
        <w:rPr>
          <w:rFonts w:asciiTheme="minorEastAsia" w:eastAsiaTheme="minorEastAsia" w:hAnsiTheme="minorEastAsia"/>
          <w:color w:val="000000"/>
          <w:szCs w:val="21"/>
        </w:rPr>
      </w:pPr>
      <w:r w:rsidRPr="00695C79">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C0D0D" w:rsidRPr="00695C79" w:rsidRDefault="005C0D0D" w:rsidP="005C0D0D">
      <w:pPr>
        <w:spacing w:before="29" w:line="288" w:lineRule="auto"/>
        <w:ind w:firstLineChars="200" w:firstLine="480"/>
        <w:rPr>
          <w:rFonts w:asciiTheme="minorEastAsia" w:eastAsiaTheme="minorEastAsia" w:hAnsiTheme="minorEastAsia"/>
          <w:color w:val="000000"/>
          <w:szCs w:val="21"/>
        </w:rPr>
      </w:pPr>
      <w:r w:rsidRPr="00695C79">
        <w:rPr>
          <w:color w:val="000000"/>
          <w:sz w:val="24"/>
        </w:rPr>
        <w:t>对于以公允价值计量且其变动计入当期损益的金融资产，按照公允价值进行后续计量；对于应收款项和其他金融负债采用实际利率法，以摊余成本进行后续计量。</w:t>
      </w:r>
    </w:p>
    <w:p w:rsidR="005C0D0D" w:rsidRPr="00695C79" w:rsidRDefault="005C0D0D" w:rsidP="005C0D0D">
      <w:pPr>
        <w:spacing w:before="29" w:line="288" w:lineRule="auto"/>
        <w:ind w:firstLineChars="200" w:firstLine="480"/>
        <w:rPr>
          <w:rFonts w:asciiTheme="minorEastAsia" w:eastAsiaTheme="minorEastAsia" w:hAnsiTheme="minorEastAsia"/>
          <w:color w:val="000000"/>
          <w:szCs w:val="21"/>
        </w:rPr>
      </w:pPr>
      <w:r w:rsidRPr="00695C79">
        <w:rPr>
          <w:color w:val="000000"/>
          <w:sz w:val="24"/>
        </w:rPr>
        <w:t>金融资产满足下列条件之一的，予以终止确认：</w:t>
      </w:r>
      <w:r w:rsidRPr="00695C79">
        <w:rPr>
          <w:color w:val="000000"/>
          <w:sz w:val="24"/>
        </w:rPr>
        <w:t xml:space="preserve">(1) </w:t>
      </w:r>
      <w:r w:rsidRPr="00695C79">
        <w:rPr>
          <w:color w:val="000000"/>
          <w:sz w:val="24"/>
        </w:rPr>
        <w:t>收取该金融资产现金流量的合同权利终止；</w:t>
      </w:r>
      <w:r w:rsidRPr="00695C79">
        <w:rPr>
          <w:color w:val="000000"/>
          <w:sz w:val="24"/>
        </w:rPr>
        <w:t xml:space="preserve">(2) </w:t>
      </w:r>
      <w:r w:rsidRPr="00695C79">
        <w:rPr>
          <w:color w:val="000000"/>
          <w:sz w:val="24"/>
        </w:rPr>
        <w:t>该金融资产已转移，且本基金将金融资产所有权上几乎所有的风险和报酬转移给转入方；或者</w:t>
      </w:r>
      <w:r w:rsidRPr="00695C79">
        <w:rPr>
          <w:color w:val="000000"/>
          <w:sz w:val="24"/>
        </w:rPr>
        <w:t xml:space="preserve">(3) </w:t>
      </w:r>
      <w:r w:rsidRPr="00695C79">
        <w:rPr>
          <w:color w:val="000000"/>
          <w:sz w:val="24"/>
        </w:rPr>
        <w:t>该金融资产已转移，虽然本基金既没有转移也没有保留金融资产所有权上几乎所有的风险和报酬，但是放弃了对该金融资产控制。</w:t>
      </w:r>
    </w:p>
    <w:p w:rsidR="005C0D0D" w:rsidRPr="00695C79" w:rsidRDefault="005C0D0D" w:rsidP="005C0D0D">
      <w:pPr>
        <w:spacing w:before="29" w:line="288" w:lineRule="auto"/>
        <w:ind w:firstLineChars="200" w:firstLine="480"/>
        <w:rPr>
          <w:rFonts w:asciiTheme="minorEastAsia" w:eastAsiaTheme="minorEastAsia" w:hAnsiTheme="minorEastAsia"/>
          <w:color w:val="000000"/>
          <w:szCs w:val="21"/>
        </w:rPr>
      </w:pPr>
      <w:r w:rsidRPr="00695C79">
        <w:rPr>
          <w:color w:val="000000"/>
          <w:sz w:val="24"/>
        </w:rPr>
        <w:t>金融资产终止确认时，其账面价值与收到的对价的差额，计入当期损益。</w:t>
      </w:r>
    </w:p>
    <w:p w:rsidR="005C0D0D" w:rsidRPr="00695C79" w:rsidRDefault="005C0D0D" w:rsidP="005C0D0D">
      <w:pPr>
        <w:spacing w:before="29" w:line="288" w:lineRule="auto"/>
        <w:ind w:firstLineChars="200" w:firstLine="480"/>
        <w:rPr>
          <w:rFonts w:asciiTheme="minorEastAsia" w:eastAsiaTheme="minorEastAsia" w:hAnsiTheme="minorEastAsia"/>
          <w:color w:val="000000"/>
          <w:szCs w:val="21"/>
        </w:rPr>
      </w:pPr>
      <w:r w:rsidRPr="00695C79">
        <w:rPr>
          <w:color w:val="000000"/>
          <w:sz w:val="24"/>
        </w:rPr>
        <w:t>当金融负债的现时义务全部或部分已经解除时，终止确认该金融负债或义务已解除的部分。终止确认部分的账面价值与支付的对价之间的差额，计入当期损益。</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34" w:name="_Toc4153517"/>
      <w:r w:rsidRPr="00695C79">
        <w:rPr>
          <w:rFonts w:ascii="Times New Roman" w:hAnsi="Times New Roman"/>
          <w:kern w:val="0"/>
          <w:szCs w:val="24"/>
        </w:rPr>
        <w:t xml:space="preserve">7.4.4.5 </w:t>
      </w:r>
      <w:r w:rsidRPr="00695C79">
        <w:rPr>
          <w:rFonts w:ascii="Times New Roman" w:hAnsi="Times New Roman" w:hint="eastAsia"/>
          <w:kern w:val="0"/>
          <w:szCs w:val="24"/>
        </w:rPr>
        <w:t>金融资产和金融负债的估值原则</w:t>
      </w:r>
      <w:bookmarkEnd w:id="134"/>
    </w:p>
    <w:p w:rsidR="005C0D0D" w:rsidRPr="00695C79" w:rsidRDefault="005C0D0D" w:rsidP="005C0D0D">
      <w:pPr>
        <w:spacing w:before="29" w:line="288" w:lineRule="auto"/>
        <w:ind w:firstLineChars="200" w:firstLine="480"/>
        <w:rPr>
          <w:color w:val="000000"/>
          <w:sz w:val="24"/>
        </w:rPr>
      </w:pPr>
      <w:r w:rsidRPr="00695C79">
        <w:rPr>
          <w:color w:val="000000"/>
          <w:sz w:val="24"/>
        </w:rPr>
        <w:t>本基金持有的股票投资、债券投资、资产支持证券投资和衍生工具</w:t>
      </w:r>
      <w:r w:rsidRPr="00695C79">
        <w:rPr>
          <w:color w:val="000000"/>
          <w:sz w:val="24"/>
        </w:rPr>
        <w:t>(</w:t>
      </w:r>
      <w:r>
        <w:rPr>
          <w:color w:val="000000"/>
          <w:sz w:val="24"/>
        </w:rPr>
        <w:t>主要为股指期货</w:t>
      </w:r>
      <w:r w:rsidRPr="00695C79">
        <w:rPr>
          <w:color w:val="000000"/>
          <w:sz w:val="24"/>
        </w:rPr>
        <w:t>)</w:t>
      </w:r>
      <w:r w:rsidRPr="00695C79">
        <w:rPr>
          <w:color w:val="000000"/>
          <w:sz w:val="24"/>
        </w:rPr>
        <w:t>按如下原则确定公允价值并进行估值：</w:t>
      </w: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    (1)</w:t>
      </w:r>
      <w:r w:rsidRPr="00695C79">
        <w:rPr>
          <w:color w:val="000000"/>
          <w:sz w:val="24"/>
        </w:rPr>
        <w:tab/>
      </w:r>
      <w:r w:rsidRPr="00695C79">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    (2)</w:t>
      </w:r>
      <w:r w:rsidRPr="00695C79">
        <w:rPr>
          <w:color w:val="000000"/>
          <w:sz w:val="24"/>
        </w:rPr>
        <w:tab/>
      </w:r>
      <w:r w:rsidRPr="00695C79">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    (3)</w:t>
      </w:r>
      <w:r w:rsidRPr="00695C79">
        <w:rPr>
          <w:color w:val="000000"/>
          <w:sz w:val="24"/>
        </w:rPr>
        <w:tab/>
      </w:r>
      <w:r w:rsidRPr="00695C79">
        <w:rPr>
          <w:color w:val="000000"/>
          <w:sz w:val="24"/>
        </w:rPr>
        <w:t>如经济环境发生重大变化或证券发行人发生影响金融工具价格的重大事件，应对估值进行调整并确定公允价值。</w:t>
      </w:r>
    </w:p>
    <w:p w:rsidR="005C0D0D" w:rsidRPr="00695C79" w:rsidRDefault="005C0D0D" w:rsidP="005C0D0D">
      <w:pPr>
        <w:autoSpaceDE w:val="0"/>
        <w:autoSpaceDN w:val="0"/>
        <w:adjustRightInd w:val="0"/>
        <w:spacing w:line="360" w:lineRule="auto"/>
        <w:jc w:val="left"/>
        <w:rPr>
          <w:rFonts w:asciiTheme="minorEastAsia" w:eastAsiaTheme="minorEastAsia" w:hAnsiTheme="minorEastAsia"/>
          <w:b/>
          <w:color w:val="000000"/>
          <w:kern w:val="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35" w:name="_Toc4153518"/>
      <w:r w:rsidRPr="00695C79">
        <w:rPr>
          <w:rFonts w:ascii="Times New Roman" w:hAnsi="Times New Roman"/>
          <w:kern w:val="0"/>
          <w:szCs w:val="24"/>
        </w:rPr>
        <w:t xml:space="preserve">7.4.4.6 </w:t>
      </w:r>
      <w:r w:rsidRPr="00695C79">
        <w:rPr>
          <w:rFonts w:ascii="Times New Roman" w:hAnsi="Times New Roman" w:hint="eastAsia"/>
          <w:kern w:val="0"/>
          <w:szCs w:val="24"/>
        </w:rPr>
        <w:t>金融资产和金融负债的抵销</w:t>
      </w:r>
      <w:bookmarkEnd w:id="135"/>
    </w:p>
    <w:p w:rsidR="005C0D0D" w:rsidRPr="00695C79" w:rsidRDefault="005C0D0D" w:rsidP="005C0D0D">
      <w:pPr>
        <w:spacing w:before="29" w:line="288" w:lineRule="auto"/>
        <w:ind w:firstLineChars="200" w:firstLine="480"/>
        <w:rPr>
          <w:color w:val="000000"/>
          <w:sz w:val="24"/>
        </w:rPr>
      </w:pPr>
      <w:r w:rsidRPr="00695C79">
        <w:rPr>
          <w:color w:val="000000"/>
          <w:sz w:val="24"/>
        </w:rPr>
        <w:t>本基金持有的资产和承担的负债基本为金融资产和金融负债。当本基金</w:t>
      </w:r>
      <w:r w:rsidRPr="00695C79">
        <w:rPr>
          <w:color w:val="000000"/>
          <w:sz w:val="24"/>
        </w:rPr>
        <w:t xml:space="preserve">1) </w:t>
      </w:r>
      <w:r w:rsidRPr="00695C79">
        <w:rPr>
          <w:color w:val="000000"/>
          <w:sz w:val="24"/>
        </w:rPr>
        <w:t>具有抵销已确认金额的法定权利且该种法定权利现在是可执行的；且</w:t>
      </w:r>
      <w:r w:rsidRPr="00695C79">
        <w:rPr>
          <w:color w:val="000000"/>
          <w:sz w:val="24"/>
        </w:rPr>
        <w:t xml:space="preserve">2) </w:t>
      </w:r>
      <w:r w:rsidRPr="00695C79">
        <w:rPr>
          <w:color w:val="000000"/>
          <w:sz w:val="24"/>
        </w:rPr>
        <w:t>交易双方准备按净额结算时，金融资产与金融负债按抵销后的净额在资产负债表中列示。</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36" w:name="_Toc4153519"/>
      <w:r w:rsidRPr="00695C79">
        <w:rPr>
          <w:rFonts w:ascii="Times New Roman" w:hAnsi="Times New Roman"/>
          <w:kern w:val="0"/>
          <w:szCs w:val="24"/>
        </w:rPr>
        <w:t xml:space="preserve">7.4.4.7 </w:t>
      </w:r>
      <w:r w:rsidRPr="00695C79">
        <w:rPr>
          <w:rFonts w:ascii="Times New Roman" w:hAnsi="Times New Roman" w:hint="eastAsia"/>
          <w:kern w:val="0"/>
          <w:szCs w:val="24"/>
        </w:rPr>
        <w:t>实收基金</w:t>
      </w:r>
      <w:bookmarkEnd w:id="136"/>
    </w:p>
    <w:p w:rsidR="005C0D0D" w:rsidRPr="00695C79" w:rsidRDefault="005C0D0D" w:rsidP="005C0D0D">
      <w:pPr>
        <w:spacing w:before="29" w:line="288" w:lineRule="auto"/>
        <w:ind w:firstLineChars="200" w:firstLine="480"/>
        <w:rPr>
          <w:color w:val="000000"/>
          <w:sz w:val="24"/>
        </w:rPr>
      </w:pPr>
      <w:r w:rsidRPr="00695C79">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37" w:name="_Toc4153520"/>
      <w:r w:rsidRPr="00695C79">
        <w:rPr>
          <w:rFonts w:ascii="Times New Roman" w:hAnsi="Times New Roman"/>
          <w:kern w:val="0"/>
          <w:szCs w:val="24"/>
        </w:rPr>
        <w:t xml:space="preserve">7.4.4.8 </w:t>
      </w:r>
      <w:r w:rsidRPr="00695C79">
        <w:rPr>
          <w:rFonts w:ascii="Times New Roman" w:hAnsi="Times New Roman" w:hint="eastAsia"/>
          <w:kern w:val="0"/>
          <w:szCs w:val="24"/>
        </w:rPr>
        <w:t>损益平准金</w:t>
      </w:r>
      <w:bookmarkEnd w:id="137"/>
    </w:p>
    <w:p w:rsidR="005C0D0D" w:rsidRPr="00695C79" w:rsidRDefault="005C0D0D" w:rsidP="005C0D0D">
      <w:pPr>
        <w:spacing w:before="29" w:line="288" w:lineRule="auto"/>
        <w:ind w:firstLineChars="200" w:firstLine="480"/>
        <w:rPr>
          <w:color w:val="000000"/>
          <w:sz w:val="24"/>
        </w:rPr>
      </w:pPr>
      <w:r w:rsidRPr="00695C79">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695C79">
        <w:rPr>
          <w:color w:val="000000"/>
          <w:sz w:val="24"/>
        </w:rPr>
        <w:t>/(</w:t>
      </w:r>
      <w:r w:rsidRPr="00695C79">
        <w:rPr>
          <w:color w:val="000000"/>
          <w:sz w:val="24"/>
        </w:rPr>
        <w:t>累计亏损</w:t>
      </w:r>
      <w:r w:rsidRPr="00695C79">
        <w:rPr>
          <w:color w:val="000000"/>
          <w:sz w:val="24"/>
        </w:rPr>
        <w:t>)</w:t>
      </w:r>
      <w:r w:rsidRPr="00695C79">
        <w:rPr>
          <w:color w:val="000000"/>
          <w:sz w:val="24"/>
        </w:rPr>
        <w:t>。</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heme="minorEastAsia" w:eastAsiaTheme="minorEastAsia" w:hAnsiTheme="minorEastAsia"/>
          <w:b w:val="0"/>
          <w:color w:val="000000"/>
          <w:kern w:val="0"/>
          <w:szCs w:val="21"/>
        </w:rPr>
      </w:pPr>
      <w:bookmarkStart w:id="138" w:name="_Toc4153521"/>
      <w:r w:rsidRPr="00695C79">
        <w:rPr>
          <w:rFonts w:ascii="Times New Roman" w:hAnsi="Times New Roman"/>
          <w:kern w:val="0"/>
          <w:szCs w:val="24"/>
        </w:rPr>
        <w:t xml:space="preserve">7.4.4.9 </w:t>
      </w:r>
      <w:r w:rsidRPr="00695C79">
        <w:rPr>
          <w:rFonts w:ascii="Times New Roman" w:hAnsi="Times New Roman" w:hint="eastAsia"/>
          <w:kern w:val="0"/>
          <w:szCs w:val="24"/>
        </w:rPr>
        <w:t>收入</w:t>
      </w:r>
      <w:r w:rsidRPr="00695C79">
        <w:rPr>
          <w:rFonts w:ascii="Times New Roman" w:hAnsi="Times New Roman"/>
          <w:kern w:val="0"/>
          <w:szCs w:val="24"/>
        </w:rPr>
        <w:t>/(</w:t>
      </w:r>
      <w:r w:rsidRPr="00695C79">
        <w:rPr>
          <w:rFonts w:ascii="Times New Roman" w:hAnsi="Times New Roman" w:hint="eastAsia"/>
          <w:kern w:val="0"/>
          <w:szCs w:val="24"/>
        </w:rPr>
        <w:t>损失</w:t>
      </w:r>
      <w:r w:rsidRPr="00695C79">
        <w:rPr>
          <w:rFonts w:ascii="Times New Roman" w:hAnsi="Times New Roman"/>
          <w:kern w:val="0"/>
          <w:szCs w:val="24"/>
        </w:rPr>
        <w:t>)</w:t>
      </w:r>
      <w:r w:rsidRPr="00695C79">
        <w:rPr>
          <w:rFonts w:ascii="Times New Roman" w:hAnsi="Times New Roman" w:hint="eastAsia"/>
          <w:kern w:val="0"/>
          <w:szCs w:val="24"/>
        </w:rPr>
        <w:t>的确认和计量</w:t>
      </w:r>
      <w:bookmarkEnd w:id="138"/>
    </w:p>
    <w:p w:rsidR="005C0D0D" w:rsidRPr="00695C79" w:rsidRDefault="005C0D0D" w:rsidP="005C0D0D">
      <w:pPr>
        <w:spacing w:before="29" w:line="288" w:lineRule="auto"/>
        <w:ind w:firstLineChars="200" w:firstLine="480"/>
        <w:rPr>
          <w:color w:val="000000"/>
          <w:sz w:val="24"/>
        </w:rPr>
      </w:pPr>
      <w:r w:rsidRPr="00695C79">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C0D0D" w:rsidRPr="00695C79" w:rsidRDefault="005C0D0D" w:rsidP="005C0D0D">
      <w:pPr>
        <w:spacing w:before="29" w:line="288" w:lineRule="auto"/>
        <w:ind w:firstLineChars="200" w:firstLine="480"/>
        <w:rPr>
          <w:color w:val="000000"/>
          <w:sz w:val="24"/>
        </w:rPr>
      </w:pPr>
      <w:r w:rsidRPr="00695C79">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5C0D0D" w:rsidRPr="00695C79" w:rsidRDefault="005C0D0D" w:rsidP="005C0D0D">
      <w:pPr>
        <w:spacing w:before="29" w:line="288" w:lineRule="auto"/>
        <w:ind w:firstLineChars="200" w:firstLine="480"/>
        <w:rPr>
          <w:color w:val="000000"/>
          <w:sz w:val="24"/>
        </w:rPr>
      </w:pPr>
      <w:r w:rsidRPr="00695C79">
        <w:rPr>
          <w:color w:val="000000"/>
          <w:sz w:val="24"/>
        </w:rPr>
        <w:t>应收款项在持有期间确认的利息收入按实际利率法计算，实际利率法与直线法差异较小的则按直线法计算。</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39" w:name="_Toc4153522"/>
      <w:r w:rsidRPr="00695C79">
        <w:rPr>
          <w:rFonts w:ascii="Times New Roman" w:hAnsi="Times New Roman"/>
          <w:kern w:val="0"/>
          <w:szCs w:val="24"/>
        </w:rPr>
        <w:t xml:space="preserve">7.4.4.10 </w:t>
      </w:r>
      <w:r w:rsidRPr="00695C79">
        <w:rPr>
          <w:rFonts w:ascii="Times New Roman" w:hAnsi="Times New Roman" w:hint="eastAsia"/>
          <w:kern w:val="0"/>
          <w:szCs w:val="24"/>
        </w:rPr>
        <w:t>费用的确认和计量</w:t>
      </w:r>
      <w:bookmarkEnd w:id="139"/>
    </w:p>
    <w:p w:rsidR="005C0D0D" w:rsidRPr="00695C79" w:rsidRDefault="005C0D0D" w:rsidP="005C0D0D">
      <w:pPr>
        <w:spacing w:before="29" w:line="288" w:lineRule="auto"/>
        <w:ind w:firstLineChars="200" w:firstLine="480"/>
        <w:rPr>
          <w:color w:val="000000"/>
          <w:sz w:val="24"/>
        </w:rPr>
      </w:pPr>
      <w:r w:rsidRPr="00695C79">
        <w:rPr>
          <w:color w:val="000000"/>
          <w:sz w:val="24"/>
        </w:rPr>
        <w:t>本基金的管理人报酬和托管费在费用涵盖期间按基金合同约定的费率和计算方法逐日确认。</w:t>
      </w:r>
    </w:p>
    <w:p w:rsidR="005C0D0D" w:rsidRPr="00695C79" w:rsidRDefault="005C0D0D" w:rsidP="005C0D0D">
      <w:pPr>
        <w:spacing w:before="29" w:line="288" w:lineRule="auto"/>
        <w:ind w:firstLineChars="200" w:firstLine="480"/>
        <w:rPr>
          <w:color w:val="000000"/>
          <w:sz w:val="24"/>
        </w:rPr>
      </w:pPr>
      <w:r w:rsidRPr="00695C79">
        <w:rPr>
          <w:color w:val="000000"/>
          <w:sz w:val="24"/>
        </w:rPr>
        <w:t>其他金融负债在持有期间确认的利息支出按实际利率法计算，实际利率法与直线法差异较小的则按直线法计算。</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40" w:name="_Toc4153523"/>
      <w:r w:rsidRPr="00695C79">
        <w:rPr>
          <w:rFonts w:ascii="Times New Roman" w:hAnsi="Times New Roman"/>
          <w:kern w:val="0"/>
          <w:szCs w:val="24"/>
        </w:rPr>
        <w:t xml:space="preserve">7.4.4.11 </w:t>
      </w:r>
      <w:r w:rsidRPr="00695C79">
        <w:rPr>
          <w:rFonts w:ascii="Times New Roman" w:hAnsi="Times New Roman" w:hint="eastAsia"/>
          <w:kern w:val="0"/>
          <w:szCs w:val="24"/>
        </w:rPr>
        <w:t>基金的收益分配政策</w:t>
      </w:r>
      <w:bookmarkEnd w:id="140"/>
    </w:p>
    <w:p w:rsidR="005C0D0D" w:rsidRPr="00695C79" w:rsidRDefault="005C0D0D" w:rsidP="005C0D0D">
      <w:pPr>
        <w:spacing w:before="29" w:line="288" w:lineRule="auto"/>
        <w:ind w:firstLineChars="200" w:firstLine="480"/>
        <w:rPr>
          <w:color w:val="000000"/>
          <w:sz w:val="24"/>
        </w:rPr>
      </w:pPr>
      <w:r w:rsidRPr="00695C79">
        <w:rPr>
          <w:color w:val="000000"/>
          <w:sz w:val="24"/>
        </w:rPr>
        <w:t>每一基金份额享有同等分配权。保本周期内本基金仅采取现金分红一种收益分配方式。若期末未分配利润中的未实现部分</w:t>
      </w:r>
      <w:r w:rsidRPr="00695C79">
        <w:rPr>
          <w:color w:val="000000"/>
          <w:sz w:val="24"/>
        </w:rPr>
        <w:t>(</w:t>
      </w:r>
      <w:r w:rsidRPr="00695C79">
        <w:rPr>
          <w:color w:val="000000"/>
          <w:sz w:val="24"/>
        </w:rPr>
        <w:t>包括基金经营活动产生的未实现损益以及基金份额交易产生的未实现平准金等</w:t>
      </w:r>
      <w:r w:rsidRPr="00695C79">
        <w:rPr>
          <w:color w:val="000000"/>
          <w:sz w:val="24"/>
        </w:rPr>
        <w:t>)</w:t>
      </w:r>
      <w:r w:rsidRPr="00695C79">
        <w:rPr>
          <w:color w:val="000000"/>
          <w:sz w:val="24"/>
        </w:rPr>
        <w:t>为正数，则期末可供分配利润的金额为期末未分配利润中的已实现部分；若期末未分配利润的未实现部分为负数，则期末可供分配利润的金额为期末未分配利润</w:t>
      </w:r>
      <w:r w:rsidRPr="00695C79">
        <w:rPr>
          <w:color w:val="000000"/>
          <w:sz w:val="24"/>
        </w:rPr>
        <w:t>(</w:t>
      </w:r>
      <w:r w:rsidRPr="00695C79">
        <w:rPr>
          <w:color w:val="000000"/>
          <w:sz w:val="24"/>
        </w:rPr>
        <w:t>已实现部分相抵未实现部分后的余额</w:t>
      </w:r>
      <w:r w:rsidRPr="00695C79">
        <w:rPr>
          <w:color w:val="000000"/>
          <w:sz w:val="24"/>
        </w:rPr>
        <w:t>)</w:t>
      </w:r>
      <w:r w:rsidRPr="00695C79">
        <w:rPr>
          <w:color w:val="000000"/>
          <w:sz w:val="24"/>
        </w:rPr>
        <w:t>。</w:t>
      </w:r>
    </w:p>
    <w:p w:rsidR="005C0D0D" w:rsidRPr="00695C79" w:rsidRDefault="005C0D0D" w:rsidP="005C0D0D">
      <w:pPr>
        <w:spacing w:before="29" w:line="288" w:lineRule="auto"/>
        <w:ind w:firstLineChars="200" w:firstLine="480"/>
        <w:rPr>
          <w:color w:val="000000"/>
          <w:sz w:val="24"/>
        </w:rPr>
      </w:pPr>
      <w:r w:rsidRPr="00695C79">
        <w:rPr>
          <w:color w:val="000000"/>
          <w:sz w:val="24"/>
        </w:rPr>
        <w:t>经宣告的拟分配基金收益于分红除权日从所有者权益转出。</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pStyle w:val="20"/>
        <w:spacing w:before="29" w:after="0" w:line="288" w:lineRule="auto"/>
        <w:rPr>
          <w:rFonts w:ascii="Times New Roman" w:hAnsi="Times New Roman"/>
          <w:kern w:val="0"/>
          <w:szCs w:val="24"/>
        </w:rPr>
      </w:pPr>
      <w:bookmarkStart w:id="141" w:name="_Toc4153524"/>
      <w:r w:rsidRPr="00695C79">
        <w:rPr>
          <w:rFonts w:ascii="Times New Roman" w:hAnsi="Times New Roman"/>
          <w:kern w:val="0"/>
          <w:szCs w:val="24"/>
        </w:rPr>
        <w:t xml:space="preserve">7.4.4.12 </w:t>
      </w:r>
      <w:r w:rsidRPr="00695C79">
        <w:rPr>
          <w:rFonts w:ascii="Times New Roman" w:hAnsi="Times New Roman" w:hint="eastAsia"/>
          <w:kern w:val="0"/>
          <w:szCs w:val="24"/>
        </w:rPr>
        <w:t>分部报告</w:t>
      </w:r>
      <w:bookmarkEnd w:id="141"/>
    </w:p>
    <w:p w:rsidR="005C0D0D" w:rsidRPr="00695C79" w:rsidRDefault="005C0D0D" w:rsidP="005C0D0D">
      <w:pPr>
        <w:spacing w:before="29" w:line="288" w:lineRule="auto"/>
        <w:ind w:firstLineChars="200" w:firstLine="480"/>
        <w:rPr>
          <w:color w:val="000000"/>
          <w:sz w:val="24"/>
        </w:rPr>
      </w:pPr>
      <w:r w:rsidRPr="00695C79">
        <w:rPr>
          <w:color w:val="000000"/>
          <w:sz w:val="24"/>
        </w:rPr>
        <w:t>本基金以内部组织结构、管理要求、内部报告制度为依据确定经营分部，以经营分部为基础确定报告分部并披露分部信息。经营分部是指本基金内同时满足下列条件的组成部分：</w:t>
      </w:r>
      <w:r w:rsidRPr="00695C79">
        <w:rPr>
          <w:color w:val="000000"/>
          <w:sz w:val="24"/>
        </w:rPr>
        <w:t xml:space="preserve">(1) </w:t>
      </w:r>
      <w:r w:rsidRPr="00695C79">
        <w:rPr>
          <w:color w:val="000000"/>
          <w:sz w:val="24"/>
        </w:rPr>
        <w:t>该组成部分能够在日常活动中产生收入、发生费用；</w:t>
      </w:r>
      <w:r w:rsidRPr="00695C79">
        <w:rPr>
          <w:color w:val="000000"/>
          <w:sz w:val="24"/>
        </w:rPr>
        <w:t xml:space="preserve">(2) </w:t>
      </w:r>
      <w:r w:rsidRPr="00695C79">
        <w:rPr>
          <w:color w:val="000000"/>
          <w:sz w:val="24"/>
        </w:rPr>
        <w:t>本基金的基金管理人能够定期评价该组成部分的经营成果，以决定向其配置资源、评价其业绩；</w:t>
      </w:r>
      <w:r w:rsidRPr="00695C79">
        <w:rPr>
          <w:color w:val="000000"/>
          <w:sz w:val="24"/>
        </w:rPr>
        <w:t xml:space="preserve">(3) </w:t>
      </w:r>
      <w:r w:rsidRPr="00695C79">
        <w:rPr>
          <w:color w:val="000000"/>
          <w:sz w:val="24"/>
        </w:rPr>
        <w:t>本基金能够取得该组成部分的财务状况、经营成果和现金流量等有关会计信息。如果两个或多个经营分部具有相似的经济特征，并且满足一定条件的，则合并为一个经营分部。</w:t>
      </w:r>
    </w:p>
    <w:p w:rsidR="005C0D0D" w:rsidRPr="00695C79" w:rsidRDefault="005C0D0D" w:rsidP="005C0D0D">
      <w:pPr>
        <w:spacing w:before="29" w:line="288" w:lineRule="auto"/>
        <w:ind w:firstLineChars="200" w:firstLine="480"/>
        <w:rPr>
          <w:color w:val="000000"/>
          <w:sz w:val="24"/>
        </w:rPr>
      </w:pPr>
      <w:r w:rsidRPr="00695C79">
        <w:rPr>
          <w:color w:val="000000"/>
          <w:sz w:val="24"/>
        </w:rPr>
        <w:t>本基金目前以一个单一的经营分部运作，不需要披露分部信息。</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42" w:name="_Toc4153525"/>
      <w:r w:rsidRPr="00695C79">
        <w:rPr>
          <w:rFonts w:ascii="Times New Roman" w:hAnsi="Times New Roman"/>
          <w:kern w:val="0"/>
          <w:szCs w:val="24"/>
        </w:rPr>
        <w:t xml:space="preserve">7.4.4.13 </w:t>
      </w:r>
      <w:r w:rsidRPr="00695C79">
        <w:rPr>
          <w:rFonts w:ascii="Times New Roman" w:hAnsi="Times New Roman" w:hint="eastAsia"/>
          <w:kern w:val="0"/>
          <w:szCs w:val="24"/>
        </w:rPr>
        <w:t>其他重要的会计政策和会计估计</w:t>
      </w:r>
      <w:bookmarkEnd w:id="142"/>
    </w:p>
    <w:p w:rsidR="005C0D0D" w:rsidRPr="00695C79" w:rsidRDefault="005C0D0D" w:rsidP="005C0D0D">
      <w:pPr>
        <w:spacing w:before="29" w:line="288" w:lineRule="auto"/>
        <w:ind w:firstLineChars="200" w:firstLine="480"/>
        <w:rPr>
          <w:color w:val="000000"/>
          <w:sz w:val="24"/>
        </w:rPr>
      </w:pPr>
      <w:r w:rsidRPr="00695C79">
        <w:rPr>
          <w:color w:val="000000"/>
          <w:sz w:val="24"/>
        </w:rPr>
        <w:t>根据本基金的估值原则和中国证监会允许的基金行业估值实务操作，本基金确定以下类别股票投资</w:t>
      </w:r>
      <w:r>
        <w:rPr>
          <w:rFonts w:hint="eastAsia"/>
          <w:color w:val="000000"/>
          <w:sz w:val="24"/>
        </w:rPr>
        <w:t>、</w:t>
      </w:r>
      <w:r w:rsidRPr="00695C79">
        <w:rPr>
          <w:color w:val="000000"/>
          <w:sz w:val="24"/>
        </w:rPr>
        <w:t>债券投资</w:t>
      </w:r>
      <w:r>
        <w:rPr>
          <w:rFonts w:hint="eastAsia"/>
          <w:color w:val="000000"/>
          <w:sz w:val="24"/>
        </w:rPr>
        <w:t>和资产支持证券投资</w:t>
      </w:r>
      <w:r w:rsidRPr="00695C79">
        <w:rPr>
          <w:color w:val="000000"/>
          <w:sz w:val="24"/>
        </w:rPr>
        <w:t>的公允价值时采用的估值方法及其关键假设如下：</w:t>
      </w: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(1) </w:t>
      </w:r>
      <w:r w:rsidRPr="00695C79">
        <w:rPr>
          <w:color w:val="000000"/>
          <w:sz w:val="24"/>
        </w:rPr>
        <w:t>对于证券交易所上市的股票和债券，若出现重大事项停牌或交易不活跃</w:t>
      </w:r>
      <w:r w:rsidRPr="00695C79">
        <w:rPr>
          <w:color w:val="000000"/>
          <w:sz w:val="24"/>
        </w:rPr>
        <w:t>(</w:t>
      </w:r>
      <w:r w:rsidRPr="00695C79">
        <w:rPr>
          <w:color w:val="000000"/>
          <w:sz w:val="24"/>
        </w:rPr>
        <w:t>包括涨跌停时的交易不活跃</w:t>
      </w:r>
      <w:r w:rsidRPr="00695C79">
        <w:rPr>
          <w:color w:val="000000"/>
          <w:sz w:val="24"/>
        </w:rPr>
        <w:t>)</w:t>
      </w:r>
      <w:r w:rsidRPr="00695C79">
        <w:rPr>
          <w:color w:val="000000"/>
          <w:sz w:val="24"/>
        </w:rPr>
        <w:t>等情况，本基金根据中国证监会公告</w:t>
      </w:r>
      <w:r w:rsidRPr="00695C79">
        <w:rPr>
          <w:color w:val="000000"/>
          <w:sz w:val="24"/>
        </w:rPr>
        <w:t>[2017]13</w:t>
      </w:r>
      <w:r w:rsidRPr="00695C79">
        <w:rPr>
          <w:color w:val="000000"/>
          <w:sz w:val="24"/>
        </w:rPr>
        <w:t>号《中国证监会关于证券投资基金估值业务的指导意见》，根据具体情况采用《关于发布中基协</w:t>
      </w:r>
      <w:r w:rsidRPr="00695C79">
        <w:rPr>
          <w:color w:val="000000"/>
          <w:sz w:val="24"/>
        </w:rPr>
        <w:t>(AMAC)</w:t>
      </w:r>
      <w:r w:rsidRPr="00695C79">
        <w:rPr>
          <w:color w:val="000000"/>
          <w:sz w:val="24"/>
        </w:rPr>
        <w:t>基金行业股票估值指数的通知》提供的指数收益法、市盈率法、现金流量折现法等估值技术进行估值。</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(2) </w:t>
      </w:r>
      <w:r w:rsidRPr="00695C79">
        <w:rPr>
          <w:color w:val="000000"/>
          <w:sz w:val="24"/>
        </w:rPr>
        <w:t>于</w:t>
      </w:r>
      <w:r w:rsidRPr="00695C79">
        <w:rPr>
          <w:color w:val="000000"/>
          <w:sz w:val="24"/>
        </w:rPr>
        <w:t>2017</w:t>
      </w:r>
      <w:r w:rsidRPr="00695C79">
        <w:rPr>
          <w:color w:val="000000"/>
          <w:sz w:val="24"/>
        </w:rPr>
        <w:t>年</w:t>
      </w:r>
      <w:r w:rsidRPr="00695C79">
        <w:rPr>
          <w:color w:val="000000"/>
          <w:sz w:val="24"/>
        </w:rPr>
        <w:t>11</w:t>
      </w:r>
      <w:r w:rsidRPr="00695C79">
        <w:rPr>
          <w:color w:val="000000"/>
          <w:sz w:val="24"/>
        </w:rPr>
        <w:t>月</w:t>
      </w:r>
      <w:r w:rsidRPr="00695C79">
        <w:rPr>
          <w:color w:val="000000"/>
          <w:sz w:val="24"/>
        </w:rPr>
        <w:t>15</w:t>
      </w:r>
      <w:r w:rsidRPr="00695C79">
        <w:rPr>
          <w:color w:val="000000"/>
          <w:sz w:val="24"/>
        </w:rPr>
        <w:t>日前，对于在锁定期内的非公开发行股票，根据中国证监会证监会计字</w:t>
      </w:r>
      <w:r w:rsidRPr="00695C79">
        <w:rPr>
          <w:color w:val="000000"/>
          <w:sz w:val="24"/>
        </w:rPr>
        <w:t>[2007]21</w:t>
      </w:r>
      <w:r w:rsidRPr="00695C79">
        <w:rPr>
          <w:color w:val="000000"/>
          <w:sz w:val="24"/>
        </w:rPr>
        <w:t>号《关于证券投资基金执行</w:t>
      </w:r>
      <w:r w:rsidRPr="00695C79">
        <w:rPr>
          <w:color w:val="000000"/>
          <w:sz w:val="24"/>
        </w:rPr>
        <w:t>&lt;</w:t>
      </w:r>
      <w:r w:rsidRPr="00695C79">
        <w:rPr>
          <w:color w:val="000000"/>
          <w:sz w:val="24"/>
        </w:rPr>
        <w:t>企业会计准则</w:t>
      </w:r>
      <w:r w:rsidRPr="00695C79">
        <w:rPr>
          <w:color w:val="000000"/>
          <w:sz w:val="24"/>
        </w:rPr>
        <w:t>&gt;</w:t>
      </w:r>
      <w:r w:rsidRPr="00695C79">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695C79">
        <w:rPr>
          <w:color w:val="000000"/>
          <w:sz w:val="24"/>
        </w:rPr>
        <w:t>2017</w:t>
      </w:r>
      <w:r w:rsidRPr="00695C79">
        <w:rPr>
          <w:color w:val="000000"/>
          <w:sz w:val="24"/>
        </w:rPr>
        <w:t>年</w:t>
      </w:r>
      <w:r w:rsidRPr="00695C79">
        <w:rPr>
          <w:color w:val="000000"/>
          <w:sz w:val="24"/>
        </w:rPr>
        <w:t>11</w:t>
      </w:r>
      <w:r w:rsidRPr="00695C79">
        <w:rPr>
          <w:color w:val="000000"/>
          <w:sz w:val="24"/>
        </w:rPr>
        <w:t>月</w:t>
      </w:r>
      <w:r w:rsidRPr="00695C79">
        <w:rPr>
          <w:color w:val="000000"/>
          <w:sz w:val="24"/>
        </w:rPr>
        <w:t>15</w:t>
      </w:r>
      <w:r w:rsidRPr="00695C79">
        <w:rPr>
          <w:color w:val="000000"/>
          <w:sz w:val="24"/>
        </w:rPr>
        <w:t>日起，对于在锁定期内的非公开发行股票、首次公开发行股票时公司股东公开发售股份、通过大宗交易取得的带限售期的股票等流通受限股票，根据中国基金业协会中基协发</w:t>
      </w:r>
      <w:r w:rsidRPr="00695C79">
        <w:rPr>
          <w:color w:val="000000"/>
          <w:sz w:val="24"/>
        </w:rPr>
        <w:t>[2017]6</w:t>
      </w:r>
      <w:r w:rsidRPr="00695C79">
        <w:rPr>
          <w:color w:val="000000"/>
          <w:sz w:val="24"/>
        </w:rPr>
        <w:t>号《关于发布</w:t>
      </w:r>
      <w:r w:rsidRPr="00695C79">
        <w:rPr>
          <w:color w:val="000000"/>
          <w:sz w:val="24"/>
        </w:rPr>
        <w:t>&lt;</w:t>
      </w:r>
      <w:r w:rsidRPr="00695C79">
        <w:rPr>
          <w:color w:val="000000"/>
          <w:sz w:val="24"/>
        </w:rPr>
        <w:t>证券投资基金投资流通受限股票估值指引</w:t>
      </w:r>
      <w:r w:rsidRPr="00695C79">
        <w:rPr>
          <w:color w:val="000000"/>
          <w:sz w:val="24"/>
        </w:rPr>
        <w:t>(</w:t>
      </w:r>
      <w:r w:rsidRPr="00695C79">
        <w:rPr>
          <w:color w:val="000000"/>
          <w:sz w:val="24"/>
        </w:rPr>
        <w:t>试行</w:t>
      </w:r>
      <w:r w:rsidRPr="00695C79">
        <w:rPr>
          <w:color w:val="000000"/>
          <w:sz w:val="24"/>
        </w:rPr>
        <w:t>)&gt;</w:t>
      </w:r>
      <w:r w:rsidRPr="00695C79">
        <w:rPr>
          <w:color w:val="000000"/>
          <w:sz w:val="24"/>
        </w:rPr>
        <w:t>的通知》之附件《证券投资基金投资流通受限股票估值指引</w:t>
      </w:r>
      <w:r w:rsidRPr="00695C79">
        <w:rPr>
          <w:color w:val="000000"/>
          <w:sz w:val="24"/>
        </w:rPr>
        <w:t>(</w:t>
      </w:r>
      <w:r w:rsidRPr="00695C79">
        <w:rPr>
          <w:color w:val="000000"/>
          <w:sz w:val="24"/>
        </w:rPr>
        <w:t>试行</w:t>
      </w:r>
      <w:r w:rsidRPr="00695C79">
        <w:rPr>
          <w:color w:val="000000"/>
          <w:sz w:val="24"/>
        </w:rPr>
        <w:t>)</w:t>
      </w:r>
      <w:r w:rsidRPr="00695C79">
        <w:rPr>
          <w:color w:val="000000"/>
          <w:sz w:val="24"/>
        </w:rPr>
        <w:t>》</w:t>
      </w:r>
      <w:r w:rsidRPr="00695C79">
        <w:rPr>
          <w:color w:val="000000"/>
          <w:sz w:val="24"/>
        </w:rPr>
        <w:t>(</w:t>
      </w:r>
      <w:r w:rsidRPr="00695C79">
        <w:rPr>
          <w:color w:val="000000"/>
          <w:sz w:val="24"/>
        </w:rPr>
        <w:t>以下简称</w:t>
      </w:r>
      <w:r w:rsidRPr="00695C79">
        <w:rPr>
          <w:color w:val="000000"/>
          <w:sz w:val="24"/>
        </w:rPr>
        <w:t>“</w:t>
      </w:r>
      <w:r w:rsidRPr="00695C79">
        <w:rPr>
          <w:color w:val="000000"/>
          <w:sz w:val="24"/>
        </w:rPr>
        <w:t>指引</w:t>
      </w:r>
      <w:r w:rsidRPr="00695C79">
        <w:rPr>
          <w:color w:val="000000"/>
          <w:sz w:val="24"/>
        </w:rPr>
        <w:t>”)</w:t>
      </w:r>
      <w:r w:rsidRPr="00695C79">
        <w:rPr>
          <w:color w:val="000000"/>
          <w:sz w:val="24"/>
        </w:rPr>
        <w:t>，按估值日在证券交易所上市交易的同一股票的公允价值扣除中证指数有限公司指引所独立提供的该流通受限股票剩余限售期对应的流动性折扣后的价值进行估值。</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(3) </w:t>
      </w:r>
      <w:r w:rsidRPr="00695C79">
        <w:rPr>
          <w:color w:val="000000"/>
          <w:sz w:val="24"/>
        </w:rPr>
        <w:t>对于在证券交易所上市或挂牌转让的固定收益品种</w:t>
      </w:r>
      <w:r w:rsidRPr="00695C79">
        <w:rPr>
          <w:color w:val="000000"/>
          <w:sz w:val="24"/>
        </w:rPr>
        <w:t>(</w:t>
      </w:r>
      <w:r w:rsidRPr="00695C79">
        <w:rPr>
          <w:color w:val="000000"/>
          <w:sz w:val="24"/>
        </w:rPr>
        <w:t>可转换债券、资产支持证券和私募债券除外</w:t>
      </w:r>
      <w:r w:rsidRPr="00695C79">
        <w:rPr>
          <w:color w:val="000000"/>
          <w:sz w:val="24"/>
        </w:rPr>
        <w:t>)</w:t>
      </w:r>
      <w:r w:rsidRPr="00695C79">
        <w:rPr>
          <w:color w:val="000000"/>
          <w:sz w:val="24"/>
        </w:rPr>
        <w:t>及在银行间同业市场交易的固定收益品种，根据中国证监会公告</w:t>
      </w:r>
      <w:r w:rsidRPr="00695C79">
        <w:rPr>
          <w:color w:val="000000"/>
          <w:sz w:val="24"/>
        </w:rPr>
        <w:t>[2017]13</w:t>
      </w:r>
      <w:r w:rsidRPr="00695C79">
        <w:rPr>
          <w:color w:val="000000"/>
          <w:sz w:val="24"/>
        </w:rPr>
        <w:t>号《中国证监会关于证券投资基金估值业务的指导意见》及《中国证券投资基金业协会估值核算工作小组关于</w:t>
      </w:r>
      <w:r w:rsidRPr="00695C79">
        <w:rPr>
          <w:color w:val="000000"/>
          <w:sz w:val="24"/>
        </w:rPr>
        <w:t>2015</w:t>
      </w:r>
      <w:r w:rsidRPr="00695C79">
        <w:rPr>
          <w:color w:val="000000"/>
          <w:sz w:val="24"/>
        </w:rPr>
        <w:t>年</w:t>
      </w:r>
      <w:r w:rsidRPr="00695C79">
        <w:rPr>
          <w:color w:val="000000"/>
          <w:sz w:val="24"/>
        </w:rPr>
        <w:t>1</w:t>
      </w:r>
      <w:r w:rsidRPr="00695C79">
        <w:rPr>
          <w:color w:val="000000"/>
          <w:sz w:val="24"/>
        </w:rPr>
        <w:t>季度固定收益品种的估值处理标准》采用估值技术确定公允价值。本基金持有的证券交易所上市或挂牌转让的固定收益品种</w:t>
      </w:r>
      <w:r w:rsidRPr="00695C79">
        <w:rPr>
          <w:color w:val="000000"/>
          <w:sz w:val="24"/>
        </w:rPr>
        <w:t>(</w:t>
      </w:r>
      <w:r w:rsidRPr="00695C79">
        <w:rPr>
          <w:color w:val="000000"/>
          <w:sz w:val="24"/>
        </w:rPr>
        <w:t>可转换债券、资产支持证券和私募债券除外</w:t>
      </w:r>
      <w:r w:rsidRPr="00695C79">
        <w:rPr>
          <w:color w:val="000000"/>
          <w:sz w:val="24"/>
        </w:rPr>
        <w:t>)</w:t>
      </w:r>
      <w:r w:rsidRPr="00695C79">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43" w:name="_Toc4153526"/>
      <w:r w:rsidRPr="00695C79">
        <w:rPr>
          <w:rFonts w:ascii="Times New Roman" w:hAnsi="Times New Roman"/>
          <w:kern w:val="0"/>
          <w:szCs w:val="24"/>
        </w:rPr>
        <w:t>7.4.5</w:t>
      </w:r>
      <w:r w:rsidRPr="00695C79">
        <w:rPr>
          <w:rFonts w:ascii="Times New Roman" w:hAnsi="Times New Roman" w:hint="eastAsia"/>
          <w:kern w:val="0"/>
          <w:szCs w:val="24"/>
        </w:rPr>
        <w:t>会计政策和会计估计变更以及差错更正的说明</w:t>
      </w:r>
      <w:bookmarkEnd w:id="143"/>
    </w:p>
    <w:p w:rsidR="005C0D0D" w:rsidRPr="00695C79" w:rsidRDefault="005C0D0D" w:rsidP="005C0D0D">
      <w:pPr>
        <w:pStyle w:val="20"/>
        <w:spacing w:before="29" w:after="0" w:line="288" w:lineRule="auto"/>
        <w:rPr>
          <w:rFonts w:ascii="Times New Roman" w:hAnsi="Times New Roman"/>
          <w:kern w:val="0"/>
          <w:szCs w:val="24"/>
        </w:rPr>
      </w:pPr>
      <w:bookmarkStart w:id="144" w:name="_Toc4153527"/>
      <w:r w:rsidRPr="00695C79">
        <w:rPr>
          <w:rFonts w:ascii="Times New Roman" w:hAnsi="Times New Roman"/>
          <w:kern w:val="0"/>
          <w:szCs w:val="24"/>
        </w:rPr>
        <w:t xml:space="preserve">7.4.5.1 </w:t>
      </w:r>
      <w:r w:rsidRPr="00695C79">
        <w:rPr>
          <w:rFonts w:ascii="Times New Roman" w:hAnsi="Times New Roman" w:hint="eastAsia"/>
          <w:kern w:val="0"/>
          <w:szCs w:val="24"/>
        </w:rPr>
        <w:t>会计政策变更的说明</w:t>
      </w:r>
      <w:bookmarkEnd w:id="144"/>
    </w:p>
    <w:p w:rsidR="005C0D0D" w:rsidRPr="00695C79" w:rsidRDefault="005C0D0D" w:rsidP="005C0D0D">
      <w:pPr>
        <w:spacing w:before="29" w:line="288" w:lineRule="auto"/>
        <w:ind w:firstLineChars="200" w:firstLine="480"/>
        <w:rPr>
          <w:color w:val="000000"/>
          <w:sz w:val="24"/>
        </w:rPr>
      </w:pPr>
      <w:r w:rsidRPr="00695C79">
        <w:rPr>
          <w:color w:val="000000"/>
          <w:sz w:val="24"/>
        </w:rPr>
        <w:t>本基金本报告期未发生会计政策变更。</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45" w:name="_Toc4153528"/>
      <w:r w:rsidRPr="00695C79">
        <w:rPr>
          <w:rFonts w:ascii="Times New Roman" w:hAnsi="Times New Roman"/>
          <w:kern w:val="0"/>
          <w:szCs w:val="24"/>
        </w:rPr>
        <w:t xml:space="preserve">7.4.5.2 </w:t>
      </w:r>
      <w:r w:rsidRPr="00695C79">
        <w:rPr>
          <w:rFonts w:ascii="Times New Roman" w:hAnsi="Times New Roman" w:hint="eastAsia"/>
          <w:kern w:val="0"/>
          <w:szCs w:val="24"/>
        </w:rPr>
        <w:t>会计估计变更的说明</w:t>
      </w:r>
      <w:bookmarkEnd w:id="145"/>
    </w:p>
    <w:p w:rsidR="005C0D0D" w:rsidRPr="00695C79" w:rsidRDefault="005C0D0D" w:rsidP="005C0D0D">
      <w:pPr>
        <w:spacing w:before="29" w:line="288" w:lineRule="auto"/>
        <w:ind w:firstLineChars="200" w:firstLine="480"/>
        <w:rPr>
          <w:color w:val="000000"/>
          <w:sz w:val="24"/>
        </w:rPr>
      </w:pPr>
      <w:r w:rsidRPr="00695C79">
        <w:rPr>
          <w:color w:val="000000"/>
          <w:sz w:val="24"/>
        </w:rPr>
        <w:t>本基金本报告期未发生会计估计变更。</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46" w:name="_Toc4153529"/>
      <w:r w:rsidRPr="00695C79">
        <w:rPr>
          <w:rFonts w:ascii="Times New Roman" w:hAnsi="Times New Roman"/>
          <w:kern w:val="0"/>
          <w:szCs w:val="24"/>
        </w:rPr>
        <w:t xml:space="preserve">7.4.5.3 </w:t>
      </w:r>
      <w:r w:rsidRPr="00695C79">
        <w:rPr>
          <w:rFonts w:ascii="Times New Roman" w:hAnsi="Times New Roman" w:hint="eastAsia"/>
          <w:kern w:val="0"/>
          <w:szCs w:val="24"/>
        </w:rPr>
        <w:t>差错更正的说明</w:t>
      </w:r>
      <w:bookmarkEnd w:id="146"/>
    </w:p>
    <w:p w:rsidR="005C0D0D" w:rsidRPr="00695C79" w:rsidRDefault="005C0D0D" w:rsidP="005C0D0D">
      <w:pPr>
        <w:spacing w:before="29" w:line="288" w:lineRule="auto"/>
        <w:ind w:firstLineChars="200" w:firstLine="480"/>
        <w:rPr>
          <w:color w:val="000000"/>
          <w:sz w:val="24"/>
        </w:rPr>
      </w:pPr>
      <w:r w:rsidRPr="00695C79">
        <w:rPr>
          <w:color w:val="000000"/>
          <w:sz w:val="24"/>
        </w:rPr>
        <w:t>本基金在本报告期间无须说明的会计差错更正。</w:t>
      </w:r>
    </w:p>
    <w:p w:rsidR="005C0D0D" w:rsidRPr="00695C79" w:rsidRDefault="005C0D0D" w:rsidP="005C0D0D">
      <w:pPr>
        <w:spacing w:line="360" w:lineRule="auto"/>
        <w:ind w:firstLineChars="200" w:firstLine="420"/>
        <w:rPr>
          <w:rFonts w:asciiTheme="minorEastAsia" w:eastAsiaTheme="minorEastAsia" w:hAnsiTheme="minorEastAsia"/>
          <w:bCs/>
          <w:color w:val="000000"/>
          <w:szCs w:val="21"/>
        </w:rPr>
      </w:pPr>
    </w:p>
    <w:p w:rsidR="005C0D0D" w:rsidRPr="00695C79" w:rsidRDefault="005C0D0D" w:rsidP="005C0D0D">
      <w:pPr>
        <w:pStyle w:val="20"/>
        <w:spacing w:before="29" w:after="0" w:line="288" w:lineRule="auto"/>
        <w:rPr>
          <w:rFonts w:ascii="Times New Roman" w:hAnsi="Times New Roman"/>
          <w:kern w:val="0"/>
          <w:szCs w:val="24"/>
        </w:rPr>
      </w:pPr>
      <w:bookmarkStart w:id="147" w:name="_Toc4153530"/>
      <w:r w:rsidRPr="00695C79">
        <w:rPr>
          <w:rFonts w:ascii="Times New Roman" w:hAnsi="Times New Roman"/>
          <w:kern w:val="0"/>
          <w:szCs w:val="24"/>
        </w:rPr>
        <w:t>7.4.6</w:t>
      </w:r>
      <w:r w:rsidRPr="00695C79">
        <w:rPr>
          <w:rFonts w:ascii="Times New Roman" w:hAnsi="Times New Roman" w:hint="eastAsia"/>
          <w:kern w:val="0"/>
          <w:szCs w:val="24"/>
        </w:rPr>
        <w:t>税项</w:t>
      </w:r>
      <w:bookmarkEnd w:id="147"/>
    </w:p>
    <w:p w:rsidR="005C0D0D" w:rsidRPr="00695C79" w:rsidRDefault="005C0D0D" w:rsidP="005C0D0D">
      <w:pPr>
        <w:spacing w:before="29" w:line="288" w:lineRule="auto"/>
        <w:ind w:firstLineChars="200" w:firstLine="480"/>
        <w:rPr>
          <w:color w:val="000000"/>
          <w:sz w:val="24"/>
        </w:rPr>
      </w:pPr>
      <w:r w:rsidRPr="00695C79">
        <w:rPr>
          <w:color w:val="000000"/>
          <w:sz w:val="24"/>
        </w:rPr>
        <w:t>根据财政部、国家税务总局财税</w:t>
      </w:r>
      <w:r w:rsidRPr="00695C79">
        <w:rPr>
          <w:color w:val="000000"/>
          <w:sz w:val="24"/>
        </w:rPr>
        <w:t>[2008]1</w:t>
      </w:r>
      <w:r w:rsidRPr="00695C79">
        <w:rPr>
          <w:color w:val="000000"/>
          <w:sz w:val="24"/>
        </w:rPr>
        <w:t>号《关于企业所得税若干优惠政策的通知》、财税</w:t>
      </w:r>
      <w:r w:rsidRPr="00695C79">
        <w:rPr>
          <w:color w:val="000000"/>
          <w:sz w:val="24"/>
        </w:rPr>
        <w:t>[2012]85</w:t>
      </w:r>
      <w:r w:rsidRPr="00695C79">
        <w:rPr>
          <w:color w:val="000000"/>
          <w:sz w:val="24"/>
        </w:rPr>
        <w:t>号《关于实施上市公司股息红利差别化个人所得税政策有关问题的通知》、财税</w:t>
      </w:r>
      <w:r w:rsidRPr="00695C79">
        <w:rPr>
          <w:color w:val="000000"/>
          <w:sz w:val="24"/>
        </w:rPr>
        <w:t>[2015]101</w:t>
      </w:r>
      <w:r w:rsidRPr="00695C79">
        <w:rPr>
          <w:color w:val="000000"/>
          <w:sz w:val="24"/>
        </w:rPr>
        <w:t>号《关于上市公司股息红利差别化个人所得税政策有关问题的通知》、财税</w:t>
      </w:r>
      <w:r w:rsidRPr="00695C79">
        <w:rPr>
          <w:color w:val="000000"/>
          <w:sz w:val="24"/>
        </w:rPr>
        <w:t>[2016]36</w:t>
      </w:r>
      <w:r w:rsidRPr="00695C79">
        <w:rPr>
          <w:color w:val="000000"/>
          <w:sz w:val="24"/>
        </w:rPr>
        <w:t>号《关于全面推开营业税改征增值税试点的通知》、财税</w:t>
      </w:r>
      <w:r w:rsidRPr="00695C79">
        <w:rPr>
          <w:color w:val="000000"/>
          <w:sz w:val="24"/>
        </w:rPr>
        <w:t>[2016]46</w:t>
      </w:r>
      <w:r w:rsidRPr="00695C79">
        <w:rPr>
          <w:color w:val="000000"/>
          <w:sz w:val="24"/>
        </w:rPr>
        <w:t>号《关于进一步明确全面推开营改增试点金融业有关政策的通知》、财税</w:t>
      </w:r>
      <w:r w:rsidRPr="00695C79">
        <w:rPr>
          <w:color w:val="000000"/>
          <w:sz w:val="24"/>
        </w:rPr>
        <w:t>[2016]70</w:t>
      </w:r>
      <w:r w:rsidRPr="00695C79">
        <w:rPr>
          <w:color w:val="000000"/>
          <w:sz w:val="24"/>
        </w:rPr>
        <w:t>号《关于金融机构同业往来等增值税政策的补充通知》、财税</w:t>
      </w:r>
      <w:r w:rsidRPr="00695C79">
        <w:rPr>
          <w:color w:val="000000"/>
          <w:sz w:val="24"/>
        </w:rPr>
        <w:t>[2016]140</w:t>
      </w:r>
      <w:r w:rsidRPr="00695C79">
        <w:rPr>
          <w:color w:val="000000"/>
          <w:sz w:val="24"/>
        </w:rPr>
        <w:t>号《关于明确金融</w:t>
      </w:r>
      <w:r w:rsidRPr="00695C79">
        <w:rPr>
          <w:color w:val="000000"/>
          <w:sz w:val="24"/>
        </w:rPr>
        <w:t xml:space="preserve"> </w:t>
      </w:r>
      <w:r w:rsidRPr="00695C79">
        <w:rPr>
          <w:color w:val="000000"/>
          <w:sz w:val="24"/>
        </w:rPr>
        <w:t>房地产开发</w:t>
      </w:r>
      <w:r w:rsidRPr="00695C79">
        <w:rPr>
          <w:color w:val="000000"/>
          <w:sz w:val="24"/>
        </w:rPr>
        <w:t xml:space="preserve"> </w:t>
      </w:r>
      <w:r w:rsidRPr="00695C79">
        <w:rPr>
          <w:color w:val="000000"/>
          <w:sz w:val="24"/>
        </w:rPr>
        <w:t>教育辅助服务等增值税政策的通知》、财税</w:t>
      </w:r>
      <w:r w:rsidRPr="00695C79">
        <w:rPr>
          <w:color w:val="000000"/>
          <w:sz w:val="24"/>
        </w:rPr>
        <w:t>[2017]2</w:t>
      </w:r>
      <w:r w:rsidRPr="00695C79">
        <w:rPr>
          <w:color w:val="000000"/>
          <w:sz w:val="24"/>
        </w:rPr>
        <w:t>号《关于资管产品增值税政策有关问题的补充通知》、财税</w:t>
      </w:r>
      <w:r w:rsidRPr="00695C79">
        <w:rPr>
          <w:color w:val="000000"/>
          <w:sz w:val="24"/>
        </w:rPr>
        <w:t>[2017]56</w:t>
      </w:r>
      <w:r w:rsidRPr="00695C79">
        <w:rPr>
          <w:color w:val="000000"/>
          <w:sz w:val="24"/>
        </w:rPr>
        <w:t>号《关于资管产品增值税有关问题的通知》、财税</w:t>
      </w:r>
      <w:r w:rsidRPr="00695C79">
        <w:rPr>
          <w:color w:val="000000"/>
          <w:sz w:val="24"/>
        </w:rPr>
        <w:t>[2017]90</w:t>
      </w:r>
      <w:r w:rsidRPr="00695C79">
        <w:rPr>
          <w:color w:val="000000"/>
          <w:sz w:val="24"/>
        </w:rPr>
        <w:t>号《关于租入固定资产进项税额抵扣等增值税政策的通知》及其他相关财税法规和实务操作，主要税项列示如下：</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(1) </w:t>
      </w:r>
      <w:r w:rsidRPr="00695C79">
        <w:rPr>
          <w:color w:val="000000"/>
          <w:sz w:val="24"/>
        </w:rPr>
        <w:t>资管产品运营过程中发生的增值税应税行为，以资管产品管理人为增值税纳税人。资管产品管理人运营资管产品过程中发生的增值税应税行为，暂适用简易计税方法，按照</w:t>
      </w:r>
      <w:r w:rsidRPr="00695C79">
        <w:rPr>
          <w:color w:val="000000"/>
          <w:sz w:val="24"/>
        </w:rPr>
        <w:t>3%</w:t>
      </w:r>
      <w:r w:rsidRPr="00695C79">
        <w:rPr>
          <w:color w:val="000000"/>
          <w:sz w:val="24"/>
        </w:rPr>
        <w:t>的征收率缴纳增值税。对资管产品在</w:t>
      </w:r>
      <w:r w:rsidRPr="00695C79">
        <w:rPr>
          <w:color w:val="000000"/>
          <w:sz w:val="24"/>
        </w:rPr>
        <w:t>2018</w:t>
      </w:r>
      <w:r w:rsidRPr="00695C79">
        <w:rPr>
          <w:color w:val="000000"/>
          <w:sz w:val="24"/>
        </w:rPr>
        <w:t>年</w:t>
      </w:r>
      <w:r w:rsidRPr="00695C79">
        <w:rPr>
          <w:color w:val="000000"/>
          <w:sz w:val="24"/>
        </w:rPr>
        <w:t>1</w:t>
      </w:r>
      <w:r w:rsidRPr="00695C79">
        <w:rPr>
          <w:color w:val="000000"/>
          <w:sz w:val="24"/>
        </w:rPr>
        <w:t>月</w:t>
      </w:r>
      <w:r w:rsidRPr="00695C79">
        <w:rPr>
          <w:color w:val="000000"/>
          <w:sz w:val="24"/>
        </w:rPr>
        <w:t>1</w:t>
      </w:r>
      <w:r w:rsidRPr="00695C79">
        <w:rPr>
          <w:color w:val="000000"/>
          <w:sz w:val="24"/>
        </w:rPr>
        <w:t>日前运营过程中发生的增值税应税行为，未缴纳增值税的，不再缴纳；已缴纳增值税的，已纳税额从资管产品管理人以后月份的增值税应纳税额中抵减。</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sidRPr="00695C79">
        <w:rPr>
          <w:color w:val="000000"/>
          <w:sz w:val="24"/>
        </w:rPr>
        <w:t>2018</w:t>
      </w:r>
      <w:r w:rsidRPr="00695C79">
        <w:rPr>
          <w:color w:val="000000"/>
          <w:sz w:val="24"/>
        </w:rPr>
        <w:t>年</w:t>
      </w:r>
      <w:r w:rsidRPr="00695C79">
        <w:rPr>
          <w:color w:val="000000"/>
          <w:sz w:val="24"/>
        </w:rPr>
        <w:t>1</w:t>
      </w:r>
      <w:r w:rsidRPr="00695C79">
        <w:rPr>
          <w:color w:val="000000"/>
          <w:sz w:val="24"/>
        </w:rPr>
        <w:t>月</w:t>
      </w:r>
      <w:r w:rsidRPr="00695C79">
        <w:rPr>
          <w:color w:val="000000"/>
          <w:sz w:val="24"/>
        </w:rPr>
        <w:t>1</w:t>
      </w:r>
      <w:r w:rsidRPr="00695C79">
        <w:rPr>
          <w:color w:val="000000"/>
          <w:sz w:val="24"/>
        </w:rPr>
        <w:t>日起产生的利息及利息性质的收入为销售额。资管产品管理人运营资管产品转让</w:t>
      </w:r>
      <w:r w:rsidRPr="00695C79">
        <w:rPr>
          <w:color w:val="000000"/>
          <w:sz w:val="24"/>
        </w:rPr>
        <w:t>2017</w:t>
      </w:r>
      <w:r w:rsidRPr="00695C79">
        <w:rPr>
          <w:color w:val="000000"/>
          <w:sz w:val="24"/>
        </w:rPr>
        <w:t>年</w:t>
      </w:r>
      <w:r w:rsidRPr="00695C79">
        <w:rPr>
          <w:color w:val="000000"/>
          <w:sz w:val="24"/>
        </w:rPr>
        <w:t>12</w:t>
      </w:r>
      <w:r w:rsidRPr="00695C79">
        <w:rPr>
          <w:color w:val="000000"/>
          <w:sz w:val="24"/>
        </w:rPr>
        <w:t>月</w:t>
      </w:r>
      <w:r w:rsidRPr="00695C79">
        <w:rPr>
          <w:color w:val="000000"/>
          <w:sz w:val="24"/>
        </w:rPr>
        <w:t>31</w:t>
      </w:r>
      <w:r w:rsidRPr="00695C79">
        <w:rPr>
          <w:color w:val="000000"/>
          <w:sz w:val="24"/>
        </w:rPr>
        <w:t>日前取得的非货物期货，可以选择按照实际买入价计算销售额，或者以</w:t>
      </w:r>
      <w:r w:rsidRPr="00695C79">
        <w:rPr>
          <w:color w:val="000000"/>
          <w:sz w:val="24"/>
        </w:rPr>
        <w:t>2017</w:t>
      </w:r>
      <w:r w:rsidRPr="00695C79">
        <w:rPr>
          <w:color w:val="000000"/>
          <w:sz w:val="24"/>
        </w:rPr>
        <w:t>年最后一个交易日的非货物期货结算价格作为买入价计算销售额。</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(2) </w:t>
      </w:r>
      <w:r w:rsidRPr="00695C79">
        <w:rPr>
          <w:color w:val="000000"/>
          <w:sz w:val="24"/>
        </w:rPr>
        <w:t>对基金从证券市场中取得的收入，包括买卖股票、债券的差价收入，股票的股息、红利收入，债券的利息收入及其他收入，暂不征收企业所得税。</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(3) </w:t>
      </w:r>
      <w:r w:rsidRPr="00695C79">
        <w:rPr>
          <w:color w:val="000000"/>
          <w:sz w:val="24"/>
        </w:rPr>
        <w:t>对基金取得的企业债券利息收入，应由发行债券的企业在向基金支付利息时代扣代缴</w:t>
      </w:r>
      <w:r w:rsidRPr="00695C79">
        <w:rPr>
          <w:color w:val="000000"/>
          <w:sz w:val="24"/>
        </w:rPr>
        <w:t>20%</w:t>
      </w:r>
      <w:r w:rsidRPr="00695C79">
        <w:rPr>
          <w:color w:val="000000"/>
          <w:sz w:val="24"/>
        </w:rPr>
        <w:t>的个人所得税。对基金从上市公司取得的股息红利所得，持股期限在</w:t>
      </w:r>
      <w:r w:rsidRPr="00695C79">
        <w:rPr>
          <w:color w:val="000000"/>
          <w:sz w:val="24"/>
        </w:rPr>
        <w:t>1</w:t>
      </w:r>
      <w:r w:rsidRPr="00695C79">
        <w:rPr>
          <w:color w:val="000000"/>
          <w:sz w:val="24"/>
        </w:rPr>
        <w:t>个月以内</w:t>
      </w:r>
      <w:r w:rsidRPr="00695C79">
        <w:rPr>
          <w:color w:val="000000"/>
          <w:sz w:val="24"/>
        </w:rPr>
        <w:t>(</w:t>
      </w:r>
      <w:r w:rsidRPr="00695C79">
        <w:rPr>
          <w:color w:val="000000"/>
          <w:sz w:val="24"/>
        </w:rPr>
        <w:t>含</w:t>
      </w:r>
      <w:r w:rsidRPr="00695C79">
        <w:rPr>
          <w:color w:val="000000"/>
          <w:sz w:val="24"/>
        </w:rPr>
        <w:t>1</w:t>
      </w:r>
      <w:r w:rsidRPr="00695C79">
        <w:rPr>
          <w:color w:val="000000"/>
          <w:sz w:val="24"/>
        </w:rPr>
        <w:t>个月</w:t>
      </w:r>
      <w:r w:rsidRPr="00695C79">
        <w:rPr>
          <w:color w:val="000000"/>
          <w:sz w:val="24"/>
        </w:rPr>
        <w:t>)</w:t>
      </w:r>
      <w:r w:rsidRPr="00695C79">
        <w:rPr>
          <w:color w:val="000000"/>
          <w:sz w:val="24"/>
        </w:rPr>
        <w:t>的，其股息红利所得全额计入应纳税所得额；持股期限在</w:t>
      </w:r>
      <w:r w:rsidRPr="00695C79">
        <w:rPr>
          <w:color w:val="000000"/>
          <w:sz w:val="24"/>
        </w:rPr>
        <w:t>1</w:t>
      </w:r>
      <w:r w:rsidRPr="00695C79">
        <w:rPr>
          <w:color w:val="000000"/>
          <w:sz w:val="24"/>
        </w:rPr>
        <w:t>个月以上至</w:t>
      </w:r>
      <w:r w:rsidRPr="00695C79">
        <w:rPr>
          <w:color w:val="000000"/>
          <w:sz w:val="24"/>
        </w:rPr>
        <w:t>1</w:t>
      </w:r>
      <w:r w:rsidRPr="00695C79">
        <w:rPr>
          <w:color w:val="000000"/>
          <w:sz w:val="24"/>
        </w:rPr>
        <w:t>年</w:t>
      </w:r>
      <w:r w:rsidRPr="00695C79">
        <w:rPr>
          <w:color w:val="000000"/>
          <w:sz w:val="24"/>
        </w:rPr>
        <w:t>(</w:t>
      </w:r>
      <w:r w:rsidRPr="00695C79">
        <w:rPr>
          <w:color w:val="000000"/>
          <w:sz w:val="24"/>
        </w:rPr>
        <w:t>含</w:t>
      </w:r>
      <w:r w:rsidRPr="00695C79">
        <w:rPr>
          <w:color w:val="000000"/>
          <w:sz w:val="24"/>
        </w:rPr>
        <w:t>1</w:t>
      </w:r>
      <w:r w:rsidRPr="00695C79">
        <w:rPr>
          <w:color w:val="000000"/>
          <w:sz w:val="24"/>
        </w:rPr>
        <w:t>年</w:t>
      </w:r>
      <w:r w:rsidRPr="00695C79">
        <w:rPr>
          <w:color w:val="000000"/>
          <w:sz w:val="24"/>
        </w:rPr>
        <w:t>)</w:t>
      </w:r>
      <w:r w:rsidRPr="00695C79">
        <w:rPr>
          <w:color w:val="000000"/>
          <w:sz w:val="24"/>
        </w:rPr>
        <w:t>的，暂减按</w:t>
      </w:r>
      <w:r w:rsidRPr="00695C79">
        <w:rPr>
          <w:color w:val="000000"/>
          <w:sz w:val="24"/>
        </w:rPr>
        <w:t>50%</w:t>
      </w:r>
      <w:r w:rsidRPr="00695C79">
        <w:rPr>
          <w:color w:val="000000"/>
          <w:sz w:val="24"/>
        </w:rPr>
        <w:t>计入应纳税所得额；持股期限超过</w:t>
      </w:r>
      <w:r w:rsidRPr="00695C79">
        <w:rPr>
          <w:color w:val="000000"/>
          <w:sz w:val="24"/>
        </w:rPr>
        <w:t>1</w:t>
      </w:r>
      <w:r w:rsidRPr="00695C79">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695C79">
        <w:rPr>
          <w:color w:val="000000"/>
          <w:sz w:val="24"/>
        </w:rPr>
        <w:t>50%</w:t>
      </w:r>
      <w:r w:rsidRPr="00695C79">
        <w:rPr>
          <w:color w:val="000000"/>
          <w:sz w:val="24"/>
        </w:rPr>
        <w:t>计入应纳税所得额。上述所得统一适用</w:t>
      </w:r>
      <w:r w:rsidRPr="00695C79">
        <w:rPr>
          <w:color w:val="000000"/>
          <w:sz w:val="24"/>
        </w:rPr>
        <w:t>20%</w:t>
      </w:r>
      <w:r w:rsidRPr="00695C79">
        <w:rPr>
          <w:color w:val="000000"/>
          <w:sz w:val="24"/>
        </w:rPr>
        <w:t>的税率计征个人所得税。</w:t>
      </w: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(4) </w:t>
      </w:r>
      <w:r w:rsidRPr="00695C79">
        <w:rPr>
          <w:color w:val="000000"/>
          <w:sz w:val="24"/>
        </w:rPr>
        <w:t>基金卖出股票按</w:t>
      </w:r>
      <w:r w:rsidRPr="00695C79">
        <w:rPr>
          <w:color w:val="000000"/>
          <w:sz w:val="24"/>
        </w:rPr>
        <w:t>0.1%</w:t>
      </w:r>
      <w:r w:rsidRPr="00695C79">
        <w:rPr>
          <w:color w:val="000000"/>
          <w:sz w:val="24"/>
        </w:rPr>
        <w:t>的税率缴纳股票交易印花税，买入股票不征收股票交易印花税。</w:t>
      </w:r>
    </w:p>
    <w:p w:rsidR="005C0D0D" w:rsidRPr="00695C79" w:rsidRDefault="005C0D0D" w:rsidP="005C0D0D">
      <w:pPr>
        <w:spacing w:before="29" w:line="288" w:lineRule="auto"/>
        <w:ind w:firstLineChars="200" w:firstLine="480"/>
        <w:rPr>
          <w:color w:val="000000"/>
          <w:sz w:val="24"/>
        </w:rPr>
      </w:pPr>
    </w:p>
    <w:p w:rsidR="005C0D0D" w:rsidRPr="00695C79" w:rsidRDefault="005C0D0D" w:rsidP="005C0D0D">
      <w:pPr>
        <w:spacing w:before="29" w:line="288" w:lineRule="auto"/>
        <w:ind w:firstLineChars="200" w:firstLine="480"/>
        <w:rPr>
          <w:color w:val="000000"/>
          <w:sz w:val="24"/>
        </w:rPr>
      </w:pPr>
      <w:r w:rsidRPr="00695C79">
        <w:rPr>
          <w:color w:val="000000"/>
          <w:sz w:val="24"/>
        </w:rPr>
        <w:t xml:space="preserve">(5) </w:t>
      </w:r>
      <w:r w:rsidRPr="00695C79">
        <w:rPr>
          <w:color w:val="000000"/>
          <w:sz w:val="24"/>
        </w:rPr>
        <w:t>本基金的城市维护建设税、教育费附加和地方教育费附加等税费按照实际缴纳增值税额的适用比例计算缴纳。</w:t>
      </w:r>
    </w:p>
    <w:p w:rsidR="001A59F9" w:rsidRPr="005C0D0D"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1,115,841.87</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1,746,992.33</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1,115,841.87</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1,746,992.33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48" w:name="_Toc415353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48"/>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172,538,985.38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175,899,020.00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3,360,034.62</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730,478,854.38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733,381,000.00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2,902,145.62</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903,017,839.76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909,280,020.00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6,262,180.24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903,017,839.76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909,280,020.00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6,262,180.24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171,342,311.61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171,472,321.30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130,009.69</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800,518,445.61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798,589,000.00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-1,929,445.61</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971,860,757.22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970,061,321.30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-1,799,435.92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971,860,757.22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970,061,321.30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-1,799,435.92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353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063F90" w:rsidRDefault="00653D76" w:rsidP="00653D76">
      <w:pPr>
        <w:tabs>
          <w:tab w:val="left" w:pos="426"/>
        </w:tabs>
        <w:spacing w:line="360" w:lineRule="auto"/>
        <w:ind w:firstLineChars="200" w:firstLine="480"/>
        <w:jc w:val="left"/>
        <w:rPr>
          <w:rFonts w:eastAsiaTheme="minorEastAsia"/>
          <w:kern w:val="0"/>
          <w:sz w:val="24"/>
        </w:rPr>
      </w:pPr>
      <w:r w:rsidRPr="00653D76">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3533"/>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265.35</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1,826.54</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6,017.88</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4,329.71</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32,112,801.04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19,261,005.59</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1.65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6.49</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32,119,085.92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19,267,168.33</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6A7711">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1" w:name="_Toc415353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9,376.56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18,562.92</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9,376.56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18,562.92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353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1,791.05</w:t>
            </w:r>
          </w:p>
        </w:tc>
      </w:tr>
      <w:tr w:rsidR="00DE2586">
        <w:tc>
          <w:tcPr>
            <w:tcW w:w="2715" w:type="dxa"/>
            <w:vAlign w:val="center"/>
          </w:tcPr>
          <w:p w:rsidR="00DE2586" w:rsidRDefault="00CC3F76">
            <w:pPr>
              <w:jc w:val="left"/>
            </w:pPr>
            <w:r>
              <w:rPr>
                <w:kern w:val="0"/>
                <w:sz w:val="24"/>
              </w:rPr>
              <w:t>预提信息披露费</w:t>
            </w:r>
          </w:p>
        </w:tc>
        <w:tc>
          <w:tcPr>
            <w:tcW w:w="3150" w:type="dxa"/>
            <w:vAlign w:val="center"/>
          </w:tcPr>
          <w:p w:rsidR="00DE2586" w:rsidRDefault="00CC3F76">
            <w:pPr>
              <w:jc w:val="right"/>
            </w:pPr>
            <w:r>
              <w:rPr>
                <w:kern w:val="0"/>
                <w:sz w:val="24"/>
              </w:rPr>
              <w:t>150,000.00</w:t>
            </w:r>
          </w:p>
        </w:tc>
        <w:tc>
          <w:tcPr>
            <w:tcW w:w="3150" w:type="dxa"/>
            <w:vAlign w:val="center"/>
          </w:tcPr>
          <w:p w:rsidR="00DE2586" w:rsidRDefault="00CC3F76">
            <w:pPr>
              <w:jc w:val="right"/>
            </w:pPr>
            <w:r>
              <w:rPr>
                <w:kern w:val="0"/>
                <w:sz w:val="24"/>
              </w:rPr>
              <w:t>150,000.00</w:t>
            </w:r>
          </w:p>
        </w:tc>
      </w:tr>
      <w:tr w:rsidR="00DE2586">
        <w:tc>
          <w:tcPr>
            <w:tcW w:w="2715" w:type="dxa"/>
            <w:vAlign w:val="center"/>
          </w:tcPr>
          <w:p w:rsidR="00DE2586" w:rsidRDefault="00CC3F76">
            <w:pPr>
              <w:jc w:val="left"/>
            </w:pPr>
            <w:r>
              <w:rPr>
                <w:kern w:val="0"/>
                <w:sz w:val="24"/>
              </w:rPr>
              <w:t>预提审计费</w:t>
            </w:r>
          </w:p>
        </w:tc>
        <w:tc>
          <w:tcPr>
            <w:tcW w:w="3150" w:type="dxa"/>
            <w:vAlign w:val="center"/>
          </w:tcPr>
          <w:p w:rsidR="00DE2586" w:rsidRDefault="00CC3F76">
            <w:pPr>
              <w:jc w:val="right"/>
            </w:pPr>
            <w:r>
              <w:rPr>
                <w:kern w:val="0"/>
                <w:sz w:val="24"/>
              </w:rPr>
              <w:t>70,000.00</w:t>
            </w:r>
          </w:p>
        </w:tc>
        <w:tc>
          <w:tcPr>
            <w:tcW w:w="3150" w:type="dxa"/>
            <w:vAlign w:val="center"/>
          </w:tcPr>
          <w:p w:rsidR="00DE2586" w:rsidRDefault="00CC3F76">
            <w:pPr>
              <w:jc w:val="right"/>
            </w:pPr>
            <w:r>
              <w:rPr>
                <w:kern w:val="0"/>
                <w:sz w:val="24"/>
              </w:rPr>
              <w:t>90,000.00</w:t>
            </w:r>
          </w:p>
        </w:tc>
      </w:tr>
      <w:tr w:rsidR="00DE2586">
        <w:tc>
          <w:tcPr>
            <w:tcW w:w="2715" w:type="dxa"/>
            <w:vAlign w:val="center"/>
          </w:tcPr>
          <w:p w:rsidR="00DE2586" w:rsidRDefault="00CC3F76">
            <w:pPr>
              <w:jc w:val="left"/>
            </w:pPr>
            <w:r>
              <w:rPr>
                <w:kern w:val="0"/>
                <w:sz w:val="24"/>
              </w:rPr>
              <w:t>预提账户维护费</w:t>
            </w:r>
          </w:p>
        </w:tc>
        <w:tc>
          <w:tcPr>
            <w:tcW w:w="3150" w:type="dxa"/>
            <w:vAlign w:val="center"/>
          </w:tcPr>
          <w:p w:rsidR="00DE2586" w:rsidRDefault="00CC3F76">
            <w:pPr>
              <w:jc w:val="right"/>
            </w:pPr>
            <w:r>
              <w:rPr>
                <w:kern w:val="0"/>
                <w:sz w:val="24"/>
              </w:rPr>
              <w:t>9,300.00</w:t>
            </w:r>
          </w:p>
        </w:tc>
        <w:tc>
          <w:tcPr>
            <w:tcW w:w="3150" w:type="dxa"/>
            <w:vAlign w:val="center"/>
          </w:tcPr>
          <w:p w:rsidR="00DE2586" w:rsidRDefault="00CC3F76">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229,300.00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241,791.05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3536"/>
      <w:r w:rsidRPr="00AD0E47">
        <w:rPr>
          <w:rFonts w:ascii="Times New Roman" w:hAnsi="Times New Roman"/>
          <w:kern w:val="0"/>
          <w:szCs w:val="24"/>
        </w:rPr>
        <w:t>7.4.7.9</w:t>
      </w:r>
      <w:r w:rsidRPr="00AD0E47">
        <w:rPr>
          <w:rFonts w:ascii="Times New Roman" w:hAnsi="Times New Roman" w:hint="eastAsia"/>
          <w:kern w:val="0"/>
          <w:szCs w:val="24"/>
        </w:rPr>
        <w:t>实收基金</w:t>
      </w:r>
      <w:bookmarkEnd w:id="15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689,816,851.23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689,816,851.23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620,990.32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620,990.32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-127,360,094.84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-127,360,094.84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563,077,746.71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563,077,746.71</w:t>
            </w:r>
          </w:p>
        </w:tc>
      </w:tr>
    </w:tbl>
    <w:p w:rsidR="00DE2586" w:rsidRDefault="00CC3F7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E2586" w:rsidRDefault="00DE2586">
      <w:pPr>
        <w:tabs>
          <w:tab w:val="left" w:pos="426"/>
        </w:tabs>
        <w:spacing w:before="29" w:line="288" w:lineRule="auto"/>
        <w:jc w:val="left"/>
        <w:rPr>
          <w:kern w:val="0"/>
          <w:sz w:val="24"/>
        </w:rPr>
      </w:pP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4" w:name="_Toc415353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16,000,150.78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-1,833,384.78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14,166,766.00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22,290,618.02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8,061,616.16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30,352,234.18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-4,252,747.96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-703,153.60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-4,955,901.56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28,661.11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6,353.17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35,014.28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-4,281,409.07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-709,506.77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-4,990,915.84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34,038,020.84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5,525,077.78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39,563,098.62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353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21,338.11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99,617.01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175,865.42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98,706.72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74.72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2,088.52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197,278.25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200,412.25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56" w:name="_Toc415353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5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35,474,892.80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36,697,968.44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-1,223,075.64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57" w:name="_Toc415354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57"/>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817,787,049.28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2,113,773,541.84</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788,170,683.50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2,083,983,486.14</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29,710,913.71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34,434,285.85</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-94,547.93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-4,644,230.15</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354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5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354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59"/>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0" w:name="_Toc415354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20,365.37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20,365.37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8,061,616.16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1,334,369.22</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-228,337.09</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8,061,616.16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1,562,706.31</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8,061,616.16</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1,334,369.22</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3544"/>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450,445.42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1,008,242.93</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450,445.42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1,008,242.93</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6A7711">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839.53</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102,046.37</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5,015.00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10,275.00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5,854.53</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112,321.37</w:t>
            </w:r>
          </w:p>
        </w:tc>
      </w:tr>
    </w:tbl>
    <w:p w:rsidR="001A59F9" w:rsidRPr="00AD0E47" w:rsidRDefault="001A59F9" w:rsidP="00AD0E47">
      <w:pPr>
        <w:pStyle w:val="20"/>
        <w:spacing w:before="29" w:after="0" w:line="288" w:lineRule="auto"/>
        <w:rPr>
          <w:rFonts w:ascii="Times New Roman" w:hAnsi="Times New Roman"/>
          <w:kern w:val="0"/>
          <w:szCs w:val="24"/>
        </w:rPr>
      </w:pPr>
      <w:bookmarkStart w:id="162" w:name="_Toc415354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75359E">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75359E">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75359E">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150,000.00</w:t>
            </w:r>
          </w:p>
        </w:tc>
      </w:tr>
      <w:tr w:rsidR="00DE2586" w:rsidTr="0075359E">
        <w:trPr>
          <w:jc w:val="center"/>
        </w:trPr>
        <w:tc>
          <w:tcPr>
            <w:tcW w:w="2855" w:type="dxa"/>
            <w:vAlign w:val="center"/>
          </w:tcPr>
          <w:p w:rsidR="00DE2586" w:rsidRDefault="00CC3F76">
            <w:pPr>
              <w:jc w:val="left"/>
            </w:pPr>
            <w:r>
              <w:rPr>
                <w:sz w:val="24"/>
              </w:rPr>
              <w:t>债券账户维护费</w:t>
            </w:r>
          </w:p>
        </w:tc>
        <w:tc>
          <w:tcPr>
            <w:tcW w:w="2893" w:type="dxa"/>
            <w:vAlign w:val="center"/>
          </w:tcPr>
          <w:p w:rsidR="00DE2586" w:rsidRDefault="0075359E">
            <w:pPr>
              <w:jc w:val="right"/>
            </w:pPr>
            <w:r>
              <w:rPr>
                <w:sz w:val="24"/>
              </w:rPr>
              <w:t>46,500.00</w:t>
            </w:r>
          </w:p>
        </w:tc>
        <w:tc>
          <w:tcPr>
            <w:tcW w:w="3367" w:type="dxa"/>
            <w:vAlign w:val="center"/>
          </w:tcPr>
          <w:p w:rsidR="00DE2586" w:rsidRDefault="00CC3F76">
            <w:pPr>
              <w:jc w:val="right"/>
            </w:pPr>
            <w:r>
              <w:rPr>
                <w:sz w:val="24"/>
              </w:rPr>
              <w:t>37,200.00</w:t>
            </w:r>
          </w:p>
        </w:tc>
      </w:tr>
      <w:tr w:rsidR="00DE2586" w:rsidTr="0075359E">
        <w:trPr>
          <w:jc w:val="center"/>
        </w:trPr>
        <w:tc>
          <w:tcPr>
            <w:tcW w:w="2855" w:type="dxa"/>
            <w:vAlign w:val="center"/>
          </w:tcPr>
          <w:p w:rsidR="00DE2586" w:rsidRDefault="00CC3F76">
            <w:pPr>
              <w:jc w:val="left"/>
            </w:pPr>
            <w:r>
              <w:rPr>
                <w:sz w:val="24"/>
              </w:rPr>
              <w:t>银行汇划费</w:t>
            </w:r>
          </w:p>
        </w:tc>
        <w:tc>
          <w:tcPr>
            <w:tcW w:w="2893" w:type="dxa"/>
            <w:vAlign w:val="center"/>
          </w:tcPr>
          <w:p w:rsidR="00DE2586" w:rsidRDefault="0075359E">
            <w:pPr>
              <w:jc w:val="right"/>
            </w:pPr>
            <w:r>
              <w:rPr>
                <w:sz w:val="24"/>
              </w:rPr>
              <w:t>4,161.72</w:t>
            </w:r>
          </w:p>
        </w:tc>
        <w:tc>
          <w:tcPr>
            <w:tcW w:w="3367" w:type="dxa"/>
            <w:vAlign w:val="center"/>
          </w:tcPr>
          <w:p w:rsidR="00DE2586" w:rsidRDefault="00CC3F76">
            <w:pPr>
              <w:jc w:val="right"/>
            </w:pPr>
            <w:r>
              <w:rPr>
                <w:sz w:val="24"/>
              </w:rPr>
              <w:t>12,601.61</w:t>
            </w:r>
          </w:p>
        </w:tc>
      </w:tr>
      <w:tr w:rsidR="0075359E" w:rsidRPr="0091212A" w:rsidTr="0075359E">
        <w:trPr>
          <w:jc w:val="center"/>
        </w:trPr>
        <w:tc>
          <w:tcPr>
            <w:tcW w:w="2855" w:type="dxa"/>
            <w:vAlign w:val="center"/>
          </w:tcPr>
          <w:p w:rsidR="0075359E" w:rsidRDefault="0075359E" w:rsidP="0075359E">
            <w:pPr>
              <w:jc w:val="left"/>
            </w:pPr>
            <w:r>
              <w:rPr>
                <w:sz w:val="24"/>
              </w:rPr>
              <w:t>其他</w:t>
            </w:r>
          </w:p>
        </w:tc>
        <w:tc>
          <w:tcPr>
            <w:tcW w:w="2893" w:type="dxa"/>
            <w:vAlign w:val="center"/>
          </w:tcPr>
          <w:p w:rsidR="0075359E" w:rsidRDefault="0075359E" w:rsidP="0075359E">
            <w:pPr>
              <w:jc w:val="right"/>
            </w:pPr>
            <w:r>
              <w:rPr>
                <w:sz w:val="24"/>
              </w:rPr>
              <w:t>-</w:t>
            </w:r>
          </w:p>
        </w:tc>
        <w:tc>
          <w:tcPr>
            <w:tcW w:w="3367" w:type="dxa"/>
            <w:vAlign w:val="center"/>
          </w:tcPr>
          <w:p w:rsidR="0075359E" w:rsidRDefault="0075359E" w:rsidP="0075359E">
            <w:pPr>
              <w:jc w:val="right"/>
            </w:pPr>
            <w:r>
              <w:rPr>
                <w:sz w:val="24"/>
              </w:rPr>
              <w:t>-</w:t>
            </w:r>
          </w:p>
        </w:tc>
      </w:tr>
      <w:tr w:rsidR="0075359E" w:rsidRPr="0091212A" w:rsidTr="0075359E">
        <w:trPr>
          <w:jc w:val="center"/>
        </w:trPr>
        <w:tc>
          <w:tcPr>
            <w:tcW w:w="2855" w:type="dxa"/>
            <w:vAlign w:val="center"/>
          </w:tcPr>
          <w:p w:rsidR="0075359E" w:rsidRPr="0091212A" w:rsidRDefault="0075359E" w:rsidP="0075359E">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75359E" w:rsidRPr="00FF7CE7" w:rsidRDefault="0075359E" w:rsidP="0075359E">
            <w:pPr>
              <w:spacing w:before="29" w:line="288" w:lineRule="auto"/>
              <w:jc w:val="right"/>
              <w:rPr>
                <w:kern w:val="0"/>
                <w:sz w:val="24"/>
              </w:rPr>
            </w:pPr>
            <w:r w:rsidRPr="00FF7CE7">
              <w:rPr>
                <w:kern w:val="0"/>
                <w:sz w:val="24"/>
              </w:rPr>
              <w:t>270,661.72</w:t>
            </w:r>
          </w:p>
        </w:tc>
        <w:tc>
          <w:tcPr>
            <w:tcW w:w="3367" w:type="dxa"/>
            <w:vAlign w:val="center"/>
          </w:tcPr>
          <w:p w:rsidR="0075359E" w:rsidRPr="00FF7CE7" w:rsidRDefault="0075359E" w:rsidP="0075359E">
            <w:pPr>
              <w:spacing w:before="29" w:line="288" w:lineRule="auto"/>
              <w:jc w:val="right"/>
              <w:rPr>
                <w:kern w:val="0"/>
                <w:sz w:val="24"/>
              </w:rPr>
            </w:pPr>
            <w:r w:rsidRPr="00FF7CE7">
              <w:rPr>
                <w:kern w:val="0"/>
                <w:sz w:val="24"/>
              </w:rPr>
              <w:t>289,801.61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354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3"/>
    </w:p>
    <w:p w:rsidR="001A59F9" w:rsidRPr="00AD0E47" w:rsidRDefault="001A59F9" w:rsidP="00AD0E47">
      <w:pPr>
        <w:pStyle w:val="20"/>
        <w:spacing w:before="29" w:after="0" w:line="288" w:lineRule="auto"/>
        <w:rPr>
          <w:rFonts w:ascii="Times New Roman" w:hAnsi="Times New Roman"/>
          <w:kern w:val="0"/>
          <w:szCs w:val="24"/>
        </w:rPr>
      </w:pPr>
      <w:bookmarkStart w:id="164" w:name="_Toc415354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354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5"/>
    </w:p>
    <w:p w:rsidR="001A59F9" w:rsidRDefault="00FF0E96" w:rsidP="00FF0E96">
      <w:pPr>
        <w:autoSpaceDE w:val="0"/>
        <w:autoSpaceDN w:val="0"/>
        <w:adjustRightInd w:val="0"/>
        <w:spacing w:line="360" w:lineRule="auto"/>
        <w:ind w:firstLineChars="200" w:firstLine="480"/>
        <w:jc w:val="left"/>
        <w:rPr>
          <w:color w:val="000000"/>
          <w:sz w:val="24"/>
        </w:rPr>
      </w:pPr>
      <w:r w:rsidRPr="00FF0E96">
        <w:rPr>
          <w:rFonts w:hint="eastAsia"/>
          <w:color w:val="000000"/>
          <w:sz w:val="24"/>
        </w:rPr>
        <w:t>根据本基金的基金管理人于</w:t>
      </w:r>
      <w:r w:rsidRPr="00FF0E96">
        <w:rPr>
          <w:rFonts w:hint="eastAsia"/>
          <w:color w:val="000000"/>
          <w:sz w:val="24"/>
        </w:rPr>
        <w:t>2019</w:t>
      </w:r>
      <w:r w:rsidRPr="00FF0E96">
        <w:rPr>
          <w:rFonts w:hint="eastAsia"/>
          <w:color w:val="000000"/>
          <w:sz w:val="24"/>
        </w:rPr>
        <w:t>年</w:t>
      </w:r>
      <w:r w:rsidRPr="00FF0E96">
        <w:rPr>
          <w:rFonts w:hint="eastAsia"/>
          <w:color w:val="000000"/>
          <w:sz w:val="24"/>
        </w:rPr>
        <w:t>3</w:t>
      </w:r>
      <w:r w:rsidRPr="00FF0E96">
        <w:rPr>
          <w:rFonts w:hint="eastAsia"/>
          <w:color w:val="000000"/>
          <w:sz w:val="24"/>
        </w:rPr>
        <w:t>月</w:t>
      </w:r>
      <w:r w:rsidRPr="00FF0E96">
        <w:rPr>
          <w:rFonts w:hint="eastAsia"/>
          <w:color w:val="000000"/>
          <w:sz w:val="24"/>
        </w:rPr>
        <w:t>18</w:t>
      </w:r>
      <w:r w:rsidRPr="00FF0E96">
        <w:rPr>
          <w:rFonts w:hint="eastAsia"/>
          <w:color w:val="000000"/>
          <w:sz w:val="24"/>
        </w:rPr>
        <w:t>日发布的《交银施罗德荣鑫保本混合型证券投资基金保本周期到期安排及转型为交银施罗德荣鑫灵活配置混合型证券投资基金后运作相关业务规则的公告》，本基金第一个保本周期于</w:t>
      </w:r>
      <w:r w:rsidRPr="00FF0E96">
        <w:rPr>
          <w:rFonts w:hint="eastAsia"/>
          <w:color w:val="000000"/>
          <w:sz w:val="24"/>
        </w:rPr>
        <w:t>2019</w:t>
      </w:r>
      <w:r w:rsidRPr="00FF0E96">
        <w:rPr>
          <w:rFonts w:hint="eastAsia"/>
          <w:color w:val="000000"/>
          <w:sz w:val="24"/>
        </w:rPr>
        <w:t>年</w:t>
      </w:r>
      <w:r w:rsidRPr="00FF0E96">
        <w:rPr>
          <w:rFonts w:hint="eastAsia"/>
          <w:color w:val="000000"/>
          <w:sz w:val="24"/>
        </w:rPr>
        <w:t>3</w:t>
      </w:r>
      <w:r w:rsidRPr="00FF0E96">
        <w:rPr>
          <w:rFonts w:hint="eastAsia"/>
          <w:color w:val="000000"/>
          <w:sz w:val="24"/>
        </w:rPr>
        <w:t>月</w:t>
      </w:r>
      <w:r w:rsidRPr="00FF0E96">
        <w:rPr>
          <w:rFonts w:hint="eastAsia"/>
          <w:color w:val="000000"/>
          <w:sz w:val="24"/>
        </w:rPr>
        <w:t>25</w:t>
      </w:r>
      <w:r w:rsidRPr="00FF0E96">
        <w:rPr>
          <w:rFonts w:hint="eastAsia"/>
          <w:color w:val="000000"/>
          <w:sz w:val="24"/>
        </w:rPr>
        <w:t>日到期，因未能符合保本基金存续条件，自</w:t>
      </w:r>
      <w:r w:rsidRPr="00FF0E96">
        <w:rPr>
          <w:rFonts w:hint="eastAsia"/>
          <w:color w:val="000000"/>
          <w:sz w:val="24"/>
        </w:rPr>
        <w:t>2019</w:t>
      </w:r>
      <w:r w:rsidRPr="00FF0E96">
        <w:rPr>
          <w:rFonts w:hint="eastAsia"/>
          <w:color w:val="000000"/>
          <w:sz w:val="24"/>
        </w:rPr>
        <w:t>年</w:t>
      </w:r>
      <w:r w:rsidRPr="00FF0E96">
        <w:rPr>
          <w:rFonts w:hint="eastAsia"/>
          <w:color w:val="000000"/>
          <w:sz w:val="24"/>
        </w:rPr>
        <w:t>3</w:t>
      </w:r>
      <w:r w:rsidRPr="00FF0E96">
        <w:rPr>
          <w:rFonts w:hint="eastAsia"/>
          <w:color w:val="000000"/>
          <w:sz w:val="24"/>
        </w:rPr>
        <w:t>月</w:t>
      </w:r>
      <w:r w:rsidRPr="00FF0E96">
        <w:rPr>
          <w:rFonts w:hint="eastAsia"/>
          <w:color w:val="000000"/>
          <w:sz w:val="24"/>
        </w:rPr>
        <w:t>29</w:t>
      </w:r>
      <w:r w:rsidRPr="00FF0E96">
        <w:rPr>
          <w:rFonts w:hint="eastAsia"/>
          <w:color w:val="000000"/>
          <w:sz w:val="24"/>
        </w:rPr>
        <w:t>日起转型为交银施罗德荣鑫灵活配置混合型证券投资基金。同时，基金的投资目标、投资范围、投资策略以及基金费率等相关内容也将根据基金合同的相关约定作相应修改。原《交银施罗德荣鑫保本混合型证券投资基金基金合同》失效，《交银施罗德荣鑫灵活配置混合型证券投资基金基金合同》于同一日起生效。</w:t>
      </w:r>
    </w:p>
    <w:p w:rsidR="00FF0E96" w:rsidRPr="0091212A" w:rsidRDefault="00FF0E96"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5D6373">
        <w:tc>
          <w:tcPr>
            <w:tcW w:w="5220" w:type="dxa"/>
          </w:tcPr>
          <w:p w:rsidR="00F469F4" w:rsidRPr="004E7650" w:rsidRDefault="00F469F4" w:rsidP="005D6373">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5D6373">
            <w:pPr>
              <w:spacing w:before="29" w:line="288" w:lineRule="auto"/>
              <w:jc w:val="center"/>
              <w:rPr>
                <w:color w:val="000000"/>
                <w:sz w:val="24"/>
              </w:rPr>
            </w:pPr>
            <w:r w:rsidRPr="004E7650">
              <w:rPr>
                <w:rFonts w:hint="eastAsia"/>
                <w:color w:val="000000"/>
                <w:sz w:val="24"/>
              </w:rPr>
              <w:t>与本基金的关系</w:t>
            </w:r>
          </w:p>
        </w:tc>
      </w:tr>
      <w:tr w:rsidR="00DE2586">
        <w:tc>
          <w:tcPr>
            <w:tcW w:w="5220" w:type="dxa"/>
            <w:vAlign w:val="center"/>
          </w:tcPr>
          <w:p w:rsidR="00DE2586" w:rsidRDefault="00CC3F7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E2586" w:rsidRDefault="00CC3F76">
            <w:pPr>
              <w:jc w:val="center"/>
            </w:pPr>
            <w:r>
              <w:rPr>
                <w:color w:val="000000"/>
                <w:sz w:val="24"/>
              </w:rPr>
              <w:t>基金管理人、基金销售机构</w:t>
            </w:r>
          </w:p>
        </w:tc>
      </w:tr>
      <w:tr w:rsidR="00DE2586">
        <w:tc>
          <w:tcPr>
            <w:tcW w:w="5220" w:type="dxa"/>
            <w:vAlign w:val="center"/>
          </w:tcPr>
          <w:p w:rsidR="00DE2586" w:rsidRDefault="00CC3F76">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rsidR="00DE2586" w:rsidRDefault="00CC3F76">
            <w:pPr>
              <w:jc w:val="center"/>
            </w:pPr>
            <w:r>
              <w:rPr>
                <w:color w:val="000000"/>
                <w:sz w:val="24"/>
              </w:rPr>
              <w:t>基金托管人、基金销售机构</w:t>
            </w:r>
          </w:p>
        </w:tc>
      </w:tr>
      <w:tr w:rsidR="00DE2586">
        <w:tc>
          <w:tcPr>
            <w:tcW w:w="5220" w:type="dxa"/>
            <w:vAlign w:val="center"/>
          </w:tcPr>
          <w:p w:rsidR="00DE2586" w:rsidRDefault="00CC3F7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E2586" w:rsidRDefault="00CC3F76">
            <w:pPr>
              <w:jc w:val="center"/>
            </w:pPr>
            <w:r>
              <w:rPr>
                <w:color w:val="000000"/>
                <w:sz w:val="24"/>
              </w:rPr>
              <w:t>基金管理人的股东、基金销售机构</w:t>
            </w:r>
          </w:p>
        </w:tc>
      </w:tr>
      <w:tr w:rsidR="00DE2586">
        <w:tc>
          <w:tcPr>
            <w:tcW w:w="5220" w:type="dxa"/>
            <w:vAlign w:val="center"/>
          </w:tcPr>
          <w:p w:rsidR="00DE2586" w:rsidRDefault="00CC3F76">
            <w:pPr>
              <w:jc w:val="left"/>
            </w:pPr>
            <w:r>
              <w:rPr>
                <w:color w:val="000000"/>
                <w:sz w:val="24"/>
              </w:rPr>
              <w:t>施罗德投资管理有限公司</w:t>
            </w:r>
          </w:p>
        </w:tc>
        <w:tc>
          <w:tcPr>
            <w:tcW w:w="3780" w:type="dxa"/>
            <w:vAlign w:val="center"/>
          </w:tcPr>
          <w:p w:rsidR="00DE2586" w:rsidRDefault="00CC3F76">
            <w:pPr>
              <w:jc w:val="center"/>
            </w:pPr>
            <w:r>
              <w:rPr>
                <w:color w:val="000000"/>
                <w:sz w:val="24"/>
              </w:rPr>
              <w:t>基金管理人的股东</w:t>
            </w:r>
          </w:p>
        </w:tc>
      </w:tr>
      <w:tr w:rsidR="00DE2586">
        <w:tc>
          <w:tcPr>
            <w:tcW w:w="5220" w:type="dxa"/>
            <w:vAlign w:val="center"/>
          </w:tcPr>
          <w:p w:rsidR="00DE2586" w:rsidRDefault="00CC3F7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E2586" w:rsidRDefault="00CC3F76">
            <w:pPr>
              <w:jc w:val="center"/>
            </w:pPr>
            <w:r>
              <w:rPr>
                <w:color w:val="000000"/>
                <w:sz w:val="24"/>
              </w:rPr>
              <w:t>基金管理人的股东</w:t>
            </w:r>
          </w:p>
        </w:tc>
      </w:tr>
      <w:tr w:rsidR="00DE2586">
        <w:tc>
          <w:tcPr>
            <w:tcW w:w="5220" w:type="dxa"/>
            <w:vAlign w:val="center"/>
          </w:tcPr>
          <w:p w:rsidR="00DE2586" w:rsidRDefault="00CC3F76">
            <w:pPr>
              <w:jc w:val="left"/>
            </w:pPr>
            <w:r>
              <w:rPr>
                <w:color w:val="000000"/>
                <w:sz w:val="24"/>
              </w:rPr>
              <w:t>交银施罗德资产管理有限公司</w:t>
            </w:r>
          </w:p>
        </w:tc>
        <w:tc>
          <w:tcPr>
            <w:tcW w:w="3780" w:type="dxa"/>
            <w:vAlign w:val="center"/>
          </w:tcPr>
          <w:p w:rsidR="00DE2586" w:rsidRDefault="00CC3F76">
            <w:pPr>
              <w:jc w:val="center"/>
            </w:pPr>
            <w:r>
              <w:rPr>
                <w:color w:val="000000"/>
                <w:sz w:val="24"/>
              </w:rPr>
              <w:t>基金管理人的子公司</w:t>
            </w:r>
          </w:p>
        </w:tc>
      </w:tr>
      <w:tr w:rsidR="00DE2586">
        <w:tc>
          <w:tcPr>
            <w:tcW w:w="5220" w:type="dxa"/>
            <w:vAlign w:val="center"/>
          </w:tcPr>
          <w:p w:rsidR="00DE2586" w:rsidRDefault="00CC3F76">
            <w:pPr>
              <w:jc w:val="left"/>
            </w:pPr>
            <w:r>
              <w:rPr>
                <w:color w:val="000000"/>
                <w:sz w:val="24"/>
              </w:rPr>
              <w:t>上海直源投资管理有限公司</w:t>
            </w:r>
          </w:p>
        </w:tc>
        <w:tc>
          <w:tcPr>
            <w:tcW w:w="3780" w:type="dxa"/>
            <w:vAlign w:val="center"/>
          </w:tcPr>
          <w:p w:rsidR="00DE2586" w:rsidRDefault="00CC3F76">
            <w:pPr>
              <w:jc w:val="center"/>
            </w:pPr>
            <w:r>
              <w:rPr>
                <w:color w:val="000000"/>
                <w:sz w:val="24"/>
              </w:rPr>
              <w:t>受基金管理人控制的公司</w:t>
            </w:r>
          </w:p>
        </w:tc>
      </w:tr>
      <w:tr w:rsidR="00DE2586">
        <w:tc>
          <w:tcPr>
            <w:tcW w:w="5220" w:type="dxa"/>
            <w:vAlign w:val="center"/>
          </w:tcPr>
          <w:p w:rsidR="00DE2586" w:rsidRDefault="00CC3F7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E2586" w:rsidRDefault="00CC3F76">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6" w:name="_Toc415354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6"/>
    </w:p>
    <w:p w:rsidR="001A59F9" w:rsidRPr="00AD0E47" w:rsidRDefault="001A59F9" w:rsidP="00AD0E47">
      <w:pPr>
        <w:pStyle w:val="20"/>
        <w:spacing w:before="29" w:after="0" w:line="288" w:lineRule="auto"/>
        <w:rPr>
          <w:rFonts w:ascii="Times New Roman" w:hAnsi="Times New Roman"/>
          <w:kern w:val="0"/>
          <w:szCs w:val="24"/>
        </w:rPr>
      </w:pPr>
      <w:bookmarkStart w:id="167" w:name="_Toc415355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7"/>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355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415355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7,564,245.71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9,859,424.88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1,994,886.40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2,995,249.32</w:t>
            </w:r>
          </w:p>
        </w:tc>
      </w:tr>
    </w:tbl>
    <w:p w:rsidR="00DE2586" w:rsidRDefault="00CC3F7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355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1,260,707.61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1,643,237.45</w:t>
            </w:r>
          </w:p>
        </w:tc>
      </w:tr>
    </w:tbl>
    <w:p w:rsidR="00DE2586" w:rsidRDefault="00CC3F7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1" w:name="_Toc415355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355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2"/>
    </w:p>
    <w:p w:rsidR="00BE187C" w:rsidRPr="00D564C7" w:rsidRDefault="00BE187C" w:rsidP="00A34903">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34903">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2A3280">
        <w:tc>
          <w:tcPr>
            <w:tcW w:w="1422" w:type="dxa"/>
            <w:vAlign w:val="center"/>
          </w:tcPr>
          <w:p w:rsidR="002A3280" w:rsidRDefault="002A3280" w:rsidP="002A3280">
            <w:pPr>
              <w:jc w:val="center"/>
            </w:pPr>
            <w:r>
              <w:rPr>
                <w:bCs/>
                <w:color w:val="000000"/>
                <w:sz w:val="24"/>
              </w:rPr>
              <w:t>中国民生银行</w:t>
            </w:r>
          </w:p>
        </w:tc>
        <w:tc>
          <w:tcPr>
            <w:tcW w:w="1818" w:type="dxa"/>
            <w:vAlign w:val="center"/>
          </w:tcPr>
          <w:p w:rsidR="002A3280" w:rsidRDefault="002A3280" w:rsidP="002A3280">
            <w:pPr>
              <w:jc w:val="center"/>
            </w:pPr>
            <w:r>
              <w:rPr>
                <w:bCs/>
                <w:color w:val="000000"/>
                <w:sz w:val="24"/>
              </w:rPr>
              <w:t>-</w:t>
            </w:r>
          </w:p>
        </w:tc>
        <w:tc>
          <w:tcPr>
            <w:tcW w:w="1260" w:type="dxa"/>
            <w:vAlign w:val="center"/>
          </w:tcPr>
          <w:p w:rsidR="002A3280" w:rsidRDefault="002A3280" w:rsidP="002A3280">
            <w:pPr>
              <w:jc w:val="center"/>
            </w:pPr>
            <w:r>
              <w:rPr>
                <w:bCs/>
                <w:color w:val="000000"/>
                <w:sz w:val="24"/>
              </w:rPr>
              <w:t>-</w:t>
            </w:r>
          </w:p>
        </w:tc>
        <w:tc>
          <w:tcPr>
            <w:tcW w:w="1260" w:type="dxa"/>
            <w:vAlign w:val="center"/>
          </w:tcPr>
          <w:p w:rsidR="002A3280" w:rsidRDefault="002A3280" w:rsidP="002A3280">
            <w:pPr>
              <w:jc w:val="center"/>
            </w:pPr>
            <w:r>
              <w:rPr>
                <w:bCs/>
                <w:color w:val="000000"/>
                <w:sz w:val="24"/>
              </w:rPr>
              <w:t>-</w:t>
            </w:r>
          </w:p>
        </w:tc>
        <w:tc>
          <w:tcPr>
            <w:tcW w:w="1080" w:type="dxa"/>
            <w:vAlign w:val="center"/>
          </w:tcPr>
          <w:p w:rsidR="002A3280" w:rsidRDefault="002A3280" w:rsidP="002A3280">
            <w:pPr>
              <w:jc w:val="center"/>
            </w:pPr>
            <w:r>
              <w:rPr>
                <w:bCs/>
                <w:color w:val="000000"/>
                <w:sz w:val="24"/>
              </w:rPr>
              <w:t>-</w:t>
            </w:r>
          </w:p>
        </w:tc>
        <w:tc>
          <w:tcPr>
            <w:tcW w:w="1512" w:type="dxa"/>
            <w:vAlign w:val="center"/>
          </w:tcPr>
          <w:p w:rsidR="002A3280" w:rsidRPr="00695C79" w:rsidRDefault="002A3280" w:rsidP="002A3280">
            <w:pPr>
              <w:jc w:val="center"/>
            </w:pPr>
            <w:r w:rsidRPr="0077416D">
              <w:rPr>
                <w:bCs/>
                <w:color w:val="000000"/>
                <w:sz w:val="24"/>
              </w:rPr>
              <w:t>1,627,470,000.00</w:t>
            </w:r>
          </w:p>
        </w:tc>
        <w:tc>
          <w:tcPr>
            <w:tcW w:w="1083" w:type="dxa"/>
            <w:vAlign w:val="center"/>
          </w:tcPr>
          <w:p w:rsidR="002A3280" w:rsidRPr="00695C79" w:rsidRDefault="002A3280" w:rsidP="002A3280">
            <w:pPr>
              <w:jc w:val="center"/>
            </w:pPr>
            <w:r w:rsidRPr="0077416D">
              <w:rPr>
                <w:bCs/>
                <w:color w:val="000000"/>
                <w:sz w:val="24"/>
              </w:rPr>
              <w:t>596,847.82</w:t>
            </w:r>
          </w:p>
        </w:tc>
      </w:tr>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DE2586">
        <w:tc>
          <w:tcPr>
            <w:tcW w:w="1422" w:type="dxa"/>
            <w:vAlign w:val="center"/>
          </w:tcPr>
          <w:p w:rsidR="00DE2586" w:rsidRDefault="00CC3F76">
            <w:pPr>
              <w:jc w:val="left"/>
            </w:pPr>
            <w:r>
              <w:rPr>
                <w:bCs/>
                <w:color w:val="000000"/>
                <w:sz w:val="24"/>
              </w:rPr>
              <w:t>中国民生银行</w:t>
            </w:r>
          </w:p>
        </w:tc>
        <w:tc>
          <w:tcPr>
            <w:tcW w:w="1818" w:type="dxa"/>
            <w:vAlign w:val="center"/>
          </w:tcPr>
          <w:p w:rsidR="00DE2586" w:rsidRDefault="00CC3F76">
            <w:pPr>
              <w:jc w:val="right"/>
            </w:pPr>
            <w:r>
              <w:rPr>
                <w:bCs/>
                <w:color w:val="000000"/>
                <w:sz w:val="24"/>
              </w:rPr>
              <w:t>-</w:t>
            </w:r>
          </w:p>
        </w:tc>
        <w:tc>
          <w:tcPr>
            <w:tcW w:w="1260" w:type="dxa"/>
            <w:vAlign w:val="center"/>
          </w:tcPr>
          <w:p w:rsidR="00DE2586" w:rsidRDefault="00CC3F76">
            <w:pPr>
              <w:jc w:val="right"/>
            </w:pPr>
            <w:r>
              <w:rPr>
                <w:bCs/>
                <w:color w:val="000000"/>
                <w:sz w:val="24"/>
              </w:rPr>
              <w:t>-</w:t>
            </w:r>
          </w:p>
        </w:tc>
        <w:tc>
          <w:tcPr>
            <w:tcW w:w="1260" w:type="dxa"/>
            <w:vAlign w:val="center"/>
          </w:tcPr>
          <w:p w:rsidR="00DE2586" w:rsidRDefault="00CC3F76">
            <w:pPr>
              <w:jc w:val="right"/>
            </w:pPr>
            <w:r>
              <w:rPr>
                <w:bCs/>
                <w:color w:val="000000"/>
                <w:sz w:val="24"/>
              </w:rPr>
              <w:t>-</w:t>
            </w:r>
          </w:p>
        </w:tc>
        <w:tc>
          <w:tcPr>
            <w:tcW w:w="1080" w:type="dxa"/>
            <w:vAlign w:val="center"/>
          </w:tcPr>
          <w:p w:rsidR="00DE2586" w:rsidRDefault="00CC3F76">
            <w:pPr>
              <w:jc w:val="right"/>
            </w:pPr>
            <w:r>
              <w:rPr>
                <w:bCs/>
                <w:color w:val="000000"/>
                <w:sz w:val="24"/>
              </w:rPr>
              <w:t>-</w:t>
            </w:r>
          </w:p>
        </w:tc>
        <w:tc>
          <w:tcPr>
            <w:tcW w:w="1512" w:type="dxa"/>
            <w:vAlign w:val="center"/>
          </w:tcPr>
          <w:p w:rsidR="00DE2586" w:rsidRDefault="00CC3F76">
            <w:pPr>
              <w:jc w:val="right"/>
            </w:pPr>
            <w:r>
              <w:rPr>
                <w:bCs/>
                <w:color w:val="000000"/>
                <w:sz w:val="24"/>
              </w:rPr>
              <w:t>643,350,000.00</w:t>
            </w:r>
          </w:p>
        </w:tc>
        <w:tc>
          <w:tcPr>
            <w:tcW w:w="1083" w:type="dxa"/>
            <w:vAlign w:val="center"/>
          </w:tcPr>
          <w:p w:rsidR="00DE2586" w:rsidRDefault="00CC3F76">
            <w:pPr>
              <w:jc w:val="right"/>
            </w:pPr>
            <w:r>
              <w:rPr>
                <w:bCs/>
                <w:color w:val="000000"/>
                <w:sz w:val="24"/>
              </w:rPr>
              <w:t>82,869.82</w:t>
            </w:r>
          </w:p>
        </w:tc>
      </w:tr>
    </w:tbl>
    <w:p w:rsidR="00E53B92" w:rsidRDefault="00E53B92" w:rsidP="00A34903">
      <w:pPr>
        <w:autoSpaceDE w:val="0"/>
        <w:autoSpaceDN w:val="0"/>
        <w:adjustRightInd w:val="0"/>
        <w:spacing w:before="29" w:line="288" w:lineRule="auto"/>
        <w:ind w:left="15"/>
        <w:jc w:val="right"/>
        <w:rPr>
          <w:color w:val="000000"/>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355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5355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4"/>
    </w:p>
    <w:p w:rsidR="00E577D3" w:rsidRDefault="00E577D3" w:rsidP="00E577D3">
      <w:pPr>
        <w:tabs>
          <w:tab w:val="left" w:pos="426"/>
        </w:tabs>
        <w:spacing w:before="29" w:line="288" w:lineRule="auto"/>
        <w:jc w:val="left"/>
        <w:rPr>
          <w:sz w:val="24"/>
        </w:rPr>
      </w:pPr>
      <w:r>
        <w:rPr>
          <w:rFonts w:hint="eastAsia"/>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415355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5"/>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6" w:name="_Toc415355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3E70E9">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3E70E9">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E2586" w:rsidTr="003E70E9">
        <w:tc>
          <w:tcPr>
            <w:tcW w:w="2268" w:type="dxa"/>
            <w:vAlign w:val="center"/>
          </w:tcPr>
          <w:p w:rsidR="00DE2586" w:rsidRDefault="00CC3F76" w:rsidP="004300D2">
            <w:pPr>
              <w:jc w:val="left"/>
            </w:pPr>
            <w:r>
              <w:rPr>
                <w:szCs w:val="21"/>
              </w:rPr>
              <w:t>中国民生银行</w:t>
            </w:r>
          </w:p>
        </w:tc>
        <w:tc>
          <w:tcPr>
            <w:tcW w:w="1683" w:type="dxa"/>
            <w:vAlign w:val="center"/>
          </w:tcPr>
          <w:p w:rsidR="00DE2586" w:rsidRDefault="00CC3F76">
            <w:pPr>
              <w:jc w:val="right"/>
            </w:pPr>
            <w:r>
              <w:rPr>
                <w:szCs w:val="21"/>
              </w:rPr>
              <w:t>1,115,841.87</w:t>
            </w:r>
          </w:p>
        </w:tc>
        <w:tc>
          <w:tcPr>
            <w:tcW w:w="1683" w:type="dxa"/>
            <w:vAlign w:val="center"/>
          </w:tcPr>
          <w:p w:rsidR="00DE2586" w:rsidRDefault="00CC3F76">
            <w:pPr>
              <w:jc w:val="right"/>
            </w:pPr>
            <w:r>
              <w:rPr>
                <w:szCs w:val="21"/>
              </w:rPr>
              <w:t>21,338.11</w:t>
            </w:r>
          </w:p>
        </w:tc>
        <w:tc>
          <w:tcPr>
            <w:tcW w:w="1683" w:type="dxa"/>
            <w:vAlign w:val="center"/>
          </w:tcPr>
          <w:p w:rsidR="00DE2586" w:rsidRDefault="00CC3F76">
            <w:pPr>
              <w:jc w:val="right"/>
            </w:pPr>
            <w:r>
              <w:rPr>
                <w:szCs w:val="21"/>
              </w:rPr>
              <w:t>1,746,992.33</w:t>
            </w:r>
          </w:p>
        </w:tc>
        <w:tc>
          <w:tcPr>
            <w:tcW w:w="1683" w:type="dxa"/>
            <w:vAlign w:val="center"/>
          </w:tcPr>
          <w:p w:rsidR="00DE2586" w:rsidRDefault="00CC3F76">
            <w:pPr>
              <w:jc w:val="right"/>
            </w:pPr>
            <w:r>
              <w:rPr>
                <w:szCs w:val="21"/>
              </w:rPr>
              <w:t>99,617.01</w:t>
            </w:r>
          </w:p>
        </w:tc>
      </w:tr>
    </w:tbl>
    <w:p w:rsidR="001A59F9" w:rsidRDefault="003E70E9" w:rsidP="00026C9C">
      <w:pPr>
        <w:spacing w:line="360" w:lineRule="auto"/>
        <w:rPr>
          <w:kern w:val="0"/>
          <w:sz w:val="24"/>
        </w:rPr>
      </w:pPr>
      <w:r w:rsidRPr="003E70E9">
        <w:rPr>
          <w:rFonts w:hint="eastAsia"/>
          <w:kern w:val="0"/>
          <w:sz w:val="24"/>
        </w:rPr>
        <w:t>注：本基金的银行存款由基金托管人保管，按银行同业利率计息。</w:t>
      </w:r>
    </w:p>
    <w:p w:rsidR="003E70E9" w:rsidRPr="0091212A" w:rsidRDefault="003E70E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356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6A7711">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Default="00317485" w:rsidP="003577B7">
      <w:pPr>
        <w:widowControl/>
        <w:spacing w:line="360" w:lineRule="auto"/>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3577B7" w:rsidRPr="003577B7" w:rsidRDefault="003577B7" w:rsidP="003577B7">
      <w:pPr>
        <w:widowControl/>
        <w:spacing w:line="360" w:lineRule="auto"/>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356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8"/>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9" w:name="_Toc415356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356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本基金本报告期末无因认购新发</w:t>
      </w:r>
      <w:r w:rsidRPr="00D754A9">
        <w:rPr>
          <w:kern w:val="0"/>
          <w:sz w:val="24"/>
        </w:rPr>
        <w:t>/</w:t>
      </w:r>
      <w:r w:rsidRPr="00D754A9">
        <w:rPr>
          <w:kern w:val="0"/>
          <w:sz w:val="24"/>
        </w:rPr>
        <w:t>增发证券而于期末持有的流通受限证券。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356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356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4153566"/>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83"/>
    </w:p>
    <w:p w:rsidR="00531CF3" w:rsidRPr="00531CF3"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2018</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229,659,335.51</w:t>
      </w:r>
      <w:r w:rsidRPr="00531CF3">
        <w:rPr>
          <w:color w:val="000000"/>
          <w:sz w:val="24"/>
        </w:rPr>
        <w:t>元，是以如下债券作为抵押：</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CellMar>
          <w:left w:w="0" w:type="dxa"/>
          <w:right w:w="0" w:type="dxa"/>
        </w:tblCellMar>
        <w:tblLook w:val="04A0" w:firstRow="1" w:lastRow="0" w:firstColumn="1" w:lastColumn="0" w:noHBand="0" w:noVBand="1"/>
      </w:tblPr>
      <w:tblGrid>
        <w:gridCol w:w="1432"/>
        <w:gridCol w:w="1271"/>
        <w:gridCol w:w="1336"/>
        <w:gridCol w:w="1083"/>
        <w:gridCol w:w="1682"/>
        <w:gridCol w:w="1843"/>
      </w:tblGrid>
      <w:tr w:rsidR="00BC60F6" w:rsidTr="00BC60F6">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spacing w:before="29" w:line="288" w:lineRule="auto"/>
              <w:jc w:val="center"/>
              <w:rPr>
                <w:color w:val="000000"/>
                <w:sz w:val="24"/>
              </w:rPr>
            </w:pPr>
            <w:r>
              <w:rPr>
                <w:rFonts w:ascii="宋体" w:hAnsi="宋体" w:hint="eastAsia"/>
                <w:color w:val="000000"/>
                <w:sz w:val="24"/>
              </w:rPr>
              <w:t>债券代码</w:t>
            </w:r>
          </w:p>
        </w:tc>
        <w:tc>
          <w:tcPr>
            <w:tcW w:w="12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spacing w:before="29" w:line="288" w:lineRule="auto"/>
              <w:jc w:val="center"/>
              <w:rPr>
                <w:color w:val="000000"/>
                <w:sz w:val="24"/>
              </w:rPr>
            </w:pPr>
            <w:r>
              <w:rPr>
                <w:rFonts w:ascii="宋体" w:hAnsi="宋体" w:hint="eastAsia"/>
                <w:color w:val="000000"/>
                <w:sz w:val="24"/>
              </w:rPr>
              <w:t>债券名称</w:t>
            </w:r>
          </w:p>
        </w:tc>
        <w:tc>
          <w:tcPr>
            <w:tcW w:w="13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spacing w:before="29" w:line="288" w:lineRule="auto"/>
              <w:jc w:val="center"/>
              <w:rPr>
                <w:color w:val="000000"/>
                <w:sz w:val="24"/>
              </w:rPr>
            </w:pPr>
            <w:r>
              <w:rPr>
                <w:rFonts w:ascii="宋体" w:hAnsi="宋体" w:hint="eastAsia"/>
                <w:color w:val="000000"/>
                <w:sz w:val="24"/>
              </w:rPr>
              <w:t>回购到期日</w:t>
            </w:r>
          </w:p>
        </w:tc>
        <w:tc>
          <w:tcPr>
            <w:tcW w:w="10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spacing w:before="29" w:line="288" w:lineRule="auto"/>
              <w:jc w:val="center"/>
              <w:rPr>
                <w:color w:val="000000"/>
                <w:sz w:val="24"/>
              </w:rPr>
            </w:pPr>
            <w:r>
              <w:rPr>
                <w:rFonts w:ascii="宋体" w:hAnsi="宋体" w:hint="eastAsia"/>
                <w:color w:val="000000"/>
                <w:sz w:val="24"/>
              </w:rPr>
              <w:t>期末估值单价</w:t>
            </w:r>
          </w:p>
        </w:tc>
        <w:tc>
          <w:tcPr>
            <w:tcW w:w="168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spacing w:before="29" w:line="288" w:lineRule="auto"/>
              <w:jc w:val="center"/>
              <w:rPr>
                <w:color w:val="000000"/>
                <w:sz w:val="24"/>
              </w:rPr>
            </w:pPr>
            <w:r>
              <w:rPr>
                <w:rFonts w:ascii="宋体" w:hAnsi="宋体" w:hint="eastAsia"/>
                <w:color w:val="000000"/>
                <w:sz w:val="24"/>
              </w:rPr>
              <w:t>数量（张）</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spacing w:before="29" w:line="288" w:lineRule="auto"/>
              <w:jc w:val="center"/>
              <w:rPr>
                <w:color w:val="000000"/>
                <w:sz w:val="24"/>
              </w:rPr>
            </w:pPr>
            <w:r>
              <w:rPr>
                <w:rFonts w:ascii="宋体" w:hAnsi="宋体" w:hint="eastAsia"/>
                <w:color w:val="000000"/>
                <w:sz w:val="24"/>
              </w:rPr>
              <w:t>期末估值总额</w:t>
            </w:r>
          </w:p>
        </w:tc>
      </w:tr>
      <w:tr w:rsidR="00BC60F6" w:rsidTr="00BC60F6">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111812079</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18</w:t>
            </w:r>
            <w:r>
              <w:rPr>
                <w:rFonts w:ascii="宋体" w:hAnsi="宋体" w:hint="eastAsia"/>
                <w:color w:val="000000"/>
                <w:sz w:val="24"/>
              </w:rPr>
              <w:t>北京银行</w:t>
            </w:r>
            <w:r>
              <w:rPr>
                <w:color w:val="000000"/>
                <w:sz w:val="24"/>
              </w:rPr>
              <w:t>CD079</w:t>
            </w:r>
          </w:p>
        </w:tc>
        <w:tc>
          <w:tcPr>
            <w:tcW w:w="13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2019-01-07</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95.55</w:t>
            </w:r>
          </w:p>
        </w:tc>
        <w:tc>
          <w:tcPr>
            <w:tcW w:w="1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480,000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45,864,000.00</w:t>
            </w:r>
          </w:p>
        </w:tc>
      </w:tr>
      <w:tr w:rsidR="00BC60F6" w:rsidTr="00BC60F6">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111892516</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18</w:t>
            </w:r>
            <w:r>
              <w:rPr>
                <w:rFonts w:ascii="宋体" w:hAnsi="宋体" w:hint="eastAsia"/>
                <w:color w:val="000000"/>
                <w:sz w:val="24"/>
              </w:rPr>
              <w:t>南京银行</w:t>
            </w:r>
            <w:r>
              <w:rPr>
                <w:color w:val="000000"/>
                <w:sz w:val="24"/>
              </w:rPr>
              <w:t>CD031</w:t>
            </w:r>
          </w:p>
        </w:tc>
        <w:tc>
          <w:tcPr>
            <w:tcW w:w="13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2019-01-09</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95.44</w:t>
            </w:r>
          </w:p>
        </w:tc>
        <w:tc>
          <w:tcPr>
            <w:tcW w:w="1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500,000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47,720,000.00</w:t>
            </w:r>
          </w:p>
        </w:tc>
      </w:tr>
      <w:tr w:rsidR="00BC60F6" w:rsidTr="00BC60F6">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111892919</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18</w:t>
            </w:r>
            <w:r>
              <w:rPr>
                <w:rFonts w:ascii="宋体" w:hAnsi="宋体" w:hint="eastAsia"/>
                <w:color w:val="000000"/>
                <w:sz w:val="24"/>
              </w:rPr>
              <w:t>杭州银行</w:t>
            </w:r>
            <w:r>
              <w:rPr>
                <w:color w:val="000000"/>
                <w:sz w:val="24"/>
              </w:rPr>
              <w:t>CD009</w:t>
            </w:r>
          </w:p>
        </w:tc>
        <w:tc>
          <w:tcPr>
            <w:tcW w:w="13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2019-01-07</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95.49</w:t>
            </w:r>
          </w:p>
        </w:tc>
        <w:tc>
          <w:tcPr>
            <w:tcW w:w="1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1,000,000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95,490,000.00</w:t>
            </w:r>
          </w:p>
        </w:tc>
      </w:tr>
      <w:tr w:rsidR="00BC60F6" w:rsidTr="00BC60F6">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111812082</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18</w:t>
            </w:r>
            <w:r>
              <w:rPr>
                <w:rFonts w:ascii="宋体" w:hAnsi="宋体" w:hint="eastAsia"/>
                <w:color w:val="000000"/>
                <w:sz w:val="24"/>
              </w:rPr>
              <w:t>北京银行</w:t>
            </w:r>
            <w:r>
              <w:rPr>
                <w:color w:val="000000"/>
                <w:sz w:val="24"/>
              </w:rPr>
              <w:t>CD082</w:t>
            </w:r>
          </w:p>
        </w:tc>
        <w:tc>
          <w:tcPr>
            <w:tcW w:w="13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center"/>
            </w:pPr>
            <w:r>
              <w:rPr>
                <w:color w:val="000000"/>
                <w:sz w:val="24"/>
              </w:rPr>
              <w:t>2019-01-07</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95.56</w:t>
            </w:r>
          </w:p>
        </w:tc>
        <w:tc>
          <w:tcPr>
            <w:tcW w:w="1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500,000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pPr>
            <w:r>
              <w:rPr>
                <w:color w:val="000000"/>
                <w:sz w:val="24"/>
              </w:rPr>
              <w:t>47,780,000.00</w:t>
            </w:r>
          </w:p>
        </w:tc>
      </w:tr>
      <w:tr w:rsidR="00BC60F6" w:rsidTr="00BC60F6">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spacing w:before="29" w:line="288" w:lineRule="auto"/>
              <w:rPr>
                <w:rFonts w:ascii="宋体" w:hAnsi="宋体"/>
                <w:color w:val="000000"/>
              </w:rPr>
            </w:pPr>
            <w:r>
              <w:rPr>
                <w:rFonts w:ascii="宋体" w:hAnsi="宋体" w:hint="eastAsia"/>
                <w:sz w:val="24"/>
              </w:rPr>
              <w:t>合计</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C60F6" w:rsidRDefault="00BC60F6" w:rsidP="00FF18C8">
            <w:pPr>
              <w:autoSpaceDE w:val="0"/>
              <w:autoSpaceDN w:val="0"/>
              <w:spacing w:before="29" w:line="360" w:lineRule="auto"/>
              <w:ind w:left="15"/>
              <w:jc w:val="right"/>
              <w:rPr>
                <w:rFonts w:ascii="宋体" w:hAnsi="宋体"/>
                <w:color w:val="000000"/>
              </w:rPr>
            </w:pPr>
          </w:p>
        </w:tc>
        <w:tc>
          <w:tcPr>
            <w:tcW w:w="13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C60F6" w:rsidRDefault="00BC60F6" w:rsidP="00FF18C8">
            <w:pPr>
              <w:autoSpaceDE w:val="0"/>
              <w:autoSpaceDN w:val="0"/>
              <w:spacing w:before="29" w:line="360" w:lineRule="auto"/>
              <w:ind w:left="15"/>
              <w:jc w:val="right"/>
              <w:rPr>
                <w:rFonts w:ascii="宋体" w:hAnsi="宋体"/>
                <w:color w:val="000000"/>
              </w:rPr>
            </w:pP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C60F6" w:rsidRDefault="00BC60F6" w:rsidP="00FF18C8">
            <w:pPr>
              <w:autoSpaceDE w:val="0"/>
              <w:autoSpaceDN w:val="0"/>
              <w:spacing w:before="29" w:line="360" w:lineRule="auto"/>
              <w:ind w:left="15"/>
              <w:jc w:val="right"/>
              <w:rPr>
                <w:rFonts w:ascii="宋体" w:hAnsi="宋体"/>
                <w:color w:val="000000"/>
              </w:rPr>
            </w:pPr>
          </w:p>
        </w:tc>
        <w:tc>
          <w:tcPr>
            <w:tcW w:w="1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jc w:val="right"/>
              <w:rPr>
                <w:sz w:val="24"/>
                <w:highlight w:val="yellow"/>
              </w:rPr>
            </w:pPr>
            <w:r w:rsidRPr="00BC60F6">
              <w:rPr>
                <w:color w:val="000000"/>
                <w:sz w:val="22"/>
                <w:szCs w:val="22"/>
              </w:rPr>
              <w:t>2,480,000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0F6" w:rsidRDefault="00BC60F6" w:rsidP="00FF18C8">
            <w:pPr>
              <w:spacing w:before="29" w:line="288" w:lineRule="auto"/>
              <w:jc w:val="right"/>
              <w:rPr>
                <w:sz w:val="24"/>
              </w:rPr>
            </w:pPr>
            <w:r>
              <w:rPr>
                <w:sz w:val="24"/>
              </w:rPr>
              <w:t>236,854,000.00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3567"/>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84"/>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121,000,000.00</w:t>
      </w:r>
      <w:r w:rsidRPr="00EB2750">
        <w:rPr>
          <w:color w:val="000000"/>
          <w:sz w:val="24"/>
        </w:rPr>
        <w:t>元，截至</w:t>
      </w:r>
      <w:r w:rsidRPr="00EB2750">
        <w:rPr>
          <w:color w:val="000000"/>
          <w:sz w:val="24"/>
        </w:rPr>
        <w:t>2019</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356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15356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6"/>
    </w:p>
    <w:p w:rsidR="00DE2586" w:rsidRDefault="00CC3F76">
      <w:pPr>
        <w:spacing w:before="29" w:line="288" w:lineRule="auto"/>
        <w:ind w:firstLineChars="200" w:firstLine="480"/>
        <w:rPr>
          <w:color w:val="000000"/>
          <w:sz w:val="24"/>
        </w:rPr>
      </w:pPr>
      <w:r>
        <w:rPr>
          <w:color w:val="000000"/>
          <w:sz w:val="24"/>
        </w:rPr>
        <w:t>本基金是一只保本混合型基金，在证券投资基金中属于低风险品种，其风险和预期收益低于股票型基金和非保本的混合型基金，高于货币市场基金和债券型基金。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DE2586" w:rsidRDefault="00CC3F7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E2586" w:rsidRDefault="00CC3F7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357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7"/>
    </w:p>
    <w:p w:rsidR="00DE2586" w:rsidRDefault="00CC3F7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E2586" w:rsidRDefault="00CC3F7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D5F54" w:rsidRPr="00271758" w:rsidRDefault="003D5F54" w:rsidP="003D5F54">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D5F54" w:rsidRPr="00271758" w:rsidTr="0059358E">
        <w:tc>
          <w:tcPr>
            <w:tcW w:w="2590"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2797"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279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20,138,000.00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35,421,900.00</w:t>
            </w:r>
          </w:p>
        </w:tc>
      </w:tr>
      <w:tr w:rsidR="003D5F54" w:rsidRPr="00271758" w:rsidTr="0059358E">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合计</w:t>
            </w:r>
          </w:p>
        </w:tc>
        <w:tc>
          <w:tcPr>
            <w:tcW w:w="279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20,138,000.00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35,421,900.00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注：未评级部分为企业超短期融资券。</w:t>
      </w:r>
    </w:p>
    <w:p w:rsidR="003D5F54" w:rsidRPr="00271758" w:rsidRDefault="003D5F54" w:rsidP="003D5F54">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3D5F54" w:rsidRPr="00271758" w:rsidRDefault="003D5F54" w:rsidP="003D5F54">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F54" w:rsidRPr="00271758" w:rsidTr="0059358E">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2835" w:type="dxa"/>
          </w:tcPr>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sz w:val="24"/>
              </w:rPr>
              <w:t>未评级</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592,000,000.00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629,407,000.00</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sz w:val="24"/>
              </w:rPr>
              <w:t>合计</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592,000,000.00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629,407,000.00</w:t>
            </w:r>
          </w:p>
        </w:tc>
      </w:tr>
    </w:tbl>
    <w:p w:rsidR="003D5F54" w:rsidRPr="00271758" w:rsidRDefault="003D5F54" w:rsidP="003D5F54">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F54" w:rsidRPr="00271758" w:rsidTr="0059358E">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长期信用评级</w:t>
            </w:r>
          </w:p>
        </w:tc>
        <w:tc>
          <w:tcPr>
            <w:tcW w:w="2835"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266,507,820.00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305,232,421.30</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30,634,200.00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297,142,020.00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305,232,421.30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AD0E47" w:rsidRDefault="001A59F9" w:rsidP="00AD0E47">
      <w:pPr>
        <w:pStyle w:val="20"/>
        <w:spacing w:before="29" w:after="0" w:line="288" w:lineRule="auto"/>
        <w:rPr>
          <w:rFonts w:ascii="Times New Roman" w:hAnsi="Times New Roman"/>
          <w:kern w:val="0"/>
          <w:szCs w:val="24"/>
        </w:rPr>
      </w:pPr>
      <w:bookmarkStart w:id="188" w:name="_Toc415357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8"/>
    </w:p>
    <w:p w:rsidR="00DE2586" w:rsidRDefault="00CC3F7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E2586" w:rsidRDefault="00CC3F7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E2586" w:rsidRDefault="00CC3F7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350,659,335.51</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6A7711">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DE2586" w:rsidRDefault="00CC3F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E2586" w:rsidRDefault="00CC3F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30 %(</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DE2586" w:rsidRDefault="00CC3F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E2586" w:rsidRDefault="00CC3F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E2586" w:rsidRDefault="00CC3F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357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357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0"/>
    </w:p>
    <w:p w:rsidR="00DE2586" w:rsidRDefault="00CC3F7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E2586" w:rsidRDefault="00CC3F7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1" w:name="_Toc415357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E2586">
        <w:trPr>
          <w:jc w:val="center"/>
        </w:trPr>
        <w:tc>
          <w:tcPr>
            <w:tcW w:w="1588" w:type="dxa"/>
            <w:vAlign w:val="center"/>
          </w:tcPr>
          <w:p w:rsidR="00DE2586" w:rsidRDefault="00CC3F76">
            <w:pPr>
              <w:jc w:val="center"/>
            </w:pPr>
            <w:r>
              <w:rPr>
                <w:color w:val="000000"/>
                <w:sz w:val="18"/>
                <w:szCs w:val="18"/>
              </w:rPr>
              <w:t>银行存款</w:t>
            </w:r>
          </w:p>
        </w:tc>
        <w:tc>
          <w:tcPr>
            <w:tcW w:w="1701" w:type="dxa"/>
            <w:vAlign w:val="center"/>
          </w:tcPr>
          <w:p w:rsidR="00DE2586" w:rsidRDefault="00CC3F76">
            <w:pPr>
              <w:jc w:val="right"/>
            </w:pPr>
            <w:r>
              <w:rPr>
                <w:color w:val="000000"/>
                <w:sz w:val="18"/>
                <w:szCs w:val="18"/>
              </w:rPr>
              <w:t>1,115,841.87</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1,115,841.87</w:t>
            </w:r>
          </w:p>
        </w:tc>
      </w:tr>
      <w:tr w:rsidR="00DE2586">
        <w:trPr>
          <w:jc w:val="center"/>
        </w:trPr>
        <w:tc>
          <w:tcPr>
            <w:tcW w:w="1588" w:type="dxa"/>
            <w:vAlign w:val="center"/>
          </w:tcPr>
          <w:p w:rsidR="00DE2586" w:rsidRDefault="00CC3F76">
            <w:pPr>
              <w:jc w:val="center"/>
            </w:pPr>
            <w:r>
              <w:rPr>
                <w:color w:val="000000"/>
                <w:sz w:val="18"/>
                <w:szCs w:val="18"/>
              </w:rPr>
              <w:t>结算备付金</w:t>
            </w:r>
          </w:p>
        </w:tc>
        <w:tc>
          <w:tcPr>
            <w:tcW w:w="1701" w:type="dxa"/>
            <w:vAlign w:val="center"/>
          </w:tcPr>
          <w:p w:rsidR="00DE2586" w:rsidRDefault="00CC3F76">
            <w:pPr>
              <w:jc w:val="right"/>
            </w:pPr>
            <w:r>
              <w:rPr>
                <w:color w:val="000000"/>
                <w:sz w:val="18"/>
                <w:szCs w:val="18"/>
              </w:rPr>
              <w:t>12,157,253.34</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12,157,253.34</w:t>
            </w:r>
          </w:p>
        </w:tc>
      </w:tr>
      <w:tr w:rsidR="00DE2586">
        <w:trPr>
          <w:jc w:val="center"/>
        </w:trPr>
        <w:tc>
          <w:tcPr>
            <w:tcW w:w="1588" w:type="dxa"/>
            <w:vAlign w:val="center"/>
          </w:tcPr>
          <w:p w:rsidR="00DE2586" w:rsidRDefault="00CC3F76">
            <w:pPr>
              <w:jc w:val="center"/>
            </w:pPr>
            <w:r>
              <w:rPr>
                <w:color w:val="000000"/>
                <w:sz w:val="18"/>
                <w:szCs w:val="18"/>
              </w:rPr>
              <w:t>存出保证金</w:t>
            </w:r>
          </w:p>
        </w:tc>
        <w:tc>
          <w:tcPr>
            <w:tcW w:w="1701" w:type="dxa"/>
            <w:vAlign w:val="center"/>
          </w:tcPr>
          <w:p w:rsidR="00DE2586" w:rsidRDefault="00CC3F76">
            <w:pPr>
              <w:jc w:val="right"/>
            </w:pPr>
            <w:r>
              <w:rPr>
                <w:color w:val="000000"/>
                <w:sz w:val="18"/>
                <w:szCs w:val="18"/>
              </w:rPr>
              <w:t>3,348.01</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3,348.01</w:t>
            </w:r>
          </w:p>
        </w:tc>
      </w:tr>
      <w:tr w:rsidR="00DE2586">
        <w:trPr>
          <w:jc w:val="center"/>
        </w:trPr>
        <w:tc>
          <w:tcPr>
            <w:tcW w:w="1588" w:type="dxa"/>
            <w:vAlign w:val="center"/>
          </w:tcPr>
          <w:p w:rsidR="00DE2586" w:rsidRDefault="00CC3F76">
            <w:pPr>
              <w:jc w:val="center"/>
            </w:pPr>
            <w:r>
              <w:rPr>
                <w:color w:val="000000"/>
                <w:sz w:val="18"/>
                <w:szCs w:val="18"/>
              </w:rPr>
              <w:t>交易性金融资产</w:t>
            </w:r>
          </w:p>
        </w:tc>
        <w:tc>
          <w:tcPr>
            <w:tcW w:w="1701" w:type="dxa"/>
            <w:vAlign w:val="center"/>
          </w:tcPr>
          <w:p w:rsidR="00DE2586" w:rsidRDefault="00CC3F76">
            <w:pPr>
              <w:jc w:val="right"/>
            </w:pPr>
            <w:r>
              <w:rPr>
                <w:color w:val="000000"/>
                <w:sz w:val="18"/>
                <w:szCs w:val="18"/>
              </w:rPr>
              <w:t>909,280,020.00</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909,280,020.00</w:t>
            </w:r>
          </w:p>
        </w:tc>
      </w:tr>
      <w:tr w:rsidR="00DE2586">
        <w:trPr>
          <w:jc w:val="center"/>
        </w:trPr>
        <w:tc>
          <w:tcPr>
            <w:tcW w:w="1588" w:type="dxa"/>
            <w:vAlign w:val="center"/>
          </w:tcPr>
          <w:p w:rsidR="00DE2586" w:rsidRDefault="00CC3F76">
            <w:pPr>
              <w:jc w:val="center"/>
            </w:pPr>
            <w:r>
              <w:rPr>
                <w:color w:val="000000"/>
                <w:sz w:val="18"/>
                <w:szCs w:val="18"/>
              </w:rPr>
              <w:t>应收利息</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32,119,085.92</w:t>
            </w:r>
          </w:p>
        </w:tc>
        <w:tc>
          <w:tcPr>
            <w:tcW w:w="1301" w:type="dxa"/>
            <w:vAlign w:val="center"/>
          </w:tcPr>
          <w:p w:rsidR="00DE2586" w:rsidRDefault="00CC3F76">
            <w:pPr>
              <w:jc w:val="right"/>
            </w:pPr>
            <w:r>
              <w:rPr>
                <w:color w:val="000000"/>
                <w:sz w:val="18"/>
                <w:szCs w:val="18"/>
              </w:rPr>
              <w:t>32,119,085.92</w:t>
            </w:r>
          </w:p>
        </w:tc>
      </w:tr>
      <w:tr w:rsidR="00DE2586">
        <w:trPr>
          <w:jc w:val="center"/>
        </w:trPr>
        <w:tc>
          <w:tcPr>
            <w:tcW w:w="1588" w:type="dxa"/>
            <w:vAlign w:val="center"/>
          </w:tcPr>
          <w:p w:rsidR="00DE2586" w:rsidRDefault="00CC3F76">
            <w:pPr>
              <w:jc w:val="center"/>
            </w:pPr>
            <w:r>
              <w:rPr>
                <w:color w:val="000000"/>
                <w:sz w:val="18"/>
                <w:szCs w:val="18"/>
              </w:rPr>
              <w:t>应收申购款</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1,782.18</w:t>
            </w:r>
          </w:p>
        </w:tc>
        <w:tc>
          <w:tcPr>
            <w:tcW w:w="1301" w:type="dxa"/>
            <w:vAlign w:val="center"/>
          </w:tcPr>
          <w:p w:rsidR="00DE2586" w:rsidRDefault="00CC3F76">
            <w:pPr>
              <w:jc w:val="right"/>
            </w:pPr>
            <w:r>
              <w:rPr>
                <w:color w:val="000000"/>
                <w:sz w:val="18"/>
                <w:szCs w:val="18"/>
              </w:rPr>
              <w:t>1,782.18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922,556,463.22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32,120,868.10</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954,677,331.32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E2586">
        <w:trPr>
          <w:jc w:val="center"/>
        </w:trPr>
        <w:tc>
          <w:tcPr>
            <w:tcW w:w="1588" w:type="dxa"/>
            <w:vAlign w:val="center"/>
          </w:tcPr>
          <w:p w:rsidR="00DE2586" w:rsidRDefault="00CC3F76">
            <w:pPr>
              <w:jc w:val="center"/>
            </w:pPr>
            <w:r>
              <w:rPr>
                <w:color w:val="000000"/>
                <w:sz w:val="18"/>
                <w:szCs w:val="18"/>
              </w:rPr>
              <w:t>卖出回购金融资产款</w:t>
            </w:r>
          </w:p>
        </w:tc>
        <w:tc>
          <w:tcPr>
            <w:tcW w:w="1701" w:type="dxa"/>
            <w:vAlign w:val="center"/>
          </w:tcPr>
          <w:p w:rsidR="00DE2586" w:rsidRDefault="00CC3F76">
            <w:pPr>
              <w:jc w:val="right"/>
            </w:pPr>
            <w:r>
              <w:rPr>
                <w:color w:val="000000"/>
                <w:sz w:val="18"/>
                <w:szCs w:val="18"/>
              </w:rPr>
              <w:t>350,659,335.51</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350,659,335.51</w:t>
            </w:r>
          </w:p>
        </w:tc>
      </w:tr>
      <w:tr w:rsidR="00DE2586">
        <w:trPr>
          <w:jc w:val="center"/>
        </w:trPr>
        <w:tc>
          <w:tcPr>
            <w:tcW w:w="1588" w:type="dxa"/>
            <w:vAlign w:val="center"/>
          </w:tcPr>
          <w:p w:rsidR="00DE2586" w:rsidRDefault="00CC3F76">
            <w:pPr>
              <w:jc w:val="center"/>
            </w:pPr>
            <w:r>
              <w:rPr>
                <w:color w:val="000000"/>
                <w:sz w:val="18"/>
                <w:szCs w:val="18"/>
              </w:rPr>
              <w:t>应付证券清算款</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153,337.80</w:t>
            </w:r>
          </w:p>
        </w:tc>
        <w:tc>
          <w:tcPr>
            <w:tcW w:w="1301" w:type="dxa"/>
            <w:vAlign w:val="center"/>
          </w:tcPr>
          <w:p w:rsidR="00DE2586" w:rsidRDefault="00CC3F76">
            <w:pPr>
              <w:jc w:val="right"/>
            </w:pPr>
            <w:r>
              <w:rPr>
                <w:color w:val="000000"/>
                <w:sz w:val="18"/>
                <w:szCs w:val="18"/>
              </w:rPr>
              <w:t>153,337.80</w:t>
            </w:r>
          </w:p>
        </w:tc>
      </w:tr>
      <w:tr w:rsidR="00DE2586">
        <w:trPr>
          <w:jc w:val="center"/>
        </w:trPr>
        <w:tc>
          <w:tcPr>
            <w:tcW w:w="1588" w:type="dxa"/>
            <w:vAlign w:val="center"/>
          </w:tcPr>
          <w:p w:rsidR="00DE2586" w:rsidRDefault="00CC3F76">
            <w:pPr>
              <w:jc w:val="center"/>
            </w:pPr>
            <w:r>
              <w:rPr>
                <w:color w:val="000000"/>
                <w:sz w:val="18"/>
                <w:szCs w:val="18"/>
              </w:rPr>
              <w:t>应付赎回款</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291.09</w:t>
            </w:r>
          </w:p>
        </w:tc>
        <w:tc>
          <w:tcPr>
            <w:tcW w:w="1301" w:type="dxa"/>
            <w:vAlign w:val="center"/>
          </w:tcPr>
          <w:p w:rsidR="00DE2586" w:rsidRDefault="00CC3F76">
            <w:pPr>
              <w:jc w:val="right"/>
            </w:pPr>
            <w:r>
              <w:rPr>
                <w:color w:val="000000"/>
                <w:sz w:val="18"/>
                <w:szCs w:val="18"/>
              </w:rPr>
              <w:t>291.09</w:t>
            </w:r>
          </w:p>
        </w:tc>
      </w:tr>
      <w:tr w:rsidR="00DE2586">
        <w:trPr>
          <w:jc w:val="center"/>
        </w:trPr>
        <w:tc>
          <w:tcPr>
            <w:tcW w:w="1588" w:type="dxa"/>
            <w:vAlign w:val="center"/>
          </w:tcPr>
          <w:p w:rsidR="00DE2586" w:rsidRDefault="00CC3F76">
            <w:pPr>
              <w:jc w:val="center"/>
            </w:pPr>
            <w:r>
              <w:rPr>
                <w:color w:val="000000"/>
                <w:sz w:val="18"/>
                <w:szCs w:val="18"/>
              </w:rPr>
              <w:t>应付管理人报酬</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614,004.92</w:t>
            </w:r>
          </w:p>
        </w:tc>
        <w:tc>
          <w:tcPr>
            <w:tcW w:w="1301" w:type="dxa"/>
            <w:vAlign w:val="center"/>
          </w:tcPr>
          <w:p w:rsidR="00DE2586" w:rsidRDefault="00CC3F76">
            <w:pPr>
              <w:jc w:val="right"/>
            </w:pPr>
            <w:r>
              <w:rPr>
                <w:color w:val="000000"/>
                <w:sz w:val="18"/>
                <w:szCs w:val="18"/>
              </w:rPr>
              <w:t>614,004.92</w:t>
            </w:r>
          </w:p>
        </w:tc>
      </w:tr>
      <w:tr w:rsidR="00DE2586">
        <w:trPr>
          <w:jc w:val="center"/>
        </w:trPr>
        <w:tc>
          <w:tcPr>
            <w:tcW w:w="1588" w:type="dxa"/>
            <w:vAlign w:val="center"/>
          </w:tcPr>
          <w:p w:rsidR="00DE2586" w:rsidRDefault="00CC3F76">
            <w:pPr>
              <w:jc w:val="center"/>
            </w:pPr>
            <w:r>
              <w:rPr>
                <w:color w:val="000000"/>
                <w:sz w:val="18"/>
                <w:szCs w:val="18"/>
              </w:rPr>
              <w:t>应付托管费</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102,334.14</w:t>
            </w:r>
          </w:p>
        </w:tc>
        <w:tc>
          <w:tcPr>
            <w:tcW w:w="1301" w:type="dxa"/>
            <w:vAlign w:val="center"/>
          </w:tcPr>
          <w:p w:rsidR="00DE2586" w:rsidRDefault="00CC3F76">
            <w:pPr>
              <w:jc w:val="right"/>
            </w:pPr>
            <w:r>
              <w:rPr>
                <w:color w:val="000000"/>
                <w:sz w:val="18"/>
                <w:szCs w:val="18"/>
              </w:rPr>
              <w:t>102,334.14</w:t>
            </w:r>
          </w:p>
        </w:tc>
      </w:tr>
      <w:tr w:rsidR="00DE2586">
        <w:trPr>
          <w:jc w:val="center"/>
        </w:trPr>
        <w:tc>
          <w:tcPr>
            <w:tcW w:w="1588" w:type="dxa"/>
            <w:vAlign w:val="center"/>
          </w:tcPr>
          <w:p w:rsidR="00DE2586" w:rsidRDefault="00CC3F76">
            <w:pPr>
              <w:jc w:val="center"/>
            </w:pPr>
            <w:r>
              <w:rPr>
                <w:color w:val="000000"/>
                <w:sz w:val="18"/>
                <w:szCs w:val="18"/>
              </w:rPr>
              <w:t>应付交易费用</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9,376.56</w:t>
            </w:r>
          </w:p>
        </w:tc>
        <w:tc>
          <w:tcPr>
            <w:tcW w:w="1301" w:type="dxa"/>
            <w:vAlign w:val="center"/>
          </w:tcPr>
          <w:p w:rsidR="00DE2586" w:rsidRDefault="00CC3F76">
            <w:pPr>
              <w:jc w:val="right"/>
            </w:pPr>
            <w:r>
              <w:rPr>
                <w:color w:val="000000"/>
                <w:sz w:val="18"/>
                <w:szCs w:val="18"/>
              </w:rPr>
              <w:t>9,376.56</w:t>
            </w:r>
          </w:p>
        </w:tc>
      </w:tr>
      <w:tr w:rsidR="00DE2586">
        <w:trPr>
          <w:jc w:val="center"/>
        </w:trPr>
        <w:tc>
          <w:tcPr>
            <w:tcW w:w="1588" w:type="dxa"/>
            <w:vAlign w:val="center"/>
          </w:tcPr>
          <w:p w:rsidR="00DE2586" w:rsidRDefault="00CC3F76">
            <w:pPr>
              <w:jc w:val="center"/>
            </w:pPr>
            <w:r>
              <w:rPr>
                <w:color w:val="000000"/>
                <w:sz w:val="18"/>
                <w:szCs w:val="18"/>
              </w:rPr>
              <w:t>应交税费</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23,864.38</w:t>
            </w:r>
          </w:p>
        </w:tc>
        <w:tc>
          <w:tcPr>
            <w:tcW w:w="1301" w:type="dxa"/>
            <w:vAlign w:val="center"/>
          </w:tcPr>
          <w:p w:rsidR="00DE2586" w:rsidRDefault="00CC3F76">
            <w:pPr>
              <w:jc w:val="right"/>
            </w:pPr>
            <w:r>
              <w:rPr>
                <w:color w:val="000000"/>
                <w:sz w:val="18"/>
                <w:szCs w:val="18"/>
              </w:rPr>
              <w:t>23,864.38</w:t>
            </w:r>
          </w:p>
        </w:tc>
      </w:tr>
      <w:tr w:rsidR="00DE2586">
        <w:trPr>
          <w:jc w:val="center"/>
        </w:trPr>
        <w:tc>
          <w:tcPr>
            <w:tcW w:w="1588" w:type="dxa"/>
            <w:vAlign w:val="center"/>
          </w:tcPr>
          <w:p w:rsidR="00DE2586" w:rsidRDefault="00CC3F76">
            <w:pPr>
              <w:jc w:val="center"/>
            </w:pPr>
            <w:r>
              <w:rPr>
                <w:color w:val="000000"/>
                <w:sz w:val="18"/>
                <w:szCs w:val="18"/>
              </w:rPr>
              <w:t>应付利息</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244,641.59</w:t>
            </w:r>
          </w:p>
        </w:tc>
        <w:tc>
          <w:tcPr>
            <w:tcW w:w="1301" w:type="dxa"/>
            <w:vAlign w:val="center"/>
          </w:tcPr>
          <w:p w:rsidR="00DE2586" w:rsidRDefault="00CC3F76">
            <w:pPr>
              <w:jc w:val="right"/>
            </w:pPr>
            <w:r>
              <w:rPr>
                <w:color w:val="000000"/>
                <w:sz w:val="18"/>
                <w:szCs w:val="18"/>
              </w:rPr>
              <w:t>244,641.59</w:t>
            </w:r>
          </w:p>
        </w:tc>
      </w:tr>
      <w:tr w:rsidR="00DE2586">
        <w:trPr>
          <w:jc w:val="center"/>
        </w:trPr>
        <w:tc>
          <w:tcPr>
            <w:tcW w:w="1588" w:type="dxa"/>
            <w:vAlign w:val="center"/>
          </w:tcPr>
          <w:p w:rsidR="00DE2586" w:rsidRDefault="00CC3F76">
            <w:pPr>
              <w:jc w:val="center"/>
            </w:pPr>
            <w:r>
              <w:rPr>
                <w:color w:val="000000"/>
                <w:sz w:val="18"/>
                <w:szCs w:val="18"/>
              </w:rPr>
              <w:t>其他负债</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229,300.00</w:t>
            </w:r>
          </w:p>
        </w:tc>
        <w:tc>
          <w:tcPr>
            <w:tcW w:w="1301" w:type="dxa"/>
            <w:vAlign w:val="center"/>
          </w:tcPr>
          <w:p w:rsidR="00DE2586" w:rsidRDefault="00CC3F76">
            <w:pPr>
              <w:jc w:val="right"/>
            </w:pPr>
            <w:r>
              <w:rPr>
                <w:color w:val="000000"/>
                <w:sz w:val="18"/>
                <w:szCs w:val="18"/>
              </w:rPr>
              <w:t>229,300.00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350,659,335.51</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1,377,150.48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352,036,485.99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571,897,127.71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30,743,717.62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602,640,845.33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E2586">
        <w:trPr>
          <w:jc w:val="center"/>
        </w:trPr>
        <w:tc>
          <w:tcPr>
            <w:tcW w:w="1588" w:type="dxa"/>
            <w:vAlign w:val="center"/>
          </w:tcPr>
          <w:p w:rsidR="00DE2586" w:rsidRDefault="00CC3F76">
            <w:pPr>
              <w:jc w:val="center"/>
            </w:pPr>
            <w:r>
              <w:rPr>
                <w:color w:val="000000"/>
                <w:sz w:val="18"/>
                <w:szCs w:val="18"/>
              </w:rPr>
              <w:t>银行存款</w:t>
            </w:r>
          </w:p>
        </w:tc>
        <w:tc>
          <w:tcPr>
            <w:tcW w:w="1701" w:type="dxa"/>
            <w:vAlign w:val="center"/>
          </w:tcPr>
          <w:p w:rsidR="00DE2586" w:rsidRDefault="00CC3F76">
            <w:pPr>
              <w:jc w:val="right"/>
            </w:pPr>
            <w:r>
              <w:rPr>
                <w:color w:val="000000"/>
                <w:sz w:val="18"/>
                <w:szCs w:val="18"/>
              </w:rPr>
              <w:t>1,746,992.33</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1,746,992.33</w:t>
            </w:r>
          </w:p>
        </w:tc>
      </w:tr>
      <w:tr w:rsidR="00DE2586">
        <w:trPr>
          <w:jc w:val="center"/>
        </w:trPr>
        <w:tc>
          <w:tcPr>
            <w:tcW w:w="1588" w:type="dxa"/>
            <w:vAlign w:val="center"/>
          </w:tcPr>
          <w:p w:rsidR="00DE2586" w:rsidRDefault="00CC3F76">
            <w:pPr>
              <w:jc w:val="center"/>
            </w:pPr>
            <w:r>
              <w:rPr>
                <w:color w:val="000000"/>
                <w:sz w:val="18"/>
                <w:szCs w:val="18"/>
              </w:rPr>
              <w:t>结算备付金</w:t>
            </w:r>
          </w:p>
        </w:tc>
        <w:tc>
          <w:tcPr>
            <w:tcW w:w="1701" w:type="dxa"/>
            <w:vAlign w:val="center"/>
          </w:tcPr>
          <w:p w:rsidR="00DE2586" w:rsidRDefault="00CC3F76">
            <w:pPr>
              <w:jc w:val="right"/>
            </w:pPr>
            <w:r>
              <w:rPr>
                <w:color w:val="000000"/>
                <w:sz w:val="18"/>
                <w:szCs w:val="18"/>
              </w:rPr>
              <w:t>8,746,876.39</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8,746,876.39</w:t>
            </w:r>
          </w:p>
        </w:tc>
      </w:tr>
      <w:tr w:rsidR="00DE2586">
        <w:trPr>
          <w:jc w:val="center"/>
        </w:trPr>
        <w:tc>
          <w:tcPr>
            <w:tcW w:w="1588" w:type="dxa"/>
            <w:vAlign w:val="center"/>
          </w:tcPr>
          <w:p w:rsidR="00DE2586" w:rsidRDefault="00CC3F76">
            <w:pPr>
              <w:jc w:val="center"/>
            </w:pPr>
            <w:r>
              <w:rPr>
                <w:color w:val="000000"/>
                <w:sz w:val="18"/>
                <w:szCs w:val="18"/>
              </w:rPr>
              <w:t>存出保证金</w:t>
            </w:r>
          </w:p>
        </w:tc>
        <w:tc>
          <w:tcPr>
            <w:tcW w:w="1701" w:type="dxa"/>
            <w:vAlign w:val="center"/>
          </w:tcPr>
          <w:p w:rsidR="00DE2586" w:rsidRDefault="00CC3F76">
            <w:pPr>
              <w:jc w:val="right"/>
            </w:pPr>
            <w:r>
              <w:rPr>
                <w:color w:val="000000"/>
                <w:sz w:val="18"/>
                <w:szCs w:val="18"/>
              </w:rPr>
              <w:t>13,144.15</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13,144.15</w:t>
            </w:r>
          </w:p>
        </w:tc>
      </w:tr>
      <w:tr w:rsidR="00DE2586">
        <w:trPr>
          <w:jc w:val="center"/>
        </w:trPr>
        <w:tc>
          <w:tcPr>
            <w:tcW w:w="1588" w:type="dxa"/>
            <w:vAlign w:val="center"/>
          </w:tcPr>
          <w:p w:rsidR="00DE2586" w:rsidRDefault="00CC3F76">
            <w:pPr>
              <w:jc w:val="center"/>
            </w:pPr>
            <w:r>
              <w:rPr>
                <w:color w:val="000000"/>
                <w:sz w:val="18"/>
                <w:szCs w:val="18"/>
              </w:rPr>
              <w:t>交易性金融资产</w:t>
            </w:r>
          </w:p>
        </w:tc>
        <w:tc>
          <w:tcPr>
            <w:tcW w:w="1701" w:type="dxa"/>
            <w:vAlign w:val="center"/>
          </w:tcPr>
          <w:p w:rsidR="00DE2586" w:rsidRDefault="00CC3F76">
            <w:pPr>
              <w:jc w:val="right"/>
            </w:pPr>
            <w:r>
              <w:rPr>
                <w:color w:val="000000"/>
                <w:sz w:val="18"/>
                <w:szCs w:val="18"/>
              </w:rPr>
              <w:t>713,943,900.00</w:t>
            </w:r>
          </w:p>
        </w:tc>
        <w:tc>
          <w:tcPr>
            <w:tcW w:w="1701" w:type="dxa"/>
            <w:vAlign w:val="center"/>
          </w:tcPr>
          <w:p w:rsidR="00DE2586" w:rsidRDefault="00CC3F76">
            <w:pPr>
              <w:jc w:val="right"/>
            </w:pPr>
            <w:r>
              <w:rPr>
                <w:color w:val="000000"/>
                <w:sz w:val="18"/>
                <w:szCs w:val="18"/>
              </w:rPr>
              <w:t>251,474,000.00</w:t>
            </w:r>
          </w:p>
        </w:tc>
        <w:tc>
          <w:tcPr>
            <w:tcW w:w="1559" w:type="dxa"/>
            <w:vAlign w:val="center"/>
          </w:tcPr>
          <w:p w:rsidR="00DE2586" w:rsidRDefault="00CC3F76">
            <w:pPr>
              <w:jc w:val="right"/>
            </w:pPr>
            <w:r>
              <w:rPr>
                <w:color w:val="000000"/>
                <w:sz w:val="18"/>
                <w:szCs w:val="18"/>
              </w:rPr>
              <w:t>4,643,421.30</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970,061,321.30</w:t>
            </w:r>
          </w:p>
        </w:tc>
      </w:tr>
      <w:tr w:rsidR="00DE2586">
        <w:trPr>
          <w:jc w:val="center"/>
        </w:trPr>
        <w:tc>
          <w:tcPr>
            <w:tcW w:w="1588" w:type="dxa"/>
            <w:vAlign w:val="center"/>
          </w:tcPr>
          <w:p w:rsidR="00DE2586" w:rsidRDefault="00CC3F76">
            <w:pPr>
              <w:jc w:val="center"/>
            </w:pPr>
            <w:r>
              <w:rPr>
                <w:color w:val="000000"/>
                <w:sz w:val="18"/>
                <w:szCs w:val="18"/>
              </w:rPr>
              <w:t>应收利息</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19,267,168.33</w:t>
            </w:r>
          </w:p>
        </w:tc>
        <w:tc>
          <w:tcPr>
            <w:tcW w:w="1301" w:type="dxa"/>
            <w:vAlign w:val="center"/>
          </w:tcPr>
          <w:p w:rsidR="00DE2586" w:rsidRDefault="00CC3F76">
            <w:pPr>
              <w:jc w:val="right"/>
            </w:pPr>
            <w:r>
              <w:rPr>
                <w:color w:val="000000"/>
                <w:sz w:val="18"/>
                <w:szCs w:val="18"/>
              </w:rPr>
              <w:t>19,267,168.33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724,450,912.87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251,474,000.00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4,643,421.30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19,267,168.33</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999,835,502.50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E2586">
        <w:trPr>
          <w:jc w:val="center"/>
        </w:trPr>
        <w:tc>
          <w:tcPr>
            <w:tcW w:w="1588" w:type="dxa"/>
            <w:vAlign w:val="center"/>
          </w:tcPr>
          <w:p w:rsidR="00DE2586" w:rsidRDefault="00CC3F76">
            <w:pPr>
              <w:jc w:val="center"/>
            </w:pPr>
            <w:r>
              <w:rPr>
                <w:color w:val="000000"/>
                <w:sz w:val="18"/>
                <w:szCs w:val="18"/>
              </w:rPr>
              <w:t>卖出回购金融资产款</w:t>
            </w:r>
          </w:p>
        </w:tc>
        <w:tc>
          <w:tcPr>
            <w:tcW w:w="1701" w:type="dxa"/>
            <w:vAlign w:val="center"/>
          </w:tcPr>
          <w:p w:rsidR="00DE2586" w:rsidRDefault="00CC3F76">
            <w:pPr>
              <w:jc w:val="right"/>
            </w:pPr>
            <w:r>
              <w:rPr>
                <w:color w:val="000000"/>
                <w:sz w:val="18"/>
                <w:szCs w:val="18"/>
              </w:rPr>
              <w:t>294,217,283.67</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301" w:type="dxa"/>
            <w:vAlign w:val="center"/>
          </w:tcPr>
          <w:p w:rsidR="00DE2586" w:rsidRDefault="00CC3F76">
            <w:pPr>
              <w:jc w:val="right"/>
            </w:pPr>
            <w:r>
              <w:rPr>
                <w:color w:val="000000"/>
                <w:sz w:val="18"/>
                <w:szCs w:val="18"/>
              </w:rPr>
              <w:t>294,217,283.67</w:t>
            </w:r>
          </w:p>
        </w:tc>
      </w:tr>
      <w:tr w:rsidR="00DE2586">
        <w:trPr>
          <w:jc w:val="center"/>
        </w:trPr>
        <w:tc>
          <w:tcPr>
            <w:tcW w:w="1588" w:type="dxa"/>
            <w:vAlign w:val="center"/>
          </w:tcPr>
          <w:p w:rsidR="00DE2586" w:rsidRDefault="00CC3F76">
            <w:pPr>
              <w:jc w:val="center"/>
            </w:pPr>
            <w:r>
              <w:rPr>
                <w:color w:val="000000"/>
                <w:sz w:val="18"/>
                <w:szCs w:val="18"/>
              </w:rPr>
              <w:t>应付证券清算款</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233,404.56</w:t>
            </w:r>
          </w:p>
        </w:tc>
        <w:tc>
          <w:tcPr>
            <w:tcW w:w="1301" w:type="dxa"/>
            <w:vAlign w:val="center"/>
          </w:tcPr>
          <w:p w:rsidR="00DE2586" w:rsidRDefault="00CC3F76">
            <w:pPr>
              <w:jc w:val="right"/>
            </w:pPr>
            <w:r>
              <w:rPr>
                <w:color w:val="000000"/>
                <w:sz w:val="18"/>
                <w:szCs w:val="18"/>
              </w:rPr>
              <w:t>233,404.56</w:t>
            </w:r>
          </w:p>
        </w:tc>
      </w:tr>
      <w:tr w:rsidR="00DE2586">
        <w:trPr>
          <w:jc w:val="center"/>
        </w:trPr>
        <w:tc>
          <w:tcPr>
            <w:tcW w:w="1588" w:type="dxa"/>
            <w:vAlign w:val="center"/>
          </w:tcPr>
          <w:p w:rsidR="00DE2586" w:rsidRDefault="00CC3F76">
            <w:pPr>
              <w:jc w:val="center"/>
            </w:pPr>
            <w:r>
              <w:rPr>
                <w:color w:val="000000"/>
                <w:sz w:val="18"/>
                <w:szCs w:val="18"/>
              </w:rPr>
              <w:t>应付赎回款</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146,866.07</w:t>
            </w:r>
          </w:p>
        </w:tc>
        <w:tc>
          <w:tcPr>
            <w:tcW w:w="1301" w:type="dxa"/>
            <w:vAlign w:val="center"/>
          </w:tcPr>
          <w:p w:rsidR="00DE2586" w:rsidRDefault="00CC3F76">
            <w:pPr>
              <w:jc w:val="right"/>
            </w:pPr>
            <w:r>
              <w:rPr>
                <w:color w:val="000000"/>
                <w:sz w:val="18"/>
                <w:szCs w:val="18"/>
              </w:rPr>
              <w:t>146,866.07</w:t>
            </w:r>
          </w:p>
        </w:tc>
      </w:tr>
      <w:tr w:rsidR="00DE2586">
        <w:trPr>
          <w:jc w:val="center"/>
        </w:trPr>
        <w:tc>
          <w:tcPr>
            <w:tcW w:w="1588" w:type="dxa"/>
            <w:vAlign w:val="center"/>
          </w:tcPr>
          <w:p w:rsidR="00DE2586" w:rsidRDefault="00CC3F76">
            <w:pPr>
              <w:jc w:val="center"/>
            </w:pPr>
            <w:r>
              <w:rPr>
                <w:color w:val="000000"/>
                <w:sz w:val="18"/>
                <w:szCs w:val="18"/>
              </w:rPr>
              <w:t>应付管理人报酬</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727,884.35</w:t>
            </w:r>
          </w:p>
        </w:tc>
        <w:tc>
          <w:tcPr>
            <w:tcW w:w="1301" w:type="dxa"/>
            <w:vAlign w:val="center"/>
          </w:tcPr>
          <w:p w:rsidR="00DE2586" w:rsidRDefault="00CC3F76">
            <w:pPr>
              <w:jc w:val="right"/>
            </w:pPr>
            <w:r>
              <w:rPr>
                <w:color w:val="000000"/>
                <w:sz w:val="18"/>
                <w:szCs w:val="18"/>
              </w:rPr>
              <w:t>727,884.35</w:t>
            </w:r>
          </w:p>
        </w:tc>
      </w:tr>
      <w:tr w:rsidR="00DE2586">
        <w:trPr>
          <w:jc w:val="center"/>
        </w:trPr>
        <w:tc>
          <w:tcPr>
            <w:tcW w:w="1588" w:type="dxa"/>
            <w:vAlign w:val="center"/>
          </w:tcPr>
          <w:p w:rsidR="00DE2586" w:rsidRDefault="00CC3F76">
            <w:pPr>
              <w:jc w:val="center"/>
            </w:pPr>
            <w:r>
              <w:rPr>
                <w:color w:val="000000"/>
                <w:sz w:val="18"/>
                <w:szCs w:val="18"/>
              </w:rPr>
              <w:t>应付托管费</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121,314.04</w:t>
            </w:r>
          </w:p>
        </w:tc>
        <w:tc>
          <w:tcPr>
            <w:tcW w:w="1301" w:type="dxa"/>
            <w:vAlign w:val="center"/>
          </w:tcPr>
          <w:p w:rsidR="00DE2586" w:rsidRDefault="00CC3F76">
            <w:pPr>
              <w:jc w:val="right"/>
            </w:pPr>
            <w:r>
              <w:rPr>
                <w:color w:val="000000"/>
                <w:sz w:val="18"/>
                <w:szCs w:val="18"/>
              </w:rPr>
              <w:t>121,314.04</w:t>
            </w:r>
          </w:p>
        </w:tc>
      </w:tr>
      <w:tr w:rsidR="00DE2586">
        <w:trPr>
          <w:jc w:val="center"/>
        </w:trPr>
        <w:tc>
          <w:tcPr>
            <w:tcW w:w="1588" w:type="dxa"/>
            <w:vAlign w:val="center"/>
          </w:tcPr>
          <w:p w:rsidR="00DE2586" w:rsidRDefault="00CC3F76">
            <w:pPr>
              <w:jc w:val="center"/>
            </w:pPr>
            <w:r>
              <w:rPr>
                <w:color w:val="000000"/>
                <w:sz w:val="18"/>
                <w:szCs w:val="18"/>
              </w:rPr>
              <w:t>应付交易费用</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18,562.92</w:t>
            </w:r>
          </w:p>
        </w:tc>
        <w:tc>
          <w:tcPr>
            <w:tcW w:w="1301" w:type="dxa"/>
            <w:vAlign w:val="center"/>
          </w:tcPr>
          <w:p w:rsidR="00DE2586" w:rsidRDefault="00CC3F76">
            <w:pPr>
              <w:jc w:val="right"/>
            </w:pPr>
            <w:r>
              <w:rPr>
                <w:color w:val="000000"/>
                <w:sz w:val="18"/>
                <w:szCs w:val="18"/>
              </w:rPr>
              <w:t>18,562.92</w:t>
            </w:r>
          </w:p>
        </w:tc>
      </w:tr>
      <w:tr w:rsidR="00DE2586">
        <w:trPr>
          <w:jc w:val="center"/>
        </w:trPr>
        <w:tc>
          <w:tcPr>
            <w:tcW w:w="1588" w:type="dxa"/>
            <w:vAlign w:val="center"/>
          </w:tcPr>
          <w:p w:rsidR="00DE2586" w:rsidRDefault="00CC3F76">
            <w:pPr>
              <w:jc w:val="center"/>
            </w:pPr>
            <w:r>
              <w:rPr>
                <w:color w:val="000000"/>
                <w:sz w:val="18"/>
                <w:szCs w:val="18"/>
              </w:rPr>
              <w:t>应付利息</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144,778.61</w:t>
            </w:r>
          </w:p>
        </w:tc>
        <w:tc>
          <w:tcPr>
            <w:tcW w:w="1301" w:type="dxa"/>
            <w:vAlign w:val="center"/>
          </w:tcPr>
          <w:p w:rsidR="00DE2586" w:rsidRDefault="00CC3F76">
            <w:pPr>
              <w:jc w:val="right"/>
            </w:pPr>
            <w:r>
              <w:rPr>
                <w:color w:val="000000"/>
                <w:sz w:val="18"/>
                <w:szCs w:val="18"/>
              </w:rPr>
              <w:t>144,778.61</w:t>
            </w:r>
          </w:p>
        </w:tc>
      </w:tr>
      <w:tr w:rsidR="00DE2586">
        <w:trPr>
          <w:jc w:val="center"/>
        </w:trPr>
        <w:tc>
          <w:tcPr>
            <w:tcW w:w="1588" w:type="dxa"/>
            <w:vAlign w:val="center"/>
          </w:tcPr>
          <w:p w:rsidR="00DE2586" w:rsidRDefault="00CC3F76">
            <w:pPr>
              <w:jc w:val="center"/>
            </w:pPr>
            <w:r>
              <w:rPr>
                <w:color w:val="000000"/>
                <w:sz w:val="18"/>
                <w:szCs w:val="18"/>
              </w:rPr>
              <w:t>其他负债</w:t>
            </w:r>
          </w:p>
        </w:tc>
        <w:tc>
          <w:tcPr>
            <w:tcW w:w="1701" w:type="dxa"/>
            <w:vAlign w:val="center"/>
          </w:tcPr>
          <w:p w:rsidR="00DE2586" w:rsidRDefault="00CC3F76">
            <w:pPr>
              <w:jc w:val="right"/>
            </w:pPr>
            <w:r>
              <w:rPr>
                <w:color w:val="000000"/>
                <w:sz w:val="18"/>
                <w:szCs w:val="18"/>
              </w:rPr>
              <w:t>-</w:t>
            </w:r>
          </w:p>
        </w:tc>
        <w:tc>
          <w:tcPr>
            <w:tcW w:w="1701"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w:t>
            </w:r>
          </w:p>
        </w:tc>
        <w:tc>
          <w:tcPr>
            <w:tcW w:w="1559" w:type="dxa"/>
            <w:vAlign w:val="center"/>
          </w:tcPr>
          <w:p w:rsidR="00DE2586" w:rsidRDefault="00CC3F76">
            <w:pPr>
              <w:jc w:val="right"/>
            </w:pPr>
            <w:r>
              <w:rPr>
                <w:color w:val="000000"/>
                <w:sz w:val="18"/>
                <w:szCs w:val="18"/>
              </w:rPr>
              <w:t>241,791.05</w:t>
            </w:r>
          </w:p>
        </w:tc>
        <w:tc>
          <w:tcPr>
            <w:tcW w:w="1301" w:type="dxa"/>
            <w:vAlign w:val="center"/>
          </w:tcPr>
          <w:p w:rsidR="00DE2586" w:rsidRDefault="00CC3F76">
            <w:pPr>
              <w:jc w:val="right"/>
            </w:pPr>
            <w:r>
              <w:rPr>
                <w:color w:val="000000"/>
                <w:sz w:val="18"/>
                <w:szCs w:val="18"/>
              </w:rPr>
              <w:t>241,791.05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294,217,283.67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1,634,601.60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295,851,885.27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430,233,629.20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251,474,000.00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4,643,421.30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17,632,566.73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703,983,617.23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357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DE2586">
        <w:tc>
          <w:tcPr>
            <w:tcW w:w="851" w:type="dxa"/>
            <w:vAlign w:val="center"/>
          </w:tcPr>
          <w:p w:rsidR="00DE2586" w:rsidRDefault="00CC3F76">
            <w:pPr>
              <w:jc w:val="left"/>
            </w:pPr>
            <w:r>
              <w:rPr>
                <w:bCs/>
                <w:color w:val="000000"/>
                <w:sz w:val="24"/>
              </w:rPr>
              <w:t>假设</w:t>
            </w:r>
          </w:p>
        </w:tc>
        <w:tc>
          <w:tcPr>
            <w:tcW w:w="8149" w:type="dxa"/>
            <w:gridSpan w:val="3"/>
            <w:vAlign w:val="center"/>
          </w:tcPr>
          <w:p w:rsidR="00DE2586" w:rsidRDefault="00CC3F76">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DE2586">
        <w:tc>
          <w:tcPr>
            <w:tcW w:w="851" w:type="dxa"/>
            <w:vMerge/>
          </w:tcPr>
          <w:p w:rsidR="00DE2586" w:rsidRDefault="00DE2586"/>
        </w:tc>
        <w:tc>
          <w:tcPr>
            <w:tcW w:w="2693" w:type="dxa"/>
            <w:vAlign w:val="center"/>
          </w:tcPr>
          <w:p w:rsidR="00DE2586" w:rsidRDefault="00CC3F76">
            <w:pPr>
              <w:jc w:val="left"/>
            </w:pPr>
            <w:r>
              <w:rPr>
                <w:color w:val="000000"/>
                <w:sz w:val="24"/>
              </w:rPr>
              <w:t>市场利率下降</w:t>
            </w:r>
            <w:r>
              <w:rPr>
                <w:color w:val="000000"/>
                <w:sz w:val="24"/>
              </w:rPr>
              <w:t>25</w:t>
            </w:r>
            <w:r>
              <w:rPr>
                <w:color w:val="000000"/>
                <w:sz w:val="24"/>
              </w:rPr>
              <w:t>个基点</w:t>
            </w:r>
          </w:p>
        </w:tc>
        <w:tc>
          <w:tcPr>
            <w:tcW w:w="2777" w:type="dxa"/>
            <w:vAlign w:val="center"/>
          </w:tcPr>
          <w:p w:rsidR="00DE2586" w:rsidRDefault="00CC3F76">
            <w:pPr>
              <w:jc w:val="right"/>
            </w:pPr>
            <w:r>
              <w:rPr>
                <w:color w:val="000000"/>
                <w:sz w:val="24"/>
              </w:rPr>
              <w:t>增加约</w:t>
            </w:r>
            <w:r>
              <w:rPr>
                <w:color w:val="000000"/>
                <w:sz w:val="24"/>
              </w:rPr>
              <w:t>45</w:t>
            </w:r>
          </w:p>
        </w:tc>
        <w:tc>
          <w:tcPr>
            <w:tcW w:w="2679" w:type="dxa"/>
            <w:vAlign w:val="center"/>
          </w:tcPr>
          <w:p w:rsidR="00DE2586" w:rsidRDefault="00CC3F76">
            <w:pPr>
              <w:jc w:val="right"/>
            </w:pPr>
            <w:r>
              <w:rPr>
                <w:color w:val="000000"/>
                <w:sz w:val="24"/>
              </w:rPr>
              <w:t>增加约</w:t>
            </w:r>
            <w:r>
              <w:rPr>
                <w:color w:val="000000"/>
                <w:sz w:val="24"/>
              </w:rPr>
              <w:t>200</w:t>
            </w:r>
          </w:p>
        </w:tc>
      </w:tr>
      <w:tr w:rsidR="00DE2586">
        <w:tc>
          <w:tcPr>
            <w:tcW w:w="851" w:type="dxa"/>
            <w:vMerge/>
          </w:tcPr>
          <w:p w:rsidR="00DE2586" w:rsidRDefault="00DE2586"/>
        </w:tc>
        <w:tc>
          <w:tcPr>
            <w:tcW w:w="2693" w:type="dxa"/>
            <w:vAlign w:val="center"/>
          </w:tcPr>
          <w:p w:rsidR="00DE2586" w:rsidRDefault="00CC3F76">
            <w:pPr>
              <w:jc w:val="left"/>
            </w:pPr>
            <w:r>
              <w:rPr>
                <w:color w:val="000000"/>
                <w:sz w:val="24"/>
              </w:rPr>
              <w:t>市场利率上升</w:t>
            </w:r>
            <w:r>
              <w:rPr>
                <w:color w:val="000000"/>
                <w:sz w:val="24"/>
              </w:rPr>
              <w:t>25</w:t>
            </w:r>
            <w:r>
              <w:rPr>
                <w:color w:val="000000"/>
                <w:sz w:val="24"/>
              </w:rPr>
              <w:t>个基点</w:t>
            </w:r>
          </w:p>
        </w:tc>
        <w:tc>
          <w:tcPr>
            <w:tcW w:w="2777" w:type="dxa"/>
            <w:vAlign w:val="center"/>
          </w:tcPr>
          <w:p w:rsidR="00DE2586" w:rsidRDefault="00CC3F76">
            <w:pPr>
              <w:jc w:val="right"/>
            </w:pPr>
            <w:r>
              <w:rPr>
                <w:color w:val="000000"/>
                <w:sz w:val="24"/>
              </w:rPr>
              <w:t>减少约</w:t>
            </w:r>
            <w:r>
              <w:rPr>
                <w:color w:val="000000"/>
                <w:sz w:val="24"/>
              </w:rPr>
              <w:t>44</w:t>
            </w:r>
          </w:p>
        </w:tc>
        <w:tc>
          <w:tcPr>
            <w:tcW w:w="2679" w:type="dxa"/>
            <w:vAlign w:val="center"/>
          </w:tcPr>
          <w:p w:rsidR="00DE2586" w:rsidRDefault="00CC3F76">
            <w:pPr>
              <w:jc w:val="right"/>
            </w:pPr>
            <w:r>
              <w:rPr>
                <w:color w:val="000000"/>
                <w:sz w:val="24"/>
              </w:rPr>
              <w:t>减少约</w:t>
            </w:r>
            <w:r>
              <w:rPr>
                <w:color w:val="000000"/>
                <w:sz w:val="24"/>
              </w:rPr>
              <w:t>199</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注：相关风险变量包括久期和凸性，根据中债金融估值中心有限公司所独立提供的推荐结果确定，其中含权债推荐久期的生成方式于</w:t>
      </w:r>
      <w:r w:rsidRPr="00D754A9">
        <w:rPr>
          <w:kern w:val="0"/>
          <w:sz w:val="24"/>
        </w:rPr>
        <w:t>2018</w:t>
      </w:r>
      <w:r w:rsidRPr="00D754A9">
        <w:rPr>
          <w:kern w:val="0"/>
          <w:sz w:val="24"/>
        </w:rPr>
        <w:t>年度有所变化。本基金本期及上年度可比期间利率风险敏感性的计算方法未发生重大变动。</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3" w:name="_Toc415357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3"/>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357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4"/>
    </w:p>
    <w:p w:rsidR="00DE2586" w:rsidRDefault="00CC3F7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E2586" w:rsidRDefault="00CC3F76">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本基金通过投资组合的分散化降低其他价格风险。本基金的投资组合比例为：债券、货币市场工具等稳健资产占基金资产的比例不低于</w:t>
      </w:r>
      <w:r w:rsidRPr="00C10D71">
        <w:rPr>
          <w:color w:val="000000"/>
          <w:sz w:val="24"/>
        </w:rPr>
        <w:t>60%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w:t>
      </w:r>
      <w:r w:rsidR="00842A39" w:rsidRPr="00842A39">
        <w:rPr>
          <w:rFonts w:hint="eastAsia"/>
          <w:color w:val="000000"/>
          <w:sz w:val="24"/>
        </w:rPr>
        <w:t>，现金不包括结算备付金、存出保证金和应收申购款等</w:t>
      </w:r>
      <w:r w:rsidRPr="00C10D71">
        <w:rPr>
          <w:color w:val="000000"/>
          <w:sz w:val="24"/>
        </w:rPr>
        <w:t>；股票、权证、股指期货等风险资产占基金资产的比例不高于</w:t>
      </w:r>
      <w:r w:rsidRPr="00C10D71">
        <w:rPr>
          <w:color w:val="000000"/>
          <w:sz w:val="24"/>
        </w:rPr>
        <w:t>40%</w:t>
      </w:r>
      <w:r w:rsidRPr="00C10D71">
        <w:rPr>
          <w:color w:val="000000"/>
          <w:sz w:val="24"/>
        </w:rPr>
        <w:t>，其中，基金持有的全部权证的市值不超过基金资产净值的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3578"/>
      <w:r w:rsidRPr="00AD0E47">
        <w:rPr>
          <w:rFonts w:ascii="Times New Roman" w:hAnsi="Times New Roman"/>
          <w:kern w:val="0"/>
          <w:szCs w:val="24"/>
        </w:rPr>
        <w:t>7.4.13.4.3.1</w:t>
      </w:r>
      <w:r w:rsidRPr="00AD0E47">
        <w:rPr>
          <w:rFonts w:ascii="Times New Roman" w:hAnsi="Times New Roman" w:hint="eastAsia"/>
          <w:kern w:val="0"/>
          <w:szCs w:val="24"/>
        </w:rPr>
        <w:t>其他价格风险的敏感性分析</w:t>
      </w:r>
      <w:bookmarkEnd w:id="195"/>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日，本基金未持有交易性权益类投资（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00797C3A">
        <w:rPr>
          <w:rFonts w:hint="eastAsia"/>
          <w:kern w:val="0"/>
          <w:sz w:val="24"/>
        </w:rPr>
        <w:t>同</w:t>
      </w:r>
      <w:r w:rsidRPr="00D754A9">
        <w:rPr>
          <w:kern w:val="0"/>
          <w:sz w:val="24"/>
        </w:rPr>
        <w:t>），因此除市场利率和外汇汇率以外的市场价格因素的变动对于本基金资产净值无重大影响（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6" w:name="_Toc415357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6"/>
    </w:p>
    <w:p w:rsidR="005319F6" w:rsidRDefault="005319F6" w:rsidP="005319F6">
      <w:pPr>
        <w:spacing w:before="29" w:line="288" w:lineRule="auto"/>
        <w:ind w:firstLineChars="200" w:firstLine="480"/>
        <w:rPr>
          <w:color w:val="000000"/>
          <w:sz w:val="24"/>
        </w:rPr>
      </w:pPr>
      <w:bookmarkStart w:id="197" w:name="_Toc225498272"/>
      <w:bookmarkStart w:id="198" w:name="_Toc361324877"/>
      <w:r>
        <w:rPr>
          <w:color w:val="000000"/>
          <w:sz w:val="24"/>
        </w:rPr>
        <w:t xml:space="preserve">(1) </w:t>
      </w:r>
      <w:r>
        <w:rPr>
          <w:rFonts w:hint="eastAsia"/>
          <w:color w:val="000000"/>
          <w:sz w:val="24"/>
        </w:rPr>
        <w:t>公允价值</w:t>
      </w:r>
    </w:p>
    <w:p w:rsidR="005319F6" w:rsidRDefault="005319F6" w:rsidP="005319F6">
      <w:pPr>
        <w:spacing w:before="29" w:line="288" w:lineRule="auto"/>
        <w:ind w:firstLineChars="200" w:firstLine="480"/>
        <w:rPr>
          <w:color w:val="000000"/>
          <w:sz w:val="24"/>
        </w:rPr>
      </w:pPr>
    </w:p>
    <w:p w:rsidR="005319F6" w:rsidRDefault="005319F6" w:rsidP="005319F6">
      <w:pPr>
        <w:spacing w:before="29" w:line="288" w:lineRule="auto"/>
        <w:ind w:firstLineChars="200" w:firstLine="480"/>
        <w:rPr>
          <w:color w:val="000000"/>
          <w:sz w:val="24"/>
        </w:rPr>
      </w:pPr>
      <w:r>
        <w:rPr>
          <w:color w:val="000000"/>
          <w:sz w:val="24"/>
        </w:rPr>
        <w:t xml:space="preserve">(a) </w:t>
      </w:r>
      <w:r>
        <w:rPr>
          <w:rFonts w:hint="eastAsia"/>
          <w:color w:val="000000"/>
          <w:sz w:val="24"/>
        </w:rPr>
        <w:t>金融工具公允价值计量的方法</w:t>
      </w:r>
    </w:p>
    <w:p w:rsidR="005319F6" w:rsidRDefault="005319F6" w:rsidP="005319F6">
      <w:pPr>
        <w:spacing w:before="29" w:line="288" w:lineRule="auto"/>
        <w:ind w:firstLineChars="200" w:firstLine="480"/>
        <w:rPr>
          <w:color w:val="000000"/>
          <w:sz w:val="24"/>
        </w:rPr>
      </w:pPr>
      <w:r>
        <w:rPr>
          <w:rFonts w:hint="eastAsia"/>
          <w:color w:val="000000"/>
          <w:sz w:val="24"/>
        </w:rPr>
        <w:t>公允价值计量结果所属的层次，由对公允价值计量整体而言具有重要意义的输入值所属的最低层次决定：</w:t>
      </w:r>
    </w:p>
    <w:p w:rsidR="005319F6" w:rsidRDefault="005319F6" w:rsidP="005319F6">
      <w:pPr>
        <w:spacing w:before="29" w:line="288" w:lineRule="auto"/>
        <w:ind w:firstLineChars="200" w:firstLine="480"/>
        <w:rPr>
          <w:color w:val="000000"/>
          <w:sz w:val="24"/>
        </w:rPr>
      </w:pPr>
    </w:p>
    <w:p w:rsidR="005319F6" w:rsidRDefault="005319F6" w:rsidP="005319F6">
      <w:pPr>
        <w:spacing w:before="29" w:line="288" w:lineRule="auto"/>
        <w:ind w:firstLineChars="200" w:firstLine="480"/>
        <w:rPr>
          <w:color w:val="000000"/>
          <w:sz w:val="24"/>
        </w:rPr>
      </w:pPr>
      <w:r>
        <w:rPr>
          <w:rFonts w:hint="eastAsia"/>
          <w:color w:val="000000"/>
          <w:sz w:val="24"/>
        </w:rPr>
        <w:t>第一层次：相同资产或负债在活跃市场上未经调整的报价。</w:t>
      </w:r>
    </w:p>
    <w:p w:rsidR="005319F6" w:rsidRDefault="005319F6" w:rsidP="005319F6">
      <w:pPr>
        <w:spacing w:before="29" w:line="288" w:lineRule="auto"/>
        <w:ind w:firstLineChars="200" w:firstLine="480"/>
        <w:rPr>
          <w:color w:val="000000"/>
          <w:sz w:val="24"/>
        </w:rPr>
      </w:pPr>
      <w:r>
        <w:rPr>
          <w:rFonts w:hint="eastAsia"/>
          <w:color w:val="000000"/>
          <w:sz w:val="24"/>
        </w:rPr>
        <w:t>第二层次：除第一层次输入值外相关资产或负债直接或间接可观察的输入值。</w:t>
      </w:r>
    </w:p>
    <w:p w:rsidR="005319F6" w:rsidRDefault="005319F6" w:rsidP="005319F6">
      <w:pPr>
        <w:spacing w:before="29" w:line="288" w:lineRule="auto"/>
        <w:ind w:firstLineChars="200" w:firstLine="480"/>
        <w:rPr>
          <w:color w:val="000000"/>
          <w:sz w:val="24"/>
        </w:rPr>
      </w:pPr>
      <w:r>
        <w:rPr>
          <w:rFonts w:hint="eastAsia"/>
          <w:color w:val="000000"/>
          <w:sz w:val="24"/>
        </w:rPr>
        <w:t>第三层次：相关资产或负债的不可观察输入值。</w:t>
      </w:r>
    </w:p>
    <w:p w:rsidR="005319F6" w:rsidRDefault="005319F6" w:rsidP="005319F6">
      <w:pPr>
        <w:spacing w:before="29" w:line="288" w:lineRule="auto"/>
        <w:ind w:firstLineChars="200" w:firstLine="480"/>
        <w:rPr>
          <w:color w:val="000000"/>
          <w:sz w:val="24"/>
        </w:rPr>
      </w:pPr>
    </w:p>
    <w:p w:rsidR="005319F6" w:rsidRDefault="005319F6" w:rsidP="005319F6">
      <w:pPr>
        <w:spacing w:before="29" w:line="288" w:lineRule="auto"/>
        <w:ind w:firstLineChars="200" w:firstLine="480"/>
        <w:rPr>
          <w:color w:val="000000"/>
          <w:sz w:val="24"/>
        </w:rPr>
      </w:pPr>
      <w:r>
        <w:rPr>
          <w:color w:val="000000"/>
          <w:sz w:val="24"/>
        </w:rPr>
        <w:t xml:space="preserve">(b) </w:t>
      </w:r>
      <w:r>
        <w:rPr>
          <w:rFonts w:hint="eastAsia"/>
          <w:color w:val="000000"/>
          <w:sz w:val="24"/>
        </w:rPr>
        <w:t>持续的以公允价值计量的金融工具</w:t>
      </w:r>
    </w:p>
    <w:p w:rsidR="005319F6" w:rsidRDefault="005319F6" w:rsidP="005319F6">
      <w:pPr>
        <w:spacing w:before="29" w:line="288" w:lineRule="auto"/>
        <w:ind w:firstLineChars="200" w:firstLine="480"/>
        <w:rPr>
          <w:color w:val="000000"/>
          <w:sz w:val="24"/>
        </w:rPr>
      </w:pPr>
      <w:r>
        <w:rPr>
          <w:color w:val="000000"/>
          <w:sz w:val="24"/>
        </w:rPr>
        <w:t xml:space="preserve">(i) </w:t>
      </w:r>
      <w:r>
        <w:rPr>
          <w:rFonts w:hint="eastAsia"/>
          <w:color w:val="000000"/>
          <w:sz w:val="24"/>
        </w:rPr>
        <w:t>各层次金融工具公允价值</w:t>
      </w:r>
    </w:p>
    <w:p w:rsidR="005319F6" w:rsidRDefault="005319F6" w:rsidP="005319F6">
      <w:pPr>
        <w:spacing w:before="29" w:line="288" w:lineRule="auto"/>
        <w:ind w:firstLineChars="200" w:firstLine="480"/>
        <w:rPr>
          <w:color w:val="000000"/>
          <w:sz w:val="24"/>
        </w:rPr>
      </w:pPr>
      <w:r>
        <w:rPr>
          <w:rFonts w:hint="eastAsia"/>
          <w:color w:val="000000"/>
          <w:sz w:val="24"/>
        </w:rPr>
        <w:t>于</w:t>
      </w:r>
      <w:r>
        <w:rPr>
          <w:color w:val="000000"/>
          <w:sz w:val="24"/>
        </w:rPr>
        <w:t>2018</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日，本基金持有的以公允价值计量且其变动计入当期损益的金融资产中属于第二层次的余额为</w:t>
      </w:r>
      <w:r>
        <w:rPr>
          <w:color w:val="000000"/>
          <w:sz w:val="24"/>
        </w:rPr>
        <w:t>909,280,020.00</w:t>
      </w:r>
      <w:r>
        <w:rPr>
          <w:rFonts w:hint="eastAsia"/>
          <w:color w:val="000000"/>
          <w:sz w:val="24"/>
        </w:rPr>
        <w:t>元，无属于第一或第三层次的余额</w:t>
      </w:r>
      <w:r>
        <w:rPr>
          <w:color w:val="000000"/>
          <w:sz w:val="24"/>
        </w:rPr>
        <w:t>(2017</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日：第一层次</w:t>
      </w:r>
      <w:r>
        <w:rPr>
          <w:color w:val="000000"/>
          <w:sz w:val="24"/>
        </w:rPr>
        <w:t>4,643,421.30</w:t>
      </w:r>
      <w:r>
        <w:rPr>
          <w:rFonts w:hint="eastAsia"/>
          <w:color w:val="000000"/>
          <w:sz w:val="24"/>
        </w:rPr>
        <w:t>元，第二层次</w:t>
      </w:r>
      <w:r>
        <w:rPr>
          <w:color w:val="000000"/>
          <w:sz w:val="24"/>
        </w:rPr>
        <w:t>965,417,900.00</w:t>
      </w:r>
      <w:r>
        <w:rPr>
          <w:rFonts w:hint="eastAsia"/>
          <w:color w:val="000000"/>
          <w:sz w:val="24"/>
        </w:rPr>
        <w:t>元，无第三层次</w:t>
      </w:r>
      <w:r>
        <w:rPr>
          <w:color w:val="000000"/>
          <w:sz w:val="24"/>
        </w:rPr>
        <w:t>)</w:t>
      </w:r>
      <w:r>
        <w:rPr>
          <w:rFonts w:hint="eastAsia"/>
          <w:color w:val="000000"/>
          <w:sz w:val="24"/>
        </w:rPr>
        <w:t>。</w:t>
      </w:r>
    </w:p>
    <w:p w:rsidR="005319F6" w:rsidRDefault="005319F6" w:rsidP="005319F6">
      <w:pPr>
        <w:spacing w:before="29" w:line="288" w:lineRule="auto"/>
        <w:ind w:firstLineChars="200" w:firstLine="480"/>
        <w:rPr>
          <w:color w:val="000000"/>
          <w:sz w:val="24"/>
        </w:rPr>
      </w:pPr>
    </w:p>
    <w:p w:rsidR="005319F6" w:rsidRDefault="005319F6" w:rsidP="005319F6">
      <w:pPr>
        <w:spacing w:before="29" w:line="288" w:lineRule="auto"/>
        <w:ind w:firstLineChars="200" w:firstLine="480"/>
        <w:rPr>
          <w:color w:val="000000"/>
          <w:sz w:val="24"/>
        </w:rPr>
      </w:pPr>
      <w:r>
        <w:rPr>
          <w:color w:val="000000"/>
          <w:sz w:val="24"/>
        </w:rPr>
        <w:t xml:space="preserve">(ii) </w:t>
      </w:r>
      <w:r>
        <w:rPr>
          <w:rFonts w:hint="eastAsia"/>
          <w:color w:val="000000"/>
          <w:sz w:val="24"/>
        </w:rPr>
        <w:t>公允价值所属层次间的重大变动</w:t>
      </w:r>
    </w:p>
    <w:p w:rsidR="005319F6" w:rsidRDefault="005319F6" w:rsidP="005319F6">
      <w:pPr>
        <w:spacing w:before="29" w:line="288" w:lineRule="auto"/>
        <w:ind w:firstLineChars="200" w:firstLine="480"/>
        <w:rPr>
          <w:color w:val="000000"/>
          <w:sz w:val="24"/>
        </w:rPr>
      </w:pPr>
      <w:r>
        <w:rPr>
          <w:rFonts w:hint="eastAsia"/>
          <w:color w:val="000000"/>
          <w:sz w:val="24"/>
        </w:rPr>
        <w:t>本基金以导致各层次之间转换的事项发生日为确认各层次之间转换的时点。</w:t>
      </w:r>
    </w:p>
    <w:p w:rsidR="005319F6" w:rsidRDefault="005319F6" w:rsidP="005319F6">
      <w:pPr>
        <w:spacing w:before="29" w:line="288" w:lineRule="auto"/>
        <w:ind w:firstLineChars="200" w:firstLine="480"/>
        <w:rPr>
          <w:color w:val="000000"/>
          <w:sz w:val="24"/>
        </w:rPr>
      </w:pPr>
      <w:r>
        <w:rPr>
          <w:rFonts w:hint="eastAsia"/>
          <w:color w:val="000000"/>
          <w:sz w:val="24"/>
        </w:rPr>
        <w:t>对于证券交易所上市的股票和债券，若出现重大事项停牌、交易不活跃</w:t>
      </w:r>
      <w:r>
        <w:rPr>
          <w:color w:val="000000"/>
          <w:sz w:val="24"/>
        </w:rPr>
        <w:t>(</w:t>
      </w:r>
      <w:r>
        <w:rPr>
          <w:rFonts w:hint="eastAsia"/>
          <w:color w:val="000000"/>
          <w:sz w:val="24"/>
        </w:rPr>
        <w:t>包括涨跌停时的交易不活跃</w:t>
      </w:r>
      <w:r>
        <w:rPr>
          <w:color w:val="000000"/>
          <w:sz w:val="24"/>
        </w:rPr>
        <w:t>)</w:t>
      </w:r>
      <w:r>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319F6" w:rsidRDefault="005319F6" w:rsidP="005319F6">
      <w:pPr>
        <w:spacing w:before="29" w:line="288" w:lineRule="auto"/>
        <w:ind w:firstLineChars="200" w:firstLine="480"/>
        <w:rPr>
          <w:color w:val="000000"/>
          <w:sz w:val="24"/>
        </w:rPr>
      </w:pPr>
    </w:p>
    <w:p w:rsidR="005319F6" w:rsidRDefault="005319F6" w:rsidP="005319F6">
      <w:pPr>
        <w:spacing w:before="29" w:line="288" w:lineRule="auto"/>
        <w:ind w:firstLineChars="200" w:firstLine="480"/>
        <w:rPr>
          <w:color w:val="000000"/>
          <w:sz w:val="24"/>
        </w:rPr>
      </w:pPr>
      <w:r>
        <w:rPr>
          <w:color w:val="000000"/>
          <w:sz w:val="24"/>
        </w:rPr>
        <w:t xml:space="preserve">(iii) </w:t>
      </w:r>
      <w:r>
        <w:rPr>
          <w:rFonts w:hint="eastAsia"/>
          <w:color w:val="000000"/>
          <w:sz w:val="24"/>
        </w:rPr>
        <w:t>第三层次公允价值余额和本期变动金额</w:t>
      </w:r>
    </w:p>
    <w:p w:rsidR="005319F6" w:rsidRDefault="005319F6" w:rsidP="005319F6">
      <w:pPr>
        <w:spacing w:before="29" w:line="288" w:lineRule="auto"/>
        <w:ind w:firstLineChars="200" w:firstLine="480"/>
        <w:rPr>
          <w:color w:val="000000"/>
          <w:sz w:val="24"/>
        </w:rPr>
      </w:pPr>
      <w:r>
        <w:rPr>
          <w:rFonts w:hint="eastAsia"/>
          <w:color w:val="000000"/>
          <w:sz w:val="24"/>
        </w:rPr>
        <w:t>无。</w:t>
      </w:r>
    </w:p>
    <w:p w:rsidR="005319F6" w:rsidRDefault="005319F6" w:rsidP="005319F6">
      <w:pPr>
        <w:spacing w:before="29" w:line="288" w:lineRule="auto"/>
        <w:ind w:firstLineChars="200" w:firstLine="480"/>
        <w:rPr>
          <w:color w:val="000000"/>
          <w:sz w:val="24"/>
        </w:rPr>
      </w:pPr>
    </w:p>
    <w:p w:rsidR="005319F6" w:rsidRDefault="005319F6" w:rsidP="005319F6">
      <w:pPr>
        <w:spacing w:before="29" w:line="288" w:lineRule="auto"/>
        <w:ind w:firstLineChars="200" w:firstLine="480"/>
        <w:rPr>
          <w:color w:val="000000"/>
          <w:sz w:val="24"/>
        </w:rPr>
      </w:pPr>
      <w:r>
        <w:rPr>
          <w:color w:val="000000"/>
          <w:sz w:val="24"/>
        </w:rPr>
        <w:t xml:space="preserve">(c) </w:t>
      </w:r>
      <w:r>
        <w:rPr>
          <w:rFonts w:hint="eastAsia"/>
          <w:color w:val="000000"/>
          <w:sz w:val="24"/>
        </w:rPr>
        <w:t>非持续的以公允价值计量的金融工具</w:t>
      </w:r>
    </w:p>
    <w:p w:rsidR="005319F6" w:rsidRDefault="005319F6" w:rsidP="005319F6">
      <w:pPr>
        <w:spacing w:before="29" w:line="288" w:lineRule="auto"/>
        <w:ind w:firstLineChars="200" w:firstLine="480"/>
        <w:rPr>
          <w:color w:val="000000"/>
          <w:sz w:val="24"/>
        </w:rPr>
      </w:pPr>
      <w:r>
        <w:rPr>
          <w:rFonts w:hint="eastAsia"/>
          <w:color w:val="000000"/>
          <w:sz w:val="24"/>
        </w:rPr>
        <w:t>于</w:t>
      </w:r>
      <w:r>
        <w:rPr>
          <w:color w:val="000000"/>
          <w:sz w:val="24"/>
        </w:rPr>
        <w:t>2018</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日，本基金未持有非持续的以公允价值计量的金融资产</w:t>
      </w:r>
      <w:r>
        <w:rPr>
          <w:color w:val="000000"/>
          <w:sz w:val="24"/>
        </w:rPr>
        <w:t>(2017</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日：同</w:t>
      </w:r>
      <w:r>
        <w:rPr>
          <w:color w:val="000000"/>
          <w:sz w:val="24"/>
        </w:rPr>
        <w:t>)</w:t>
      </w:r>
      <w:r>
        <w:rPr>
          <w:rFonts w:hint="eastAsia"/>
          <w:color w:val="000000"/>
          <w:sz w:val="24"/>
        </w:rPr>
        <w:t>。</w:t>
      </w:r>
    </w:p>
    <w:p w:rsidR="005319F6" w:rsidRDefault="005319F6" w:rsidP="005319F6">
      <w:pPr>
        <w:spacing w:before="29" w:line="288" w:lineRule="auto"/>
        <w:ind w:firstLineChars="200" w:firstLine="480"/>
        <w:rPr>
          <w:color w:val="000000"/>
          <w:sz w:val="24"/>
        </w:rPr>
      </w:pPr>
    </w:p>
    <w:p w:rsidR="005319F6" w:rsidRDefault="005319F6" w:rsidP="005319F6">
      <w:pPr>
        <w:spacing w:before="29" w:line="288" w:lineRule="auto"/>
        <w:ind w:firstLineChars="200" w:firstLine="480"/>
        <w:rPr>
          <w:color w:val="000000"/>
          <w:sz w:val="24"/>
        </w:rPr>
      </w:pPr>
      <w:r>
        <w:rPr>
          <w:color w:val="000000"/>
          <w:sz w:val="24"/>
        </w:rPr>
        <w:t xml:space="preserve">(d) </w:t>
      </w:r>
      <w:r>
        <w:rPr>
          <w:rFonts w:hint="eastAsia"/>
          <w:color w:val="000000"/>
          <w:sz w:val="24"/>
        </w:rPr>
        <w:t>不以公允价值计量的金融工具</w:t>
      </w:r>
    </w:p>
    <w:p w:rsidR="005319F6" w:rsidRDefault="005319F6" w:rsidP="005319F6">
      <w:pPr>
        <w:spacing w:before="29" w:line="288" w:lineRule="auto"/>
        <w:ind w:firstLineChars="200" w:firstLine="480"/>
        <w:rPr>
          <w:color w:val="000000"/>
          <w:sz w:val="24"/>
        </w:rPr>
      </w:pPr>
      <w:r>
        <w:rPr>
          <w:rFonts w:hint="eastAsia"/>
          <w:color w:val="000000"/>
          <w:sz w:val="24"/>
        </w:rPr>
        <w:t>不以公允价值计量的金融资产和负债主要包括应收款项和其他金融负债，其账面价值与公允价值相差很小。</w:t>
      </w:r>
    </w:p>
    <w:p w:rsidR="005319F6" w:rsidRDefault="005319F6" w:rsidP="005319F6">
      <w:pPr>
        <w:spacing w:before="29" w:line="288" w:lineRule="auto"/>
        <w:ind w:firstLineChars="200" w:firstLine="480"/>
        <w:rPr>
          <w:color w:val="000000"/>
          <w:sz w:val="24"/>
        </w:rPr>
      </w:pPr>
    </w:p>
    <w:p w:rsidR="005319F6" w:rsidRDefault="005319F6" w:rsidP="005319F6">
      <w:pPr>
        <w:spacing w:before="29" w:line="288" w:lineRule="auto"/>
        <w:ind w:firstLineChars="200" w:firstLine="480"/>
        <w:rPr>
          <w:color w:val="000000"/>
          <w:sz w:val="24"/>
        </w:rPr>
      </w:pPr>
      <w:r>
        <w:rPr>
          <w:color w:val="000000"/>
          <w:sz w:val="24"/>
        </w:rPr>
        <w:t xml:space="preserve">(2) </w:t>
      </w:r>
      <w:r>
        <w:rPr>
          <w:rFonts w:hint="eastAsia"/>
          <w:color w:val="000000"/>
          <w:sz w:val="24"/>
        </w:rPr>
        <w:t>除公允价值外，截至资产负债表日本基金无需要说明的其他重要事项。</w:t>
      </w:r>
    </w:p>
    <w:p w:rsidR="001A59F9" w:rsidRDefault="001A59F9" w:rsidP="006A7711">
      <w:pPr>
        <w:pStyle w:val="1"/>
        <w:keepNext/>
        <w:keepLines/>
        <w:widowControl w:val="0"/>
        <w:spacing w:beforeLines="100" w:before="312" w:afterLines="100" w:after="312" w:line="288" w:lineRule="auto"/>
        <w:jc w:val="center"/>
        <w:rPr>
          <w:b/>
          <w:color w:val="000000"/>
          <w:szCs w:val="24"/>
        </w:rPr>
      </w:pPr>
      <w:bookmarkStart w:id="199" w:name="_Toc415358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7"/>
      <w:bookmarkEnd w:id="198"/>
      <w:bookmarkEnd w:id="199"/>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0" w:name="_Toc225498273"/>
      <w:bookmarkStart w:id="201" w:name="_Toc361324878"/>
      <w:bookmarkStart w:id="202" w:name="_Toc374374955"/>
      <w:bookmarkStart w:id="203" w:name="_Toc415358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0"/>
      <w:bookmarkEnd w:id="201"/>
      <w:bookmarkEnd w:id="202"/>
      <w:bookmarkEnd w:id="203"/>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909,280,020.00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95.24</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909,280,020.00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95.24</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13,273,095.21</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1.39</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32,124,216.11</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3.36</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954,677,331.32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4" w:name="_Toc225498274"/>
      <w:bookmarkStart w:id="205" w:name="_Toc361324879"/>
      <w:bookmarkStart w:id="206" w:name="_Toc415358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4"/>
      <w:bookmarkEnd w:id="205"/>
      <w:bookmarkEnd w:id="206"/>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7" w:name="_Toc361324881"/>
      <w:bookmarkStart w:id="208" w:name="_Toc415358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7"/>
      <w:bookmarkEnd w:id="208"/>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362AA7" w:rsidRDefault="00362AA7" w:rsidP="00D754A9">
      <w:pPr>
        <w:tabs>
          <w:tab w:val="left" w:pos="426"/>
        </w:tabs>
        <w:spacing w:before="29" w:line="288" w:lineRule="auto"/>
        <w:jc w:val="left"/>
        <w:rPr>
          <w:kern w:val="0"/>
          <w:sz w:val="24"/>
        </w:rPr>
      </w:pPr>
    </w:p>
    <w:p w:rsidR="00944BB2" w:rsidRPr="00AD0E47" w:rsidRDefault="00944BB2" w:rsidP="00944BB2">
      <w:pPr>
        <w:pStyle w:val="20"/>
        <w:spacing w:before="29" w:after="0" w:line="288" w:lineRule="auto"/>
        <w:rPr>
          <w:rFonts w:ascii="Times New Roman" w:hAnsi="Times New Roman"/>
          <w:kern w:val="0"/>
          <w:szCs w:val="24"/>
        </w:rPr>
      </w:pPr>
      <w:bookmarkStart w:id="209" w:name="_Toc361324882"/>
      <w:bookmarkStart w:id="210" w:name="_Toc4153584"/>
      <w:bookmarkStart w:id="211" w:name="_Toc234814104"/>
      <w:bookmarkStart w:id="212" w:name="_Toc361324883"/>
      <w:r w:rsidRPr="00AD0E47">
        <w:rPr>
          <w:rFonts w:ascii="Times New Roman" w:hAnsi="Times New Roman"/>
          <w:kern w:val="0"/>
          <w:szCs w:val="24"/>
        </w:rPr>
        <w:t>8.4</w:t>
      </w:r>
      <w:bookmarkStart w:id="213" w:name="_Toc234814103"/>
      <w:r w:rsidRPr="00AD0E47">
        <w:rPr>
          <w:rFonts w:ascii="Times New Roman" w:hAnsi="Times New Roman" w:hint="eastAsia"/>
          <w:kern w:val="0"/>
          <w:szCs w:val="24"/>
        </w:rPr>
        <w:t>报告期内股票投资组合的重大变动</w:t>
      </w:r>
      <w:bookmarkEnd w:id="209"/>
      <w:bookmarkEnd w:id="213"/>
      <w:bookmarkEnd w:id="210"/>
    </w:p>
    <w:p w:rsidR="00944BB2" w:rsidRPr="00AD0E47" w:rsidRDefault="00944BB2" w:rsidP="00944BB2">
      <w:pPr>
        <w:pStyle w:val="20"/>
        <w:spacing w:before="29" w:after="0" w:line="288" w:lineRule="auto"/>
        <w:rPr>
          <w:rFonts w:ascii="Times New Roman" w:hAnsi="Times New Roman"/>
          <w:kern w:val="0"/>
          <w:szCs w:val="24"/>
        </w:rPr>
      </w:pPr>
      <w:bookmarkStart w:id="214" w:name="_Toc4153585"/>
      <w:r w:rsidRPr="00AD0E47">
        <w:rPr>
          <w:rFonts w:ascii="Times New Roman" w:hAnsi="Times New Roman"/>
          <w:kern w:val="0"/>
          <w:szCs w:val="24"/>
        </w:rPr>
        <w:t>8.4.1</w:t>
      </w:r>
      <w:r w:rsidRPr="00AD0E47">
        <w:rPr>
          <w:rFonts w:ascii="Times New Roman" w:hAnsi="Times New Roman" w:hint="eastAsia"/>
          <w:kern w:val="0"/>
          <w:szCs w:val="24"/>
        </w:rPr>
        <w:t>累计买入金额超出期初基金资产净值</w:t>
      </w:r>
      <w:r w:rsidRPr="00AD0E47">
        <w:rPr>
          <w:rFonts w:ascii="Times New Roman" w:hAnsi="Times New Roman"/>
          <w:kern w:val="0"/>
          <w:szCs w:val="24"/>
        </w:rPr>
        <w:t>2</w:t>
      </w:r>
      <w:r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4"/>
    </w:p>
    <w:p w:rsidR="00944BB2" w:rsidRDefault="00944BB2" w:rsidP="00944BB2">
      <w:pPr>
        <w:tabs>
          <w:tab w:val="left" w:pos="426"/>
        </w:tabs>
        <w:spacing w:before="29" w:line="288" w:lineRule="auto"/>
        <w:jc w:val="left"/>
        <w:rPr>
          <w:kern w:val="0"/>
          <w:sz w:val="24"/>
        </w:rPr>
      </w:pPr>
      <w:r>
        <w:rPr>
          <w:kern w:val="0"/>
          <w:sz w:val="24"/>
        </w:rPr>
        <w:t>本基金本报告期</w:t>
      </w:r>
      <w:r>
        <w:rPr>
          <w:rFonts w:hint="eastAsia"/>
          <w:kern w:val="0"/>
          <w:sz w:val="24"/>
        </w:rPr>
        <w:t>内</w:t>
      </w:r>
      <w:r w:rsidRPr="00D754A9">
        <w:rPr>
          <w:kern w:val="0"/>
          <w:sz w:val="24"/>
        </w:rPr>
        <w:t>未持有股票。</w:t>
      </w:r>
    </w:p>
    <w:p w:rsidR="00944BB2" w:rsidRPr="00AD0E47" w:rsidRDefault="00944BB2" w:rsidP="00944BB2">
      <w:pPr>
        <w:pStyle w:val="20"/>
        <w:spacing w:before="29" w:after="0" w:line="288" w:lineRule="auto"/>
        <w:rPr>
          <w:rFonts w:ascii="Times New Roman" w:hAnsi="Times New Roman"/>
          <w:kern w:val="0"/>
          <w:szCs w:val="24"/>
        </w:rPr>
      </w:pPr>
      <w:bookmarkStart w:id="215" w:name="_Toc4153586"/>
      <w:r w:rsidRPr="00AD0E47">
        <w:rPr>
          <w:rFonts w:ascii="Times New Roman" w:hAnsi="Times New Roman"/>
          <w:kern w:val="0"/>
          <w:szCs w:val="24"/>
        </w:rPr>
        <w:t>8.4.2</w:t>
      </w:r>
      <w:r w:rsidRPr="00AD0E47">
        <w:rPr>
          <w:rFonts w:ascii="Times New Roman" w:hAnsi="Times New Roman" w:hint="eastAsia"/>
          <w:kern w:val="0"/>
          <w:szCs w:val="24"/>
        </w:rPr>
        <w:t>累计卖出金额超出期初基金资产净值</w:t>
      </w:r>
      <w:r w:rsidRPr="00AD0E47">
        <w:rPr>
          <w:rFonts w:ascii="Times New Roman" w:hAnsi="Times New Roman"/>
          <w:kern w:val="0"/>
          <w:szCs w:val="24"/>
        </w:rPr>
        <w:t>2</w:t>
      </w:r>
      <w:r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944BB2" w:rsidRDefault="00944BB2" w:rsidP="00944BB2">
      <w:pPr>
        <w:tabs>
          <w:tab w:val="left" w:pos="426"/>
        </w:tabs>
        <w:spacing w:before="29" w:line="288" w:lineRule="auto"/>
        <w:jc w:val="left"/>
        <w:rPr>
          <w:kern w:val="0"/>
          <w:sz w:val="24"/>
        </w:rPr>
      </w:pPr>
      <w:r>
        <w:rPr>
          <w:kern w:val="0"/>
          <w:sz w:val="24"/>
        </w:rPr>
        <w:t>本基金本报告期</w:t>
      </w:r>
      <w:r>
        <w:rPr>
          <w:rFonts w:hint="eastAsia"/>
          <w:kern w:val="0"/>
          <w:sz w:val="24"/>
        </w:rPr>
        <w:t>内</w:t>
      </w:r>
      <w:r w:rsidRPr="00D754A9">
        <w:rPr>
          <w:kern w:val="0"/>
          <w:sz w:val="24"/>
        </w:rPr>
        <w:t>未持有股票。</w:t>
      </w:r>
    </w:p>
    <w:p w:rsidR="00944BB2" w:rsidRPr="00AD0E47" w:rsidRDefault="00944BB2" w:rsidP="00944BB2">
      <w:pPr>
        <w:pStyle w:val="20"/>
        <w:spacing w:before="29" w:after="0" w:line="288" w:lineRule="auto"/>
        <w:rPr>
          <w:rFonts w:ascii="Times New Roman" w:hAnsi="Times New Roman"/>
          <w:kern w:val="0"/>
          <w:szCs w:val="24"/>
        </w:rPr>
      </w:pPr>
      <w:bookmarkStart w:id="216" w:name="_Toc415358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6"/>
    </w:p>
    <w:p w:rsidR="00944BB2" w:rsidRDefault="00944BB2" w:rsidP="00944BB2">
      <w:pPr>
        <w:tabs>
          <w:tab w:val="left" w:pos="426"/>
        </w:tabs>
        <w:spacing w:before="29" w:line="288" w:lineRule="auto"/>
        <w:jc w:val="left"/>
        <w:rPr>
          <w:kern w:val="0"/>
          <w:sz w:val="24"/>
        </w:rPr>
      </w:pPr>
      <w:r>
        <w:rPr>
          <w:kern w:val="0"/>
          <w:sz w:val="24"/>
        </w:rPr>
        <w:t>本基金本报告期</w:t>
      </w:r>
      <w:r>
        <w:rPr>
          <w:rFonts w:hint="eastAsia"/>
          <w:kern w:val="0"/>
          <w:sz w:val="24"/>
        </w:rPr>
        <w:t>内</w:t>
      </w:r>
      <w:r w:rsidRPr="00D754A9">
        <w:rPr>
          <w:kern w:val="0"/>
          <w:sz w:val="24"/>
        </w:rPr>
        <w:t>未持有股票。</w:t>
      </w:r>
    </w:p>
    <w:p w:rsidR="00362AA7" w:rsidRPr="00944BB2" w:rsidRDefault="00362AA7" w:rsidP="00D0142F">
      <w:pPr>
        <w:tabs>
          <w:tab w:val="left" w:pos="426"/>
        </w:tabs>
        <w:spacing w:before="29" w:line="288" w:lineRule="auto"/>
        <w:jc w:val="left"/>
        <w:rPr>
          <w:kern w:val="0"/>
          <w:sz w:val="24"/>
        </w:rPr>
      </w:pPr>
    </w:p>
    <w:p w:rsidR="001A59F9" w:rsidRPr="00AD0E47" w:rsidRDefault="001A59F9" w:rsidP="00D0142F">
      <w:pPr>
        <w:pStyle w:val="20"/>
        <w:spacing w:before="29" w:after="0" w:line="288" w:lineRule="auto"/>
        <w:rPr>
          <w:rFonts w:ascii="Times New Roman" w:hAnsi="Times New Roman"/>
          <w:kern w:val="0"/>
          <w:szCs w:val="24"/>
        </w:rPr>
      </w:pPr>
      <w:bookmarkStart w:id="217" w:name="_Toc415358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1"/>
      <w:bookmarkEnd w:id="212"/>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30,634,200.00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30,634,200.00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145,264,820.00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24.10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20,138,000.00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3.34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121,243,000.00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20.12</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592,000,000.00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98.23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909,280,020.00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150.88</w:t>
            </w:r>
          </w:p>
        </w:tc>
      </w:tr>
    </w:tbl>
    <w:p w:rsidR="001A59F9" w:rsidRPr="00AD0E47" w:rsidRDefault="001A59F9" w:rsidP="00AD0E47">
      <w:pPr>
        <w:pStyle w:val="20"/>
        <w:spacing w:before="29" w:after="0" w:line="288" w:lineRule="auto"/>
        <w:rPr>
          <w:rFonts w:ascii="Times New Roman" w:hAnsi="Times New Roman"/>
          <w:kern w:val="0"/>
          <w:szCs w:val="24"/>
        </w:rPr>
      </w:pPr>
      <w:bookmarkStart w:id="218" w:name="_Toc361324884"/>
      <w:bookmarkStart w:id="219" w:name="_Toc4153589"/>
      <w:r w:rsidRPr="00AD0E47">
        <w:rPr>
          <w:rFonts w:ascii="Times New Roman" w:hAnsi="Times New Roman"/>
          <w:kern w:val="0"/>
          <w:szCs w:val="24"/>
        </w:rPr>
        <w:t>8.6</w:t>
      </w:r>
      <w:bookmarkStart w:id="220"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8"/>
      <w:bookmarkEnd w:id="220"/>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E2586">
        <w:trPr>
          <w:jc w:val="center"/>
        </w:trPr>
        <w:tc>
          <w:tcPr>
            <w:tcW w:w="892" w:type="dxa"/>
            <w:vAlign w:val="center"/>
          </w:tcPr>
          <w:p w:rsidR="00DE2586" w:rsidRDefault="00CC3F76">
            <w:pPr>
              <w:jc w:val="center"/>
            </w:pPr>
            <w:r>
              <w:rPr>
                <w:color w:val="000000"/>
                <w:sz w:val="24"/>
              </w:rPr>
              <w:t>1</w:t>
            </w:r>
          </w:p>
        </w:tc>
        <w:tc>
          <w:tcPr>
            <w:tcW w:w="1670" w:type="dxa"/>
            <w:vAlign w:val="center"/>
          </w:tcPr>
          <w:p w:rsidR="00DE2586" w:rsidRDefault="00CC3F76">
            <w:pPr>
              <w:jc w:val="center"/>
            </w:pPr>
            <w:r>
              <w:rPr>
                <w:color w:val="000000"/>
                <w:sz w:val="24"/>
              </w:rPr>
              <w:t>111814038</w:t>
            </w:r>
          </w:p>
        </w:tc>
        <w:tc>
          <w:tcPr>
            <w:tcW w:w="1282" w:type="dxa"/>
            <w:vAlign w:val="center"/>
          </w:tcPr>
          <w:p w:rsidR="00DE2586" w:rsidRDefault="00CC3F76">
            <w:pPr>
              <w:jc w:val="center"/>
            </w:pPr>
            <w:r>
              <w:rPr>
                <w:color w:val="000000"/>
                <w:sz w:val="24"/>
              </w:rPr>
              <w:t>18</w:t>
            </w:r>
            <w:r>
              <w:rPr>
                <w:color w:val="000000"/>
                <w:sz w:val="24"/>
              </w:rPr>
              <w:t>江苏银行</w:t>
            </w:r>
            <w:r>
              <w:rPr>
                <w:color w:val="000000"/>
                <w:sz w:val="24"/>
              </w:rPr>
              <w:t>CD038</w:t>
            </w:r>
          </w:p>
        </w:tc>
        <w:tc>
          <w:tcPr>
            <w:tcW w:w="1849" w:type="dxa"/>
            <w:vAlign w:val="center"/>
          </w:tcPr>
          <w:p w:rsidR="00DE2586" w:rsidRDefault="00CC3F76">
            <w:pPr>
              <w:jc w:val="right"/>
            </w:pPr>
            <w:r>
              <w:rPr>
                <w:color w:val="000000"/>
                <w:sz w:val="24"/>
              </w:rPr>
              <w:t>1,000,000</w:t>
            </w:r>
          </w:p>
        </w:tc>
        <w:tc>
          <w:tcPr>
            <w:tcW w:w="2126" w:type="dxa"/>
            <w:vAlign w:val="center"/>
          </w:tcPr>
          <w:p w:rsidR="00DE2586" w:rsidRDefault="00CC3F76">
            <w:pPr>
              <w:jc w:val="right"/>
            </w:pPr>
            <w:r>
              <w:rPr>
                <w:color w:val="000000"/>
                <w:sz w:val="24"/>
              </w:rPr>
              <w:t>95,500,000.00</w:t>
            </w:r>
          </w:p>
        </w:tc>
        <w:tc>
          <w:tcPr>
            <w:tcW w:w="1578" w:type="dxa"/>
            <w:vAlign w:val="center"/>
          </w:tcPr>
          <w:p w:rsidR="00DE2586" w:rsidRDefault="00CC3F76">
            <w:pPr>
              <w:jc w:val="right"/>
            </w:pPr>
            <w:r>
              <w:rPr>
                <w:color w:val="000000"/>
                <w:sz w:val="24"/>
              </w:rPr>
              <w:t>15.85</w:t>
            </w:r>
          </w:p>
        </w:tc>
      </w:tr>
      <w:tr w:rsidR="00DE2586">
        <w:trPr>
          <w:jc w:val="center"/>
        </w:trPr>
        <w:tc>
          <w:tcPr>
            <w:tcW w:w="892" w:type="dxa"/>
            <w:vAlign w:val="center"/>
          </w:tcPr>
          <w:p w:rsidR="00DE2586" w:rsidRDefault="00CC3F76">
            <w:pPr>
              <w:jc w:val="center"/>
            </w:pPr>
            <w:r>
              <w:rPr>
                <w:color w:val="000000"/>
                <w:sz w:val="24"/>
              </w:rPr>
              <w:t>2</w:t>
            </w:r>
          </w:p>
        </w:tc>
        <w:tc>
          <w:tcPr>
            <w:tcW w:w="1670" w:type="dxa"/>
            <w:vAlign w:val="center"/>
          </w:tcPr>
          <w:p w:rsidR="00DE2586" w:rsidRDefault="00CC3F76">
            <w:pPr>
              <w:jc w:val="center"/>
            </w:pPr>
            <w:r>
              <w:rPr>
                <w:color w:val="000000"/>
                <w:sz w:val="24"/>
              </w:rPr>
              <w:t>111892819</w:t>
            </w:r>
          </w:p>
        </w:tc>
        <w:tc>
          <w:tcPr>
            <w:tcW w:w="1282" w:type="dxa"/>
            <w:vAlign w:val="center"/>
          </w:tcPr>
          <w:p w:rsidR="00DE2586" w:rsidRDefault="00CC3F76">
            <w:pPr>
              <w:jc w:val="center"/>
            </w:pPr>
            <w:r>
              <w:rPr>
                <w:color w:val="000000"/>
                <w:sz w:val="24"/>
              </w:rPr>
              <w:t>18</w:t>
            </w:r>
            <w:r>
              <w:rPr>
                <w:color w:val="000000"/>
                <w:sz w:val="24"/>
              </w:rPr>
              <w:t>徽商银行</w:t>
            </w:r>
            <w:r>
              <w:rPr>
                <w:color w:val="000000"/>
                <w:sz w:val="24"/>
              </w:rPr>
              <w:t>CD033</w:t>
            </w:r>
          </w:p>
        </w:tc>
        <w:tc>
          <w:tcPr>
            <w:tcW w:w="1849" w:type="dxa"/>
            <w:vAlign w:val="center"/>
          </w:tcPr>
          <w:p w:rsidR="00DE2586" w:rsidRDefault="00CC3F76">
            <w:pPr>
              <w:jc w:val="right"/>
            </w:pPr>
            <w:r>
              <w:rPr>
                <w:color w:val="000000"/>
                <w:sz w:val="24"/>
              </w:rPr>
              <w:t>1,000,000</w:t>
            </w:r>
          </w:p>
        </w:tc>
        <w:tc>
          <w:tcPr>
            <w:tcW w:w="2126" w:type="dxa"/>
            <w:vAlign w:val="center"/>
          </w:tcPr>
          <w:p w:rsidR="00DE2586" w:rsidRDefault="00CC3F76">
            <w:pPr>
              <w:jc w:val="right"/>
            </w:pPr>
            <w:r>
              <w:rPr>
                <w:color w:val="000000"/>
                <w:sz w:val="24"/>
              </w:rPr>
              <w:t>95,490,000.00</w:t>
            </w:r>
          </w:p>
        </w:tc>
        <w:tc>
          <w:tcPr>
            <w:tcW w:w="1578" w:type="dxa"/>
            <w:vAlign w:val="center"/>
          </w:tcPr>
          <w:p w:rsidR="00DE2586" w:rsidRDefault="00CC3F76">
            <w:pPr>
              <w:jc w:val="right"/>
            </w:pPr>
            <w:r>
              <w:rPr>
                <w:color w:val="000000"/>
                <w:sz w:val="24"/>
              </w:rPr>
              <w:t>15.85</w:t>
            </w:r>
          </w:p>
        </w:tc>
      </w:tr>
      <w:tr w:rsidR="00DE2586">
        <w:trPr>
          <w:jc w:val="center"/>
        </w:trPr>
        <w:tc>
          <w:tcPr>
            <w:tcW w:w="892" w:type="dxa"/>
            <w:vAlign w:val="center"/>
          </w:tcPr>
          <w:p w:rsidR="00DE2586" w:rsidRDefault="00CC3F76">
            <w:pPr>
              <w:jc w:val="center"/>
            </w:pPr>
            <w:r>
              <w:rPr>
                <w:color w:val="000000"/>
                <w:sz w:val="24"/>
              </w:rPr>
              <w:t>3</w:t>
            </w:r>
          </w:p>
        </w:tc>
        <w:tc>
          <w:tcPr>
            <w:tcW w:w="1670" w:type="dxa"/>
            <w:vAlign w:val="center"/>
          </w:tcPr>
          <w:p w:rsidR="00DE2586" w:rsidRDefault="00CC3F76">
            <w:pPr>
              <w:jc w:val="center"/>
            </w:pPr>
            <w:r>
              <w:rPr>
                <w:color w:val="000000"/>
                <w:sz w:val="24"/>
              </w:rPr>
              <w:t>111892919</w:t>
            </w:r>
          </w:p>
        </w:tc>
        <w:tc>
          <w:tcPr>
            <w:tcW w:w="1282" w:type="dxa"/>
            <w:vAlign w:val="center"/>
          </w:tcPr>
          <w:p w:rsidR="00DE2586" w:rsidRDefault="00CC3F76">
            <w:pPr>
              <w:jc w:val="center"/>
            </w:pPr>
            <w:r>
              <w:rPr>
                <w:color w:val="000000"/>
                <w:sz w:val="24"/>
              </w:rPr>
              <w:t>18</w:t>
            </w:r>
            <w:r>
              <w:rPr>
                <w:color w:val="000000"/>
                <w:sz w:val="24"/>
              </w:rPr>
              <w:t>杭州银行</w:t>
            </w:r>
            <w:r>
              <w:rPr>
                <w:color w:val="000000"/>
                <w:sz w:val="24"/>
              </w:rPr>
              <w:t>CD009</w:t>
            </w:r>
          </w:p>
        </w:tc>
        <w:tc>
          <w:tcPr>
            <w:tcW w:w="1849" w:type="dxa"/>
            <w:vAlign w:val="center"/>
          </w:tcPr>
          <w:p w:rsidR="00DE2586" w:rsidRDefault="00CC3F76">
            <w:pPr>
              <w:jc w:val="right"/>
            </w:pPr>
            <w:r>
              <w:rPr>
                <w:color w:val="000000"/>
                <w:sz w:val="24"/>
              </w:rPr>
              <w:t>1,000,000</w:t>
            </w:r>
          </w:p>
        </w:tc>
        <w:tc>
          <w:tcPr>
            <w:tcW w:w="2126" w:type="dxa"/>
            <w:vAlign w:val="center"/>
          </w:tcPr>
          <w:p w:rsidR="00DE2586" w:rsidRDefault="00CC3F76">
            <w:pPr>
              <w:jc w:val="right"/>
            </w:pPr>
            <w:r>
              <w:rPr>
                <w:color w:val="000000"/>
                <w:sz w:val="24"/>
              </w:rPr>
              <w:t>95,490,000.00</w:t>
            </w:r>
          </w:p>
        </w:tc>
        <w:tc>
          <w:tcPr>
            <w:tcW w:w="1578" w:type="dxa"/>
            <w:vAlign w:val="center"/>
          </w:tcPr>
          <w:p w:rsidR="00DE2586" w:rsidRDefault="00CC3F76">
            <w:pPr>
              <w:jc w:val="right"/>
            </w:pPr>
            <w:r>
              <w:rPr>
                <w:color w:val="000000"/>
                <w:sz w:val="24"/>
              </w:rPr>
              <w:t>15.85</w:t>
            </w:r>
          </w:p>
        </w:tc>
      </w:tr>
      <w:tr w:rsidR="00DE2586">
        <w:trPr>
          <w:jc w:val="center"/>
        </w:trPr>
        <w:tc>
          <w:tcPr>
            <w:tcW w:w="892" w:type="dxa"/>
            <w:vAlign w:val="center"/>
          </w:tcPr>
          <w:p w:rsidR="00DE2586" w:rsidRDefault="00CC3F76">
            <w:pPr>
              <w:jc w:val="center"/>
            </w:pPr>
            <w:r>
              <w:rPr>
                <w:color w:val="000000"/>
                <w:sz w:val="24"/>
              </w:rPr>
              <w:t>4</w:t>
            </w:r>
          </w:p>
        </w:tc>
        <w:tc>
          <w:tcPr>
            <w:tcW w:w="1670" w:type="dxa"/>
            <w:vAlign w:val="center"/>
          </w:tcPr>
          <w:p w:rsidR="00DE2586" w:rsidRDefault="00CC3F76">
            <w:pPr>
              <w:jc w:val="center"/>
            </w:pPr>
            <w:r>
              <w:rPr>
                <w:color w:val="000000"/>
                <w:sz w:val="24"/>
              </w:rPr>
              <w:t>111892033</w:t>
            </w:r>
          </w:p>
        </w:tc>
        <w:tc>
          <w:tcPr>
            <w:tcW w:w="1282" w:type="dxa"/>
            <w:vAlign w:val="center"/>
          </w:tcPr>
          <w:p w:rsidR="00DE2586" w:rsidRDefault="00CC3F76">
            <w:pPr>
              <w:jc w:val="center"/>
            </w:pPr>
            <w:r>
              <w:rPr>
                <w:color w:val="000000"/>
                <w:sz w:val="24"/>
              </w:rPr>
              <w:t>18</w:t>
            </w:r>
            <w:r>
              <w:rPr>
                <w:color w:val="000000"/>
                <w:sz w:val="24"/>
              </w:rPr>
              <w:t>宁波银行</w:t>
            </w:r>
            <w:r>
              <w:rPr>
                <w:color w:val="000000"/>
                <w:sz w:val="24"/>
              </w:rPr>
              <w:t>CD032</w:t>
            </w:r>
          </w:p>
        </w:tc>
        <w:tc>
          <w:tcPr>
            <w:tcW w:w="1849" w:type="dxa"/>
            <w:vAlign w:val="center"/>
          </w:tcPr>
          <w:p w:rsidR="00DE2586" w:rsidRDefault="00CC3F76">
            <w:pPr>
              <w:jc w:val="right"/>
            </w:pPr>
            <w:r>
              <w:rPr>
                <w:color w:val="000000"/>
                <w:sz w:val="24"/>
              </w:rPr>
              <w:t>1,000,000</w:t>
            </w:r>
          </w:p>
        </w:tc>
        <w:tc>
          <w:tcPr>
            <w:tcW w:w="2126" w:type="dxa"/>
            <w:vAlign w:val="center"/>
          </w:tcPr>
          <w:p w:rsidR="00DE2586" w:rsidRDefault="00CC3F76">
            <w:pPr>
              <w:jc w:val="right"/>
            </w:pPr>
            <w:r>
              <w:rPr>
                <w:color w:val="000000"/>
                <w:sz w:val="24"/>
              </w:rPr>
              <w:t>95,450,000.00</w:t>
            </w:r>
          </w:p>
        </w:tc>
        <w:tc>
          <w:tcPr>
            <w:tcW w:w="1578" w:type="dxa"/>
            <w:vAlign w:val="center"/>
          </w:tcPr>
          <w:p w:rsidR="00DE2586" w:rsidRDefault="00CC3F76">
            <w:pPr>
              <w:jc w:val="right"/>
            </w:pPr>
            <w:r>
              <w:rPr>
                <w:color w:val="000000"/>
                <w:sz w:val="24"/>
              </w:rPr>
              <w:t>15.84</w:t>
            </w:r>
          </w:p>
        </w:tc>
      </w:tr>
      <w:tr w:rsidR="00DE2586">
        <w:trPr>
          <w:jc w:val="center"/>
        </w:trPr>
        <w:tc>
          <w:tcPr>
            <w:tcW w:w="892" w:type="dxa"/>
            <w:vAlign w:val="center"/>
          </w:tcPr>
          <w:p w:rsidR="00DE2586" w:rsidRDefault="00CC3F76">
            <w:pPr>
              <w:jc w:val="center"/>
            </w:pPr>
            <w:r>
              <w:rPr>
                <w:color w:val="000000"/>
                <w:sz w:val="24"/>
              </w:rPr>
              <w:t>5</w:t>
            </w:r>
          </w:p>
        </w:tc>
        <w:tc>
          <w:tcPr>
            <w:tcW w:w="1670" w:type="dxa"/>
            <w:vAlign w:val="center"/>
          </w:tcPr>
          <w:p w:rsidR="00DE2586" w:rsidRDefault="00CC3F76">
            <w:pPr>
              <w:jc w:val="center"/>
            </w:pPr>
            <w:r>
              <w:rPr>
                <w:color w:val="000000"/>
                <w:sz w:val="24"/>
              </w:rPr>
              <w:t>136133</w:t>
            </w:r>
          </w:p>
        </w:tc>
        <w:tc>
          <w:tcPr>
            <w:tcW w:w="1282" w:type="dxa"/>
            <w:vAlign w:val="center"/>
          </w:tcPr>
          <w:p w:rsidR="00DE2586" w:rsidRDefault="00CC3F76">
            <w:pPr>
              <w:jc w:val="center"/>
            </w:pPr>
            <w:r>
              <w:rPr>
                <w:color w:val="000000"/>
                <w:sz w:val="24"/>
              </w:rPr>
              <w:t>16</w:t>
            </w:r>
            <w:r>
              <w:rPr>
                <w:color w:val="000000"/>
                <w:sz w:val="24"/>
              </w:rPr>
              <w:t>国电</w:t>
            </w:r>
            <w:r>
              <w:rPr>
                <w:color w:val="000000"/>
                <w:sz w:val="24"/>
              </w:rPr>
              <w:t>01</w:t>
            </w:r>
          </w:p>
        </w:tc>
        <w:tc>
          <w:tcPr>
            <w:tcW w:w="1849" w:type="dxa"/>
            <w:vAlign w:val="center"/>
          </w:tcPr>
          <w:p w:rsidR="00DE2586" w:rsidRDefault="00CC3F76">
            <w:pPr>
              <w:jc w:val="right"/>
            </w:pPr>
            <w:r>
              <w:rPr>
                <w:color w:val="000000"/>
                <w:sz w:val="24"/>
              </w:rPr>
              <w:t>530,000</w:t>
            </w:r>
          </w:p>
        </w:tc>
        <w:tc>
          <w:tcPr>
            <w:tcW w:w="2126" w:type="dxa"/>
            <w:vAlign w:val="center"/>
          </w:tcPr>
          <w:p w:rsidR="00DE2586" w:rsidRDefault="00CC3F76">
            <w:pPr>
              <w:jc w:val="right"/>
            </w:pPr>
            <w:r>
              <w:rPr>
                <w:color w:val="000000"/>
                <w:sz w:val="24"/>
              </w:rPr>
              <w:t>52,973,500.00</w:t>
            </w:r>
          </w:p>
        </w:tc>
        <w:tc>
          <w:tcPr>
            <w:tcW w:w="1578" w:type="dxa"/>
            <w:vAlign w:val="center"/>
          </w:tcPr>
          <w:p w:rsidR="00DE2586" w:rsidRDefault="00CC3F76">
            <w:pPr>
              <w:jc w:val="right"/>
            </w:pPr>
            <w:r>
              <w:rPr>
                <w:color w:val="000000"/>
                <w:sz w:val="24"/>
              </w:rPr>
              <w:t>8.79</w:t>
            </w:r>
          </w:p>
        </w:tc>
      </w:tr>
    </w:tbl>
    <w:p w:rsidR="001A59F9" w:rsidRPr="00AD0E47" w:rsidRDefault="001A59F9" w:rsidP="00AD0E47">
      <w:pPr>
        <w:pStyle w:val="20"/>
        <w:spacing w:before="29" w:after="0" w:line="288" w:lineRule="auto"/>
        <w:rPr>
          <w:rFonts w:ascii="Times New Roman" w:hAnsi="Times New Roman"/>
          <w:kern w:val="0"/>
          <w:szCs w:val="24"/>
        </w:rPr>
      </w:pPr>
      <w:bookmarkStart w:id="221" w:name="_Toc361324885"/>
      <w:bookmarkStart w:id="222" w:name="_Toc415359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1"/>
      <w:bookmarkEnd w:id="22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3" w:name="_Toc415359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61324886"/>
      <w:bookmarkStart w:id="225" w:name="_Toc415359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4"/>
      <w:bookmarkEnd w:id="22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6" w:name="_Toc415359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27" w:name="_Toc415359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7"/>
      <w:bookmarkStart w:id="229" w:name="_Toc415359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8"/>
      <w:bookmarkEnd w:id="22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w:t>
      </w:r>
      <w:r w:rsidRPr="00250232">
        <w:rPr>
          <w:color w:val="000000"/>
          <w:sz w:val="24"/>
        </w:rPr>
        <w:t>18</w:t>
      </w:r>
      <w:r w:rsidRPr="00250232">
        <w:rPr>
          <w:color w:val="000000"/>
          <w:sz w:val="24"/>
        </w:rPr>
        <w:t>南京银行</w:t>
      </w:r>
      <w:r w:rsidRPr="00250232">
        <w:rPr>
          <w:color w:val="000000"/>
          <w:sz w:val="24"/>
        </w:rPr>
        <w:t>CD027</w:t>
      </w:r>
      <w:r w:rsidRPr="00250232">
        <w:rPr>
          <w:color w:val="000000"/>
          <w:sz w:val="24"/>
        </w:rPr>
        <w:t>（证券代码：</w:t>
      </w:r>
      <w:r w:rsidRPr="00250232">
        <w:rPr>
          <w:color w:val="000000"/>
          <w:sz w:val="24"/>
        </w:rPr>
        <w:t>111892301</w:t>
      </w:r>
      <w:r w:rsidRPr="00250232">
        <w:rPr>
          <w:color w:val="000000"/>
          <w:sz w:val="24"/>
        </w:rPr>
        <w:t>）外，未出现被监管部门立案调查，或在报告编制日前一年内受到公开谴责、处罚的情形。</w:t>
      </w:r>
    </w:p>
    <w:p w:rsidR="00DE2586" w:rsidRDefault="00CC3F76">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CD027</w:t>
      </w:r>
      <w:r>
        <w:rPr>
          <w:color w:val="000000"/>
          <w:sz w:val="24"/>
        </w:rPr>
        <w:t>（证券代码：</w:t>
      </w:r>
      <w:r>
        <w:rPr>
          <w:color w:val="000000"/>
          <w:sz w:val="24"/>
        </w:rPr>
        <w:t>111892301</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号），对镇江分行违规办理票据业务违反审慎经营原则的行为罚款</w:t>
      </w:r>
      <w:r>
        <w:rPr>
          <w:color w:val="000000"/>
          <w:sz w:val="24"/>
        </w:rPr>
        <w:t xml:space="preserve"> 3230 </w:t>
      </w:r>
      <w:r>
        <w:rPr>
          <w:color w:val="000000"/>
          <w:sz w:val="24"/>
        </w:rPr>
        <w:t>万元人民币。</w:t>
      </w:r>
    </w:p>
    <w:p w:rsidR="00DE2586" w:rsidRDefault="00CC3F76">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0" w:name="_Toc4153596"/>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3,348.01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32,119,085.92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1,782.18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32,124,216.11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415359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4153598"/>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415359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3"/>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6A7711">
      <w:pPr>
        <w:pStyle w:val="1"/>
        <w:keepNext/>
        <w:keepLines/>
        <w:widowControl w:val="0"/>
        <w:spacing w:beforeLines="100" w:before="312" w:afterLines="100" w:after="312" w:line="288" w:lineRule="auto"/>
        <w:jc w:val="center"/>
        <w:rPr>
          <w:b/>
          <w:color w:val="000000"/>
          <w:szCs w:val="24"/>
        </w:rPr>
      </w:pPr>
      <w:bookmarkStart w:id="234" w:name="_Toc225500050"/>
      <w:bookmarkStart w:id="235" w:name="_Toc361324888"/>
      <w:bookmarkStart w:id="236" w:name="_Toc415360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4"/>
      <w:bookmarkEnd w:id="235"/>
      <w:bookmarkEnd w:id="236"/>
    </w:p>
    <w:p w:rsidR="001A59F9" w:rsidRPr="00AD0E47" w:rsidRDefault="001A59F9" w:rsidP="00AD0E47">
      <w:pPr>
        <w:pStyle w:val="20"/>
        <w:spacing w:before="29" w:after="0" w:line="288" w:lineRule="auto"/>
        <w:rPr>
          <w:rFonts w:ascii="Times New Roman" w:hAnsi="Times New Roman"/>
          <w:kern w:val="0"/>
          <w:szCs w:val="24"/>
        </w:rPr>
      </w:pPr>
      <w:bookmarkStart w:id="237" w:name="_Toc225500051"/>
      <w:bookmarkStart w:id="238" w:name="_Toc361324889"/>
      <w:bookmarkStart w:id="239" w:name="_Toc415360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7"/>
      <w:bookmarkEnd w:id="238"/>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42A39" w:rsidRPr="00A138F0" w:rsidTr="00842A39">
        <w:trPr>
          <w:jc w:val="center"/>
        </w:trPr>
        <w:tc>
          <w:tcPr>
            <w:tcW w:w="964" w:type="pct"/>
            <w:vMerge w:val="restart"/>
            <w:tcBorders>
              <w:top w:val="single" w:sz="8" w:space="0" w:color="000000"/>
              <w:left w:val="single" w:sz="8" w:space="0" w:color="000000"/>
              <w:right w:val="single" w:sz="8" w:space="0" w:color="000000"/>
            </w:tcBorders>
            <w:vAlign w:val="center"/>
          </w:tcPr>
          <w:p w:rsidR="00DE2586" w:rsidRDefault="00CC3F7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842A39" w:rsidRPr="00A138F0" w:rsidTr="00842A39">
        <w:trPr>
          <w:jc w:val="center"/>
        </w:trPr>
        <w:tc>
          <w:tcPr>
            <w:tcW w:w="964" w:type="pct"/>
            <w:vMerge/>
            <w:tcBorders>
              <w:left w:val="single" w:sz="8" w:space="0" w:color="000000"/>
              <w:right w:val="single" w:sz="8" w:space="0" w:color="000000"/>
            </w:tcBorders>
          </w:tcPr>
          <w:p w:rsidR="00DE2586" w:rsidRDefault="00DE258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42A39" w:rsidRPr="00A138F0" w:rsidTr="00842A39">
        <w:trPr>
          <w:jc w:val="center"/>
        </w:trPr>
        <w:tc>
          <w:tcPr>
            <w:tcW w:w="964" w:type="pct"/>
            <w:vMerge/>
            <w:tcBorders>
              <w:left w:val="single" w:sz="8" w:space="0" w:color="000000"/>
              <w:bottom w:val="single" w:sz="8" w:space="0" w:color="000000"/>
              <w:right w:val="single" w:sz="8" w:space="0" w:color="000000"/>
            </w:tcBorders>
          </w:tcPr>
          <w:p w:rsidR="00DE2586" w:rsidRDefault="00DE258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42A39" w:rsidRPr="00A138F0" w:rsidTr="00842A3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E2586" w:rsidRDefault="00CC3F76">
            <w:pPr>
              <w:jc w:val="right"/>
            </w:pPr>
            <w:r>
              <w:rPr>
                <w:kern w:val="0"/>
                <w:szCs w:val="21"/>
              </w:rPr>
              <w:t>2,111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266,735.08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200,017,000.00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35.52%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363,060,746.71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64.48%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0" w:name="_Toc361324891"/>
      <w:bookmarkStart w:id="241" w:name="_Toc415360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0"/>
      <w:bookmarkEnd w:id="24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109.65</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2" w:name="_Toc415360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6A7711">
      <w:pPr>
        <w:pStyle w:val="1"/>
        <w:keepNext/>
        <w:keepLines/>
        <w:widowControl w:val="0"/>
        <w:spacing w:beforeLines="100" w:before="312" w:afterLines="100" w:after="312" w:line="288" w:lineRule="auto"/>
        <w:jc w:val="center"/>
        <w:rPr>
          <w:b/>
          <w:bCs/>
          <w:szCs w:val="24"/>
          <w:lang w:val="en-US"/>
        </w:rPr>
      </w:pPr>
      <w:bookmarkStart w:id="243" w:name="_Toc225500053"/>
      <w:bookmarkStart w:id="244" w:name="_Toc361324892"/>
      <w:bookmarkStart w:id="245" w:name="_Toc415360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3</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988,953,938.88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689,816,851.23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620,990.32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127,360,094.84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563,077,746.71</w:t>
            </w:r>
          </w:p>
        </w:tc>
      </w:tr>
    </w:tbl>
    <w:p w:rsidR="00DE2586" w:rsidRDefault="00CC3F7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6A7711">
      <w:pPr>
        <w:pStyle w:val="1"/>
        <w:keepNext/>
        <w:keepLines/>
        <w:widowControl w:val="0"/>
        <w:spacing w:beforeLines="100" w:before="312" w:afterLines="100" w:after="312" w:line="288" w:lineRule="auto"/>
        <w:jc w:val="center"/>
        <w:rPr>
          <w:b/>
          <w:bCs/>
          <w:szCs w:val="24"/>
          <w:lang w:val="en-US"/>
        </w:rPr>
      </w:pPr>
      <w:bookmarkStart w:id="246" w:name="_Toc225500054"/>
      <w:bookmarkStart w:id="247" w:name="_Toc361324893"/>
      <w:bookmarkStart w:id="248" w:name="_Toc415360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6"/>
      <w:bookmarkEnd w:id="247"/>
      <w:bookmarkEnd w:id="24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49" w:name="_Toc361324894"/>
      <w:bookmarkStart w:id="250" w:name="_Toc415360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49"/>
      <w:bookmarkEnd w:id="25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1" w:name="_Toc361324895"/>
      <w:bookmarkStart w:id="252" w:name="_Toc415360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1"/>
      <w:bookmarkEnd w:id="252"/>
    </w:p>
    <w:p w:rsidR="00DE2586" w:rsidRDefault="00CC3F76">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E2586" w:rsidRDefault="00CC3F76">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DE2586" w:rsidRDefault="00CC3F76">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0406E6" w:rsidRPr="000406E6">
        <w:rPr>
          <w:rFonts w:hint="eastAsia"/>
          <w:color w:val="000000"/>
          <w:sz w:val="24"/>
        </w:rPr>
        <w:t>本基金托管人中国民生银行股份有限公司于</w:t>
      </w:r>
      <w:r w:rsidR="000406E6" w:rsidRPr="000406E6">
        <w:rPr>
          <w:rFonts w:hint="eastAsia"/>
          <w:color w:val="000000"/>
          <w:sz w:val="24"/>
        </w:rPr>
        <w:t>2018</w:t>
      </w:r>
      <w:r w:rsidR="000406E6" w:rsidRPr="000406E6">
        <w:rPr>
          <w:rFonts w:hint="eastAsia"/>
          <w:color w:val="000000"/>
          <w:sz w:val="24"/>
        </w:rPr>
        <w:t>年</w:t>
      </w:r>
      <w:r w:rsidR="000406E6" w:rsidRPr="000406E6">
        <w:rPr>
          <w:rFonts w:hint="eastAsia"/>
          <w:color w:val="000000"/>
          <w:sz w:val="24"/>
        </w:rPr>
        <w:t>4</w:t>
      </w:r>
      <w:r w:rsidR="000406E6" w:rsidRPr="000406E6">
        <w:rPr>
          <w:rFonts w:hint="eastAsia"/>
          <w:color w:val="000000"/>
          <w:sz w:val="24"/>
        </w:rPr>
        <w:t>月</w:t>
      </w:r>
      <w:r w:rsidR="000406E6" w:rsidRPr="000406E6">
        <w:rPr>
          <w:rFonts w:hint="eastAsia"/>
          <w:color w:val="000000"/>
          <w:sz w:val="24"/>
        </w:rPr>
        <w:t>19</w:t>
      </w:r>
      <w:r w:rsidR="000406E6" w:rsidRPr="000406E6">
        <w:rPr>
          <w:rFonts w:hint="eastAsia"/>
          <w:color w:val="000000"/>
          <w:sz w:val="24"/>
        </w:rPr>
        <w:t>日公告，根据工作需要，任命张庆先生担任本公司资产托管部总经理，主持资产托管部相关工作。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3" w:name="_Toc361324896"/>
      <w:bookmarkStart w:id="254" w:name="_Toc415360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7"/>
      <w:bookmarkStart w:id="256" w:name="_Toc415360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57" w:name="_Toc4153610"/>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57"/>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58" w:name="_Toc361324898"/>
      <w:bookmarkStart w:id="259" w:name="_Toc409100466"/>
      <w:bookmarkStart w:id="260" w:name="_Toc409100103"/>
      <w:bookmarkStart w:id="261" w:name="_Toc4153611"/>
      <w:r w:rsidRPr="00F74F88">
        <w:rPr>
          <w:rFonts w:ascii="Times New Roman" w:eastAsiaTheme="minorEastAsia" w:hAnsi="Times New Roman"/>
          <w:color w:val="000000" w:themeColor="text1"/>
          <w:kern w:val="0"/>
          <w:szCs w:val="24"/>
        </w:rPr>
        <w:t>11.</w:t>
      </w:r>
      <w:bookmarkEnd w:id="258"/>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59"/>
      <w:bookmarkEnd w:id="260"/>
      <w:bookmarkEnd w:id="261"/>
    </w:p>
    <w:p w:rsidR="002C2072" w:rsidRPr="00F74F88" w:rsidRDefault="002C2072" w:rsidP="00F74F88">
      <w:pPr>
        <w:spacing w:line="360" w:lineRule="auto"/>
        <w:ind w:firstLineChars="200" w:firstLine="480"/>
        <w:rPr>
          <w:rFonts w:eastAsiaTheme="minorEastAsia"/>
          <w:color w:val="000000" w:themeColor="text1"/>
          <w:sz w:val="24"/>
        </w:rPr>
      </w:pPr>
      <w:bookmarkStart w:id="262" w:name="OLE_LINK3"/>
      <w:r w:rsidRPr="00F74F88">
        <w:rPr>
          <w:rFonts w:eastAsiaTheme="minorEastAsia"/>
          <w:color w:val="000000" w:themeColor="text1"/>
          <w:sz w:val="24"/>
        </w:rPr>
        <w:t>本报告期内，为本基金提供审计服务的会计师事务所为普华永道中天会计师事务所（特殊普通合伙），本期审计费用为</w:t>
      </w:r>
      <w:r w:rsidRPr="00F74F88">
        <w:rPr>
          <w:rFonts w:eastAsiaTheme="minorEastAsia"/>
          <w:color w:val="000000" w:themeColor="text1"/>
          <w:sz w:val="24"/>
        </w:rPr>
        <w:t>90,000.00</w:t>
      </w:r>
      <w:r w:rsidRPr="00F74F88">
        <w:rPr>
          <w:rFonts w:eastAsiaTheme="minorEastAsia"/>
          <w:color w:val="000000" w:themeColor="text1"/>
          <w:sz w:val="24"/>
        </w:rPr>
        <w:t>元</w:t>
      </w:r>
      <w:r w:rsidRPr="00F74F88">
        <w:rPr>
          <w:rFonts w:eastAsiaTheme="minorEastAsia"/>
          <w:color w:val="000000" w:themeColor="text1"/>
          <w:sz w:val="24"/>
        </w:rPr>
        <w:t xml:space="preserve"> </w:t>
      </w:r>
      <w:r w:rsidRPr="00F74F88">
        <w:rPr>
          <w:rFonts w:eastAsiaTheme="minorEastAsia"/>
          <w:color w:val="000000" w:themeColor="text1"/>
          <w:sz w:val="24"/>
        </w:rPr>
        <w:t>。自本基金合同生效以来，本基金未改聘为其审计的会计师事务所。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409100104"/>
      <w:bookmarkStart w:id="264" w:name="_Toc409100467"/>
      <w:bookmarkStart w:id="265" w:name="_Toc361324899"/>
      <w:bookmarkStart w:id="266" w:name="_Toc4153612"/>
      <w:bookmarkEnd w:id="26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3"/>
      <w:bookmarkEnd w:id="264"/>
      <w:bookmarkEnd w:id="265"/>
      <w:bookmarkEnd w:id="266"/>
    </w:p>
    <w:p w:rsidR="00DE2586" w:rsidRDefault="00CC3F7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E2586" w:rsidRDefault="00CC3F7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E2586" w:rsidRDefault="00CC3F7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7" w:name="_Toc361324900"/>
      <w:bookmarkStart w:id="268" w:name="_Toc409100468"/>
      <w:bookmarkStart w:id="269" w:name="_Toc409100105"/>
      <w:bookmarkStart w:id="270" w:name="_Toc4153613"/>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67"/>
      <w:bookmarkEnd w:id="268"/>
      <w:bookmarkEnd w:id="269"/>
      <w:bookmarkEnd w:id="270"/>
    </w:p>
    <w:p w:rsidR="002C2072" w:rsidRPr="00F74F88" w:rsidRDefault="002C2072" w:rsidP="002C2072">
      <w:pPr>
        <w:spacing w:line="360" w:lineRule="auto"/>
        <w:rPr>
          <w:rFonts w:eastAsiaTheme="minorEastAsia"/>
          <w:b/>
          <w:color w:val="000000" w:themeColor="text1"/>
          <w:sz w:val="24"/>
        </w:rPr>
      </w:pPr>
      <w:bookmarkStart w:id="271"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1"/>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2"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DE2586">
        <w:tc>
          <w:tcPr>
            <w:tcW w:w="1560" w:type="dxa"/>
            <w:vAlign w:val="center"/>
          </w:tcPr>
          <w:p w:rsidR="00DE2586" w:rsidRDefault="00CC3F76">
            <w:pPr>
              <w:jc w:val="left"/>
            </w:pPr>
            <w:r>
              <w:rPr>
                <w:rFonts w:eastAsiaTheme="minorEastAsia"/>
                <w:color w:val="000000" w:themeColor="text1"/>
                <w:sz w:val="24"/>
              </w:rPr>
              <w:t>长江证券股份有限公司</w:t>
            </w:r>
          </w:p>
        </w:tc>
        <w:tc>
          <w:tcPr>
            <w:tcW w:w="780" w:type="dxa"/>
            <w:vAlign w:val="center"/>
          </w:tcPr>
          <w:p w:rsidR="00DE2586" w:rsidRDefault="00CC3F76">
            <w:pPr>
              <w:jc w:val="right"/>
            </w:pPr>
            <w:r>
              <w:rPr>
                <w:rFonts w:eastAsiaTheme="minorEastAsia"/>
                <w:color w:val="000000" w:themeColor="text1"/>
                <w:sz w:val="24"/>
              </w:rPr>
              <w:t>2</w:t>
            </w:r>
          </w:p>
        </w:tc>
        <w:tc>
          <w:tcPr>
            <w:tcW w:w="1800" w:type="dxa"/>
            <w:vAlign w:val="center"/>
          </w:tcPr>
          <w:p w:rsidR="00DE2586" w:rsidRDefault="00CC3F76">
            <w:pPr>
              <w:jc w:val="right"/>
            </w:pPr>
            <w:r>
              <w:rPr>
                <w:rFonts w:eastAsiaTheme="minorEastAsia"/>
                <w:color w:val="000000" w:themeColor="text1"/>
                <w:sz w:val="24"/>
              </w:rPr>
              <w:t>-</w:t>
            </w:r>
          </w:p>
        </w:tc>
        <w:tc>
          <w:tcPr>
            <w:tcW w:w="1080" w:type="dxa"/>
            <w:vAlign w:val="center"/>
          </w:tcPr>
          <w:p w:rsidR="00DE2586" w:rsidRDefault="00CC3F76">
            <w:pPr>
              <w:jc w:val="right"/>
            </w:pPr>
            <w:r>
              <w:rPr>
                <w:rFonts w:eastAsiaTheme="minorEastAsia"/>
                <w:color w:val="000000" w:themeColor="text1"/>
                <w:sz w:val="24"/>
              </w:rPr>
              <w:t>-</w:t>
            </w:r>
          </w:p>
        </w:tc>
        <w:tc>
          <w:tcPr>
            <w:tcW w:w="1620" w:type="dxa"/>
            <w:vAlign w:val="center"/>
          </w:tcPr>
          <w:p w:rsidR="00DE2586" w:rsidRDefault="00CC3F76">
            <w:pPr>
              <w:jc w:val="right"/>
            </w:pPr>
            <w:r>
              <w:rPr>
                <w:rFonts w:eastAsiaTheme="minorEastAsia"/>
                <w:color w:val="000000" w:themeColor="text1"/>
                <w:sz w:val="24"/>
              </w:rPr>
              <w:t>-</w:t>
            </w:r>
          </w:p>
        </w:tc>
        <w:tc>
          <w:tcPr>
            <w:tcW w:w="1080" w:type="dxa"/>
            <w:vAlign w:val="center"/>
          </w:tcPr>
          <w:p w:rsidR="00DE2586" w:rsidRDefault="00CC3F76">
            <w:pPr>
              <w:jc w:val="right"/>
            </w:pPr>
            <w:r>
              <w:rPr>
                <w:rFonts w:eastAsiaTheme="minorEastAsia"/>
                <w:color w:val="000000" w:themeColor="text1"/>
                <w:sz w:val="24"/>
              </w:rPr>
              <w:t>-</w:t>
            </w:r>
          </w:p>
        </w:tc>
        <w:tc>
          <w:tcPr>
            <w:tcW w:w="1080" w:type="dxa"/>
            <w:vAlign w:val="center"/>
          </w:tcPr>
          <w:p w:rsidR="00DE2586" w:rsidRDefault="00CC3F76">
            <w:pPr>
              <w:jc w:val="left"/>
            </w:pPr>
            <w:r>
              <w:rPr>
                <w:rFonts w:eastAsiaTheme="minorEastAsia"/>
                <w:color w:val="000000" w:themeColor="text1"/>
                <w:sz w:val="24"/>
              </w:rPr>
              <w:t>-</w:t>
            </w:r>
          </w:p>
        </w:tc>
      </w:tr>
    </w:tbl>
    <w:p w:rsidR="002C2072" w:rsidRPr="00F74F88" w:rsidRDefault="002C2072" w:rsidP="006A7711">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2"/>
    </w:p>
    <w:p w:rsidR="002C2072" w:rsidRPr="00F74F88" w:rsidRDefault="002C2072" w:rsidP="002C2072">
      <w:pPr>
        <w:spacing w:line="360" w:lineRule="auto"/>
        <w:ind w:firstLine="420"/>
        <w:jc w:val="right"/>
        <w:rPr>
          <w:rFonts w:eastAsiaTheme="minorEastAsia"/>
          <w:color w:val="000000" w:themeColor="text1"/>
          <w:sz w:val="24"/>
        </w:rPr>
      </w:pPr>
      <w:bookmarkStart w:id="273"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DE2586">
        <w:tc>
          <w:tcPr>
            <w:tcW w:w="1560" w:type="dxa"/>
            <w:vAlign w:val="center"/>
          </w:tcPr>
          <w:p w:rsidR="00DE2586" w:rsidRDefault="00CC3F76">
            <w:pPr>
              <w:jc w:val="center"/>
            </w:pPr>
            <w:r>
              <w:rPr>
                <w:rFonts w:eastAsiaTheme="minorEastAsia"/>
                <w:color w:val="000000" w:themeColor="text1"/>
                <w:sz w:val="24"/>
              </w:rPr>
              <w:t>长江证券股份有限公司</w:t>
            </w:r>
          </w:p>
        </w:tc>
        <w:tc>
          <w:tcPr>
            <w:tcW w:w="1320" w:type="dxa"/>
            <w:vAlign w:val="center"/>
          </w:tcPr>
          <w:p w:rsidR="00DE2586" w:rsidRDefault="00CC3F76">
            <w:pPr>
              <w:jc w:val="right"/>
            </w:pPr>
            <w:r>
              <w:rPr>
                <w:rFonts w:eastAsiaTheme="minorEastAsia"/>
                <w:color w:val="000000" w:themeColor="text1"/>
                <w:sz w:val="24"/>
              </w:rPr>
              <w:t>114,064,414.57</w:t>
            </w:r>
          </w:p>
        </w:tc>
        <w:tc>
          <w:tcPr>
            <w:tcW w:w="1080" w:type="dxa"/>
            <w:vAlign w:val="center"/>
          </w:tcPr>
          <w:p w:rsidR="00DE2586" w:rsidRDefault="00CC3F76">
            <w:pPr>
              <w:jc w:val="right"/>
            </w:pPr>
            <w:r>
              <w:rPr>
                <w:rFonts w:eastAsiaTheme="minorEastAsia"/>
                <w:color w:val="000000" w:themeColor="text1"/>
                <w:sz w:val="24"/>
              </w:rPr>
              <w:t>100.00%</w:t>
            </w:r>
          </w:p>
        </w:tc>
        <w:tc>
          <w:tcPr>
            <w:tcW w:w="1143" w:type="dxa"/>
            <w:vAlign w:val="center"/>
          </w:tcPr>
          <w:p w:rsidR="00DE2586" w:rsidRDefault="00CC3F76">
            <w:pPr>
              <w:jc w:val="right"/>
            </w:pPr>
            <w:r>
              <w:rPr>
                <w:rFonts w:eastAsiaTheme="minorEastAsia"/>
                <w:color w:val="000000" w:themeColor="text1"/>
                <w:sz w:val="24"/>
              </w:rPr>
              <w:t>26,934,900,000.00</w:t>
            </w:r>
          </w:p>
        </w:tc>
        <w:tc>
          <w:tcPr>
            <w:tcW w:w="1197" w:type="dxa"/>
            <w:vAlign w:val="center"/>
          </w:tcPr>
          <w:p w:rsidR="00DE2586" w:rsidRDefault="00CC3F76">
            <w:pPr>
              <w:jc w:val="right"/>
            </w:pPr>
            <w:r>
              <w:rPr>
                <w:rFonts w:eastAsiaTheme="minorEastAsia"/>
                <w:color w:val="000000" w:themeColor="text1"/>
                <w:sz w:val="24"/>
              </w:rPr>
              <w:t>100.00%</w:t>
            </w:r>
          </w:p>
        </w:tc>
        <w:tc>
          <w:tcPr>
            <w:tcW w:w="1497" w:type="dxa"/>
            <w:vAlign w:val="center"/>
          </w:tcPr>
          <w:p w:rsidR="00DE2586" w:rsidRDefault="00CC3F76">
            <w:pPr>
              <w:jc w:val="right"/>
            </w:pPr>
            <w:r>
              <w:rPr>
                <w:rFonts w:eastAsiaTheme="minorEastAsia"/>
                <w:color w:val="000000" w:themeColor="text1"/>
                <w:sz w:val="24"/>
              </w:rPr>
              <w:t>-</w:t>
            </w:r>
          </w:p>
        </w:tc>
        <w:tc>
          <w:tcPr>
            <w:tcW w:w="1203" w:type="dxa"/>
            <w:vAlign w:val="center"/>
          </w:tcPr>
          <w:p w:rsidR="00DE2586" w:rsidRDefault="00CC3F76">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DE2586" w:rsidRDefault="00CC3F7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DE2586" w:rsidRDefault="00CC3F7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1"/>
      <w:bookmarkStart w:id="275" w:name="_Toc4153614"/>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4"/>
      <w:bookmarkEnd w:id="27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E2586">
        <w:tc>
          <w:tcPr>
            <w:tcW w:w="720" w:type="dxa"/>
            <w:vAlign w:val="center"/>
          </w:tcPr>
          <w:p w:rsidR="00DE2586" w:rsidRDefault="00CC3F76">
            <w:pPr>
              <w:jc w:val="center"/>
            </w:pPr>
            <w:r>
              <w:rPr>
                <w:color w:val="000000"/>
                <w:sz w:val="24"/>
              </w:rPr>
              <w:t>1</w:t>
            </w:r>
          </w:p>
        </w:tc>
        <w:tc>
          <w:tcPr>
            <w:tcW w:w="4320" w:type="dxa"/>
            <w:vAlign w:val="center"/>
          </w:tcPr>
          <w:p w:rsidR="00DE2586" w:rsidRDefault="00CC3F76">
            <w:pPr>
              <w:jc w:val="left"/>
            </w:pPr>
            <w:r>
              <w:rPr>
                <w:color w:val="000000"/>
                <w:sz w:val="24"/>
              </w:rPr>
              <w:t>交银施罗德基金管理有限公司关于旗下基金缴纳增值税的提示性公告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2018-01-03</w:t>
            </w:r>
          </w:p>
        </w:tc>
      </w:tr>
      <w:tr w:rsidR="00DE2586">
        <w:tc>
          <w:tcPr>
            <w:tcW w:w="720" w:type="dxa"/>
            <w:vAlign w:val="center"/>
          </w:tcPr>
          <w:p w:rsidR="00DE2586" w:rsidRDefault="00CC3F76">
            <w:pPr>
              <w:jc w:val="center"/>
            </w:pPr>
            <w:r>
              <w:rPr>
                <w:color w:val="000000"/>
                <w:sz w:val="24"/>
              </w:rPr>
              <w:t>2</w:t>
            </w:r>
          </w:p>
        </w:tc>
        <w:tc>
          <w:tcPr>
            <w:tcW w:w="4320" w:type="dxa"/>
            <w:vAlign w:val="center"/>
          </w:tcPr>
          <w:p w:rsidR="00DE2586" w:rsidRDefault="00CC3F76">
            <w:pPr>
              <w:jc w:val="left"/>
            </w:pPr>
            <w:r>
              <w:rPr>
                <w:color w:val="000000"/>
                <w:sz w:val="24"/>
              </w:rPr>
              <w:t>交银施罗德荣鑫保本混合型证券投资基金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2018-01-22</w:t>
            </w:r>
          </w:p>
        </w:tc>
      </w:tr>
      <w:tr w:rsidR="00DE2586">
        <w:tc>
          <w:tcPr>
            <w:tcW w:w="720" w:type="dxa"/>
            <w:vAlign w:val="center"/>
          </w:tcPr>
          <w:p w:rsidR="00DE2586" w:rsidRDefault="00CC3F76">
            <w:pPr>
              <w:jc w:val="center"/>
            </w:pPr>
            <w:r>
              <w:rPr>
                <w:color w:val="000000"/>
                <w:sz w:val="24"/>
              </w:rPr>
              <w:t>3</w:t>
            </w:r>
          </w:p>
        </w:tc>
        <w:tc>
          <w:tcPr>
            <w:tcW w:w="4320" w:type="dxa"/>
            <w:vAlign w:val="center"/>
          </w:tcPr>
          <w:p w:rsidR="00DE2586" w:rsidRDefault="00CC3F76">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2018-01-31</w:t>
            </w:r>
          </w:p>
        </w:tc>
      </w:tr>
      <w:tr w:rsidR="00DE2586">
        <w:tc>
          <w:tcPr>
            <w:tcW w:w="720" w:type="dxa"/>
            <w:vAlign w:val="center"/>
          </w:tcPr>
          <w:p w:rsidR="00DE2586" w:rsidRDefault="00CC3F76">
            <w:pPr>
              <w:jc w:val="center"/>
            </w:pPr>
            <w:r>
              <w:rPr>
                <w:color w:val="000000"/>
                <w:sz w:val="24"/>
              </w:rPr>
              <w:t>4</w:t>
            </w:r>
          </w:p>
        </w:tc>
        <w:tc>
          <w:tcPr>
            <w:tcW w:w="4320" w:type="dxa"/>
            <w:vAlign w:val="center"/>
          </w:tcPr>
          <w:p w:rsidR="00DE2586" w:rsidRDefault="00CC3F76">
            <w:pPr>
              <w:jc w:val="left"/>
            </w:pPr>
            <w:r>
              <w:rPr>
                <w:color w:val="000000"/>
                <w:sz w:val="24"/>
              </w:rPr>
              <w:t>交银施罗德基金管理有限公司关于交银施罗德荣鑫保本混合型证券投资基金修改基金合同的公告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2018-03-22</w:t>
            </w:r>
          </w:p>
        </w:tc>
      </w:tr>
      <w:tr w:rsidR="00DE2586">
        <w:tc>
          <w:tcPr>
            <w:tcW w:w="720" w:type="dxa"/>
            <w:vAlign w:val="center"/>
          </w:tcPr>
          <w:p w:rsidR="00DE2586" w:rsidRDefault="00CC3F76">
            <w:pPr>
              <w:jc w:val="center"/>
            </w:pPr>
            <w:r>
              <w:rPr>
                <w:color w:val="000000"/>
                <w:sz w:val="24"/>
              </w:rPr>
              <w:t>5</w:t>
            </w:r>
          </w:p>
        </w:tc>
        <w:tc>
          <w:tcPr>
            <w:tcW w:w="4320" w:type="dxa"/>
            <w:vAlign w:val="center"/>
          </w:tcPr>
          <w:p w:rsidR="00DE2586" w:rsidRDefault="00CC3F76">
            <w:pPr>
              <w:jc w:val="left"/>
            </w:pPr>
            <w:r>
              <w:rPr>
                <w:color w:val="000000"/>
                <w:sz w:val="24"/>
              </w:rPr>
              <w:t>交银施罗德荣鑫保本混合型证券投资基金</w:t>
            </w:r>
            <w:r>
              <w:rPr>
                <w:color w:val="000000"/>
                <w:sz w:val="24"/>
              </w:rPr>
              <w:t>2017</w:t>
            </w:r>
            <w:r>
              <w:rPr>
                <w:color w:val="000000"/>
                <w:sz w:val="24"/>
              </w:rPr>
              <w:t>年年度报告摘要</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2018-03-28</w:t>
            </w:r>
          </w:p>
        </w:tc>
      </w:tr>
      <w:tr w:rsidR="00DE2586">
        <w:tc>
          <w:tcPr>
            <w:tcW w:w="720" w:type="dxa"/>
            <w:vAlign w:val="center"/>
          </w:tcPr>
          <w:p w:rsidR="00DE2586" w:rsidRDefault="00CC3F76">
            <w:pPr>
              <w:jc w:val="center"/>
            </w:pPr>
            <w:r>
              <w:rPr>
                <w:color w:val="000000"/>
                <w:sz w:val="24"/>
              </w:rPr>
              <w:t>6</w:t>
            </w:r>
          </w:p>
        </w:tc>
        <w:tc>
          <w:tcPr>
            <w:tcW w:w="4320" w:type="dxa"/>
            <w:vAlign w:val="center"/>
          </w:tcPr>
          <w:p w:rsidR="00DE2586" w:rsidRDefault="00CC3F7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2018-03-30</w:t>
            </w:r>
          </w:p>
        </w:tc>
      </w:tr>
      <w:tr w:rsidR="00DE2586">
        <w:tc>
          <w:tcPr>
            <w:tcW w:w="720" w:type="dxa"/>
            <w:vAlign w:val="center"/>
          </w:tcPr>
          <w:p w:rsidR="00DE2586" w:rsidRDefault="00CC3F76">
            <w:pPr>
              <w:jc w:val="center"/>
            </w:pPr>
            <w:r>
              <w:rPr>
                <w:color w:val="000000"/>
                <w:sz w:val="24"/>
              </w:rPr>
              <w:t>7</w:t>
            </w:r>
          </w:p>
        </w:tc>
        <w:tc>
          <w:tcPr>
            <w:tcW w:w="4320" w:type="dxa"/>
            <w:vAlign w:val="center"/>
          </w:tcPr>
          <w:p w:rsidR="00DE2586" w:rsidRDefault="00CC3F76">
            <w:pPr>
              <w:jc w:val="left"/>
            </w:pPr>
            <w:r>
              <w:rPr>
                <w:color w:val="000000"/>
                <w:sz w:val="24"/>
              </w:rPr>
              <w:t>交银施罗德荣鑫保本混合型证券投资基金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2018-04-21</w:t>
            </w:r>
          </w:p>
        </w:tc>
      </w:tr>
      <w:tr w:rsidR="00DE2586">
        <w:tc>
          <w:tcPr>
            <w:tcW w:w="720" w:type="dxa"/>
            <w:vAlign w:val="center"/>
          </w:tcPr>
          <w:p w:rsidR="00DE2586" w:rsidRDefault="00CC3F76">
            <w:pPr>
              <w:jc w:val="center"/>
            </w:pPr>
            <w:r>
              <w:rPr>
                <w:color w:val="000000"/>
                <w:sz w:val="24"/>
              </w:rPr>
              <w:t>8</w:t>
            </w:r>
          </w:p>
        </w:tc>
        <w:tc>
          <w:tcPr>
            <w:tcW w:w="4320" w:type="dxa"/>
            <w:vAlign w:val="center"/>
          </w:tcPr>
          <w:p w:rsidR="00DE2586" w:rsidRDefault="00CC3F76">
            <w:pPr>
              <w:jc w:val="left"/>
            </w:pPr>
            <w:r>
              <w:rPr>
                <w:color w:val="000000"/>
                <w:sz w:val="24"/>
              </w:rPr>
              <w:t>交银施罗德荣鑫保本混合型证券投资基金（更新）招募说明书摘要（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2018-05-09</w:t>
            </w:r>
          </w:p>
        </w:tc>
      </w:tr>
      <w:tr w:rsidR="00DE2586">
        <w:tc>
          <w:tcPr>
            <w:tcW w:w="720" w:type="dxa"/>
            <w:vAlign w:val="center"/>
          </w:tcPr>
          <w:p w:rsidR="00DE2586" w:rsidRDefault="00CC3F76">
            <w:pPr>
              <w:jc w:val="center"/>
            </w:pPr>
            <w:r>
              <w:rPr>
                <w:color w:val="000000"/>
                <w:sz w:val="24"/>
              </w:rPr>
              <w:t>9</w:t>
            </w:r>
          </w:p>
        </w:tc>
        <w:tc>
          <w:tcPr>
            <w:tcW w:w="4320" w:type="dxa"/>
            <w:vAlign w:val="center"/>
          </w:tcPr>
          <w:p w:rsidR="00DE2586" w:rsidRDefault="00CC3F76">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2018-06-01</w:t>
            </w:r>
          </w:p>
        </w:tc>
      </w:tr>
      <w:tr w:rsidR="00DE2586">
        <w:tc>
          <w:tcPr>
            <w:tcW w:w="720" w:type="dxa"/>
            <w:vAlign w:val="center"/>
          </w:tcPr>
          <w:p w:rsidR="00DE2586" w:rsidRDefault="00CC3F76">
            <w:pPr>
              <w:jc w:val="center"/>
            </w:pPr>
            <w:r>
              <w:rPr>
                <w:color w:val="000000"/>
                <w:sz w:val="24"/>
              </w:rPr>
              <w:t>10</w:t>
            </w:r>
          </w:p>
        </w:tc>
        <w:tc>
          <w:tcPr>
            <w:tcW w:w="4320" w:type="dxa"/>
            <w:vAlign w:val="center"/>
          </w:tcPr>
          <w:p w:rsidR="00DE2586" w:rsidRDefault="00CC3F76">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2018-06-30</w:t>
            </w:r>
          </w:p>
        </w:tc>
      </w:tr>
      <w:tr w:rsidR="00DE2586">
        <w:tc>
          <w:tcPr>
            <w:tcW w:w="720" w:type="dxa"/>
            <w:vAlign w:val="center"/>
          </w:tcPr>
          <w:p w:rsidR="00DE2586" w:rsidRDefault="00CC3F76">
            <w:pPr>
              <w:jc w:val="center"/>
            </w:pPr>
            <w:r>
              <w:rPr>
                <w:color w:val="000000"/>
                <w:sz w:val="24"/>
              </w:rPr>
              <w:t>11</w:t>
            </w:r>
          </w:p>
        </w:tc>
        <w:tc>
          <w:tcPr>
            <w:tcW w:w="4320" w:type="dxa"/>
            <w:vAlign w:val="center"/>
          </w:tcPr>
          <w:p w:rsidR="00DE2586" w:rsidRDefault="00CC3F76">
            <w:pPr>
              <w:jc w:val="left"/>
            </w:pPr>
            <w:r>
              <w:rPr>
                <w:color w:val="000000"/>
                <w:sz w:val="24"/>
              </w:rPr>
              <w:t>交银施罗德基金管理有限公司关于高级管理人员变更的公告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2018-06-30</w:t>
            </w:r>
          </w:p>
        </w:tc>
      </w:tr>
      <w:tr w:rsidR="00DE2586">
        <w:tc>
          <w:tcPr>
            <w:tcW w:w="720" w:type="dxa"/>
            <w:vAlign w:val="center"/>
          </w:tcPr>
          <w:p w:rsidR="00DE2586" w:rsidRDefault="00CC3F76">
            <w:pPr>
              <w:jc w:val="center"/>
            </w:pPr>
            <w:r>
              <w:rPr>
                <w:color w:val="000000"/>
                <w:sz w:val="24"/>
              </w:rPr>
              <w:t>12</w:t>
            </w:r>
          </w:p>
        </w:tc>
        <w:tc>
          <w:tcPr>
            <w:tcW w:w="4320" w:type="dxa"/>
            <w:vAlign w:val="center"/>
          </w:tcPr>
          <w:p w:rsidR="00DE2586" w:rsidRDefault="00CC3F76">
            <w:pPr>
              <w:jc w:val="left"/>
            </w:pPr>
            <w:r>
              <w:rPr>
                <w:color w:val="000000"/>
                <w:sz w:val="24"/>
              </w:rPr>
              <w:t>交银施罗德基金管理有限公司关于暂停浙江金观诚基金销售有限公司办理相关销售业务的公告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2018-07-09</w:t>
            </w:r>
          </w:p>
        </w:tc>
      </w:tr>
      <w:tr w:rsidR="00DE2586">
        <w:tc>
          <w:tcPr>
            <w:tcW w:w="720" w:type="dxa"/>
            <w:vAlign w:val="center"/>
          </w:tcPr>
          <w:p w:rsidR="00DE2586" w:rsidRDefault="00CC3F76">
            <w:pPr>
              <w:jc w:val="center"/>
            </w:pPr>
            <w:r>
              <w:rPr>
                <w:color w:val="000000"/>
                <w:sz w:val="24"/>
              </w:rPr>
              <w:t>13</w:t>
            </w:r>
          </w:p>
        </w:tc>
        <w:tc>
          <w:tcPr>
            <w:tcW w:w="4320" w:type="dxa"/>
            <w:vAlign w:val="center"/>
          </w:tcPr>
          <w:p w:rsidR="00DE2586" w:rsidRDefault="00CC3F76">
            <w:pPr>
              <w:jc w:val="left"/>
            </w:pPr>
            <w:r>
              <w:rPr>
                <w:color w:val="000000"/>
                <w:sz w:val="24"/>
              </w:rPr>
              <w:t>交银施罗德荣鑫保本混合型证券投资基金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2018-07-18</w:t>
            </w:r>
          </w:p>
        </w:tc>
      </w:tr>
      <w:tr w:rsidR="00DE2586">
        <w:tc>
          <w:tcPr>
            <w:tcW w:w="720" w:type="dxa"/>
            <w:vAlign w:val="center"/>
          </w:tcPr>
          <w:p w:rsidR="00DE2586" w:rsidRDefault="00CC3F76">
            <w:pPr>
              <w:jc w:val="center"/>
            </w:pPr>
            <w:r>
              <w:rPr>
                <w:color w:val="000000"/>
                <w:sz w:val="24"/>
              </w:rPr>
              <w:t>14</w:t>
            </w:r>
          </w:p>
        </w:tc>
        <w:tc>
          <w:tcPr>
            <w:tcW w:w="4320" w:type="dxa"/>
            <w:vAlign w:val="center"/>
          </w:tcPr>
          <w:p w:rsidR="00DE2586" w:rsidRDefault="00CC3F76">
            <w:pPr>
              <w:jc w:val="left"/>
            </w:pPr>
            <w:r>
              <w:rPr>
                <w:color w:val="000000"/>
                <w:sz w:val="24"/>
              </w:rPr>
              <w:t>交银施罗德荣鑫保本混合型证券投资基金</w:t>
            </w:r>
            <w:r>
              <w:rPr>
                <w:color w:val="000000"/>
                <w:sz w:val="24"/>
              </w:rPr>
              <w:t>2018</w:t>
            </w:r>
            <w:r>
              <w:rPr>
                <w:color w:val="000000"/>
                <w:sz w:val="24"/>
              </w:rPr>
              <w:t>年半年度报告摘要</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2018-08-25</w:t>
            </w:r>
          </w:p>
        </w:tc>
      </w:tr>
      <w:tr w:rsidR="00DE2586">
        <w:tc>
          <w:tcPr>
            <w:tcW w:w="720" w:type="dxa"/>
            <w:vAlign w:val="center"/>
          </w:tcPr>
          <w:p w:rsidR="00DE2586" w:rsidRDefault="00CC3F76">
            <w:pPr>
              <w:jc w:val="center"/>
            </w:pPr>
            <w:r>
              <w:rPr>
                <w:color w:val="000000"/>
                <w:sz w:val="24"/>
              </w:rPr>
              <w:t>15</w:t>
            </w:r>
          </w:p>
        </w:tc>
        <w:tc>
          <w:tcPr>
            <w:tcW w:w="4320" w:type="dxa"/>
            <w:vAlign w:val="center"/>
          </w:tcPr>
          <w:p w:rsidR="00DE2586" w:rsidRDefault="00CC3F76">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2018-09-17</w:t>
            </w:r>
          </w:p>
        </w:tc>
      </w:tr>
      <w:tr w:rsidR="00DE2586">
        <w:tc>
          <w:tcPr>
            <w:tcW w:w="720" w:type="dxa"/>
            <w:vAlign w:val="center"/>
          </w:tcPr>
          <w:p w:rsidR="00DE2586" w:rsidRDefault="00CC3F76">
            <w:pPr>
              <w:jc w:val="center"/>
            </w:pPr>
            <w:r>
              <w:rPr>
                <w:color w:val="000000"/>
                <w:sz w:val="24"/>
              </w:rPr>
              <w:t>16</w:t>
            </w:r>
          </w:p>
        </w:tc>
        <w:tc>
          <w:tcPr>
            <w:tcW w:w="4320" w:type="dxa"/>
            <w:vAlign w:val="center"/>
          </w:tcPr>
          <w:p w:rsidR="00DE2586" w:rsidRDefault="00CC3F76">
            <w:pPr>
              <w:jc w:val="left"/>
            </w:pPr>
            <w:r>
              <w:rPr>
                <w:color w:val="000000"/>
                <w:sz w:val="24"/>
              </w:rPr>
              <w:t>交银施罗德基金管理有限公司关于督察长任职的公告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2018-09-28</w:t>
            </w:r>
          </w:p>
        </w:tc>
      </w:tr>
      <w:tr w:rsidR="00DE2586">
        <w:tc>
          <w:tcPr>
            <w:tcW w:w="720" w:type="dxa"/>
            <w:vAlign w:val="center"/>
          </w:tcPr>
          <w:p w:rsidR="00DE2586" w:rsidRDefault="00CC3F76">
            <w:pPr>
              <w:jc w:val="center"/>
            </w:pPr>
            <w:r>
              <w:rPr>
                <w:color w:val="000000"/>
                <w:sz w:val="24"/>
              </w:rPr>
              <w:t>17</w:t>
            </w:r>
          </w:p>
        </w:tc>
        <w:tc>
          <w:tcPr>
            <w:tcW w:w="4320" w:type="dxa"/>
            <w:vAlign w:val="center"/>
          </w:tcPr>
          <w:p w:rsidR="00DE2586" w:rsidRDefault="00CC3F7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2018-09-29</w:t>
            </w:r>
          </w:p>
        </w:tc>
      </w:tr>
      <w:tr w:rsidR="00DE2586">
        <w:tc>
          <w:tcPr>
            <w:tcW w:w="720" w:type="dxa"/>
            <w:vAlign w:val="center"/>
          </w:tcPr>
          <w:p w:rsidR="00DE2586" w:rsidRDefault="00CC3F76">
            <w:pPr>
              <w:jc w:val="center"/>
            </w:pPr>
            <w:r>
              <w:rPr>
                <w:color w:val="000000"/>
                <w:sz w:val="24"/>
              </w:rPr>
              <w:t>18</w:t>
            </w:r>
          </w:p>
        </w:tc>
        <w:tc>
          <w:tcPr>
            <w:tcW w:w="4320" w:type="dxa"/>
            <w:vAlign w:val="center"/>
          </w:tcPr>
          <w:p w:rsidR="00DE2586" w:rsidRDefault="00CC3F76">
            <w:pPr>
              <w:jc w:val="left"/>
            </w:pPr>
            <w:r>
              <w:rPr>
                <w:color w:val="000000"/>
                <w:sz w:val="24"/>
              </w:rPr>
              <w:t>交银施罗德基金管理有限公司董事变更公告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2018-10-20</w:t>
            </w:r>
          </w:p>
        </w:tc>
      </w:tr>
      <w:tr w:rsidR="00DE2586">
        <w:tc>
          <w:tcPr>
            <w:tcW w:w="720" w:type="dxa"/>
            <w:vAlign w:val="center"/>
          </w:tcPr>
          <w:p w:rsidR="00DE2586" w:rsidRDefault="00CC3F76">
            <w:pPr>
              <w:jc w:val="center"/>
            </w:pPr>
            <w:r>
              <w:rPr>
                <w:color w:val="000000"/>
                <w:sz w:val="24"/>
              </w:rPr>
              <w:t>19</w:t>
            </w:r>
          </w:p>
        </w:tc>
        <w:tc>
          <w:tcPr>
            <w:tcW w:w="4320" w:type="dxa"/>
            <w:vAlign w:val="center"/>
          </w:tcPr>
          <w:p w:rsidR="00DE2586" w:rsidRDefault="00CC3F76">
            <w:pPr>
              <w:jc w:val="left"/>
            </w:pPr>
            <w:r>
              <w:rPr>
                <w:color w:val="000000"/>
                <w:sz w:val="24"/>
              </w:rPr>
              <w:t>交银施罗德基金管理有限公司关于董事长（法定代表人）变更的公告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2018-10-20</w:t>
            </w:r>
          </w:p>
        </w:tc>
      </w:tr>
      <w:tr w:rsidR="00DE2586">
        <w:tc>
          <w:tcPr>
            <w:tcW w:w="720" w:type="dxa"/>
            <w:vAlign w:val="center"/>
          </w:tcPr>
          <w:p w:rsidR="00DE2586" w:rsidRDefault="00CC3F76">
            <w:pPr>
              <w:jc w:val="center"/>
            </w:pPr>
            <w:r>
              <w:rPr>
                <w:color w:val="000000"/>
                <w:sz w:val="24"/>
              </w:rPr>
              <w:t>20</w:t>
            </w:r>
          </w:p>
        </w:tc>
        <w:tc>
          <w:tcPr>
            <w:tcW w:w="4320" w:type="dxa"/>
            <w:vAlign w:val="center"/>
          </w:tcPr>
          <w:p w:rsidR="00DE2586" w:rsidRDefault="00CC3F76">
            <w:pPr>
              <w:jc w:val="left"/>
            </w:pPr>
            <w:r>
              <w:rPr>
                <w:color w:val="000000"/>
                <w:sz w:val="24"/>
              </w:rPr>
              <w:t>交银施罗德荣鑫保本混合型证券投资基金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2018-10-26</w:t>
            </w:r>
          </w:p>
        </w:tc>
      </w:tr>
      <w:tr w:rsidR="00DE2586">
        <w:tc>
          <w:tcPr>
            <w:tcW w:w="720" w:type="dxa"/>
            <w:vAlign w:val="center"/>
          </w:tcPr>
          <w:p w:rsidR="00DE2586" w:rsidRDefault="00CC3F76">
            <w:pPr>
              <w:jc w:val="center"/>
            </w:pPr>
            <w:r>
              <w:rPr>
                <w:color w:val="000000"/>
                <w:sz w:val="24"/>
              </w:rPr>
              <w:t>21</w:t>
            </w:r>
          </w:p>
        </w:tc>
        <w:tc>
          <w:tcPr>
            <w:tcW w:w="4320" w:type="dxa"/>
            <w:vAlign w:val="center"/>
          </w:tcPr>
          <w:p w:rsidR="00DE2586" w:rsidRDefault="00CC3F76">
            <w:pPr>
              <w:jc w:val="left"/>
            </w:pPr>
            <w:r>
              <w:rPr>
                <w:color w:val="000000"/>
                <w:sz w:val="24"/>
              </w:rPr>
              <w:t>交银施罗德荣鑫保本混合型证券投资基金（更新）招募说明书摘要（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2018-11-09</w:t>
            </w:r>
          </w:p>
        </w:tc>
      </w:tr>
      <w:tr w:rsidR="00DE2586">
        <w:tc>
          <w:tcPr>
            <w:tcW w:w="720" w:type="dxa"/>
            <w:vAlign w:val="center"/>
          </w:tcPr>
          <w:p w:rsidR="00DE2586" w:rsidRDefault="00CC3F76">
            <w:pPr>
              <w:jc w:val="center"/>
            </w:pPr>
            <w:r>
              <w:rPr>
                <w:color w:val="000000"/>
                <w:sz w:val="24"/>
              </w:rPr>
              <w:t>22</w:t>
            </w:r>
          </w:p>
        </w:tc>
        <w:tc>
          <w:tcPr>
            <w:tcW w:w="4320" w:type="dxa"/>
            <w:vAlign w:val="center"/>
          </w:tcPr>
          <w:p w:rsidR="00DE2586" w:rsidRDefault="00CC3F76">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2018-12-17</w:t>
            </w:r>
          </w:p>
        </w:tc>
      </w:tr>
      <w:tr w:rsidR="00DE2586">
        <w:tc>
          <w:tcPr>
            <w:tcW w:w="720" w:type="dxa"/>
            <w:vAlign w:val="center"/>
          </w:tcPr>
          <w:p w:rsidR="00DE2586" w:rsidRDefault="00CC3F76">
            <w:pPr>
              <w:jc w:val="center"/>
            </w:pPr>
            <w:r>
              <w:rPr>
                <w:color w:val="000000"/>
                <w:sz w:val="24"/>
              </w:rPr>
              <w:t>23</w:t>
            </w:r>
          </w:p>
        </w:tc>
        <w:tc>
          <w:tcPr>
            <w:tcW w:w="4320" w:type="dxa"/>
            <w:vAlign w:val="center"/>
          </w:tcPr>
          <w:p w:rsidR="00DE2586" w:rsidRDefault="00CC3F76">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DE2586" w:rsidRDefault="00CC3F76">
            <w:pPr>
              <w:jc w:val="center"/>
            </w:pPr>
            <w:r>
              <w:rPr>
                <w:color w:val="000000"/>
                <w:sz w:val="24"/>
              </w:rPr>
              <w:t>中国证券报、上海证券报、证券时报</w:t>
            </w:r>
          </w:p>
        </w:tc>
        <w:tc>
          <w:tcPr>
            <w:tcW w:w="1629" w:type="dxa"/>
            <w:vAlign w:val="center"/>
          </w:tcPr>
          <w:p w:rsidR="00DE2586" w:rsidRDefault="00CC3F76">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6A7711">
      <w:pPr>
        <w:pStyle w:val="1"/>
        <w:keepNext/>
        <w:keepLines/>
        <w:widowControl w:val="0"/>
        <w:spacing w:beforeLines="100" w:before="312" w:afterLines="100" w:after="312" w:line="360" w:lineRule="auto"/>
        <w:jc w:val="center"/>
        <w:rPr>
          <w:rFonts w:eastAsiaTheme="minorEastAsia"/>
          <w:b/>
          <w:bCs/>
          <w:sz w:val="21"/>
          <w:szCs w:val="21"/>
          <w:lang w:val="en-US"/>
        </w:rPr>
      </w:pPr>
      <w:bookmarkStart w:id="276" w:name="_Toc374532345"/>
      <w:bookmarkStart w:id="277" w:name="_Toc415361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76"/>
      <w:bookmarkEnd w:id="277"/>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E2586">
        <w:tc>
          <w:tcPr>
            <w:tcW w:w="993" w:type="dxa"/>
            <w:vMerge w:val="restart"/>
          </w:tcPr>
          <w:p w:rsidR="00DE2586" w:rsidRDefault="00DE2586"/>
          <w:p w:rsidR="00DE2586" w:rsidRDefault="00CC3F76">
            <w:r>
              <w:rPr>
                <w:rFonts w:ascii="宋体" w:hAnsi="宋体" w:hint="eastAsia"/>
                <w:bCs/>
                <w:color w:val="000000"/>
                <w:kern w:val="0"/>
                <w:szCs w:val="21"/>
              </w:rPr>
              <w:t>机构</w:t>
            </w:r>
          </w:p>
        </w:tc>
        <w:tc>
          <w:tcPr>
            <w:tcW w:w="992" w:type="dxa"/>
            <w:vAlign w:val="center"/>
          </w:tcPr>
          <w:p w:rsidR="00DE2586" w:rsidRDefault="00CC3F76">
            <w:pPr>
              <w:jc w:val="center"/>
            </w:pPr>
            <w:r>
              <w:rPr>
                <w:rFonts w:ascii="宋体" w:hAnsi="宋体"/>
                <w:color w:val="000000"/>
                <w:kern w:val="0"/>
                <w:szCs w:val="21"/>
              </w:rPr>
              <w:t>1</w:t>
            </w:r>
          </w:p>
        </w:tc>
        <w:tc>
          <w:tcPr>
            <w:tcW w:w="1843" w:type="dxa"/>
            <w:vAlign w:val="center"/>
          </w:tcPr>
          <w:p w:rsidR="00DE2586" w:rsidRDefault="00CC3F76">
            <w:pPr>
              <w:jc w:val="center"/>
            </w:pPr>
            <w:r>
              <w:rPr>
                <w:rFonts w:ascii="宋体" w:hAnsi="宋体"/>
                <w:color w:val="000000"/>
                <w:kern w:val="0"/>
                <w:szCs w:val="21"/>
              </w:rPr>
              <w:t>2018/1/1-2018/12/31</w:t>
            </w:r>
          </w:p>
        </w:tc>
        <w:tc>
          <w:tcPr>
            <w:tcW w:w="851" w:type="dxa"/>
            <w:vAlign w:val="center"/>
          </w:tcPr>
          <w:p w:rsidR="00DE2586" w:rsidRDefault="00CC3F76">
            <w:pPr>
              <w:jc w:val="center"/>
            </w:pPr>
            <w:r>
              <w:rPr>
                <w:rFonts w:ascii="宋体" w:hAnsi="宋体"/>
                <w:color w:val="000000"/>
                <w:kern w:val="0"/>
                <w:szCs w:val="21"/>
              </w:rPr>
              <w:t>200,017,000.00</w:t>
            </w:r>
          </w:p>
        </w:tc>
        <w:tc>
          <w:tcPr>
            <w:tcW w:w="850" w:type="dxa"/>
            <w:vAlign w:val="center"/>
          </w:tcPr>
          <w:p w:rsidR="00DE2586" w:rsidRDefault="00CC3F76">
            <w:pPr>
              <w:jc w:val="center"/>
            </w:pPr>
            <w:r>
              <w:rPr>
                <w:rFonts w:ascii="宋体" w:hAnsi="宋体"/>
                <w:color w:val="000000"/>
                <w:kern w:val="0"/>
                <w:szCs w:val="21"/>
              </w:rPr>
              <w:t>-</w:t>
            </w:r>
          </w:p>
        </w:tc>
        <w:tc>
          <w:tcPr>
            <w:tcW w:w="1134" w:type="dxa"/>
            <w:vAlign w:val="center"/>
          </w:tcPr>
          <w:p w:rsidR="00DE2586" w:rsidRDefault="00CC3F76">
            <w:pPr>
              <w:jc w:val="center"/>
            </w:pPr>
            <w:r>
              <w:rPr>
                <w:rFonts w:ascii="宋体" w:hAnsi="宋体"/>
                <w:color w:val="000000"/>
                <w:kern w:val="0"/>
                <w:szCs w:val="21"/>
              </w:rPr>
              <w:t>-</w:t>
            </w:r>
          </w:p>
        </w:tc>
        <w:tc>
          <w:tcPr>
            <w:tcW w:w="1419" w:type="dxa"/>
            <w:vAlign w:val="center"/>
          </w:tcPr>
          <w:p w:rsidR="00DE2586" w:rsidRDefault="00CC3F76">
            <w:pPr>
              <w:jc w:val="center"/>
            </w:pPr>
            <w:r>
              <w:rPr>
                <w:rFonts w:ascii="宋体" w:hAnsi="宋体"/>
                <w:color w:val="000000"/>
                <w:kern w:val="0"/>
                <w:szCs w:val="21"/>
              </w:rPr>
              <w:t>200,017,000.00</w:t>
            </w:r>
          </w:p>
        </w:tc>
        <w:tc>
          <w:tcPr>
            <w:tcW w:w="1130" w:type="dxa"/>
            <w:vAlign w:val="center"/>
          </w:tcPr>
          <w:p w:rsidR="00DE2586" w:rsidRDefault="00CC3F76">
            <w:pPr>
              <w:jc w:val="center"/>
            </w:pPr>
            <w:r>
              <w:rPr>
                <w:rFonts w:ascii="宋体" w:hAnsi="宋体"/>
                <w:color w:val="000000"/>
                <w:kern w:val="0"/>
                <w:szCs w:val="21"/>
              </w:rPr>
              <w:t>35.52%</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DE2586" w:rsidRDefault="00CC3F7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6A7711">
      <w:pPr>
        <w:pStyle w:val="1"/>
        <w:keepNext/>
        <w:keepLines/>
        <w:widowControl w:val="0"/>
        <w:spacing w:beforeLines="100" w:before="312" w:afterLines="100" w:after="312" w:line="288" w:lineRule="auto"/>
        <w:jc w:val="center"/>
        <w:rPr>
          <w:b/>
          <w:bCs/>
          <w:color w:val="000000"/>
          <w:szCs w:val="24"/>
        </w:rPr>
      </w:pPr>
      <w:bookmarkStart w:id="278" w:name="_Toc225500055"/>
      <w:bookmarkStart w:id="279" w:name="_Toc361324903"/>
      <w:bookmarkStart w:id="280" w:name="_Toc415361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78"/>
      <w:bookmarkEnd w:id="279"/>
      <w:bookmarkEnd w:id="28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4"/>
      <w:bookmarkStart w:id="282" w:name="_Toc415361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1"/>
      <w:bookmarkEnd w:id="282"/>
    </w:p>
    <w:p w:rsidR="00DE2586" w:rsidRDefault="00CC3F76">
      <w:pPr>
        <w:spacing w:before="29" w:line="288" w:lineRule="auto"/>
        <w:rPr>
          <w:color w:val="000000"/>
          <w:sz w:val="24"/>
        </w:rPr>
      </w:pPr>
      <w:r>
        <w:rPr>
          <w:color w:val="000000"/>
          <w:sz w:val="24"/>
        </w:rPr>
        <w:t>1</w:t>
      </w:r>
      <w:r>
        <w:rPr>
          <w:color w:val="000000"/>
          <w:sz w:val="24"/>
        </w:rPr>
        <w:t>、中国证监会准予交银施罗德荣鑫保本混合型证券投资基金募集注册的文件；</w:t>
      </w:r>
      <w:r>
        <w:rPr>
          <w:color w:val="000000"/>
          <w:sz w:val="24"/>
        </w:rPr>
        <w:t xml:space="preserve"> </w:t>
      </w:r>
    </w:p>
    <w:p w:rsidR="00DE2586" w:rsidRDefault="00CC3F76">
      <w:pPr>
        <w:spacing w:before="29" w:line="288" w:lineRule="auto"/>
        <w:rPr>
          <w:color w:val="000000"/>
          <w:sz w:val="24"/>
        </w:rPr>
      </w:pPr>
      <w:r>
        <w:rPr>
          <w:color w:val="000000"/>
          <w:sz w:val="24"/>
        </w:rPr>
        <w:t>2</w:t>
      </w:r>
      <w:r>
        <w:rPr>
          <w:color w:val="000000"/>
          <w:sz w:val="24"/>
        </w:rPr>
        <w:t>、《交银施罗德荣鑫保本混合型证券投资基金基金合同》；</w:t>
      </w:r>
      <w:r>
        <w:rPr>
          <w:color w:val="000000"/>
          <w:sz w:val="24"/>
        </w:rPr>
        <w:t xml:space="preserve"> </w:t>
      </w:r>
    </w:p>
    <w:p w:rsidR="00DE2586" w:rsidRDefault="00CC3F76">
      <w:pPr>
        <w:spacing w:before="29" w:line="288" w:lineRule="auto"/>
        <w:rPr>
          <w:color w:val="000000"/>
          <w:sz w:val="24"/>
        </w:rPr>
      </w:pPr>
      <w:r>
        <w:rPr>
          <w:color w:val="000000"/>
          <w:sz w:val="24"/>
        </w:rPr>
        <w:t>3</w:t>
      </w:r>
      <w:r>
        <w:rPr>
          <w:color w:val="000000"/>
          <w:sz w:val="24"/>
        </w:rPr>
        <w:t>、《交银施罗德荣鑫保本混合型证券投资基金招募说明书》；</w:t>
      </w:r>
      <w:r>
        <w:rPr>
          <w:color w:val="000000"/>
          <w:sz w:val="24"/>
        </w:rPr>
        <w:t xml:space="preserve"> </w:t>
      </w:r>
    </w:p>
    <w:p w:rsidR="00DE2586" w:rsidRDefault="00CC3F76">
      <w:pPr>
        <w:spacing w:before="29" w:line="288" w:lineRule="auto"/>
        <w:rPr>
          <w:color w:val="000000"/>
          <w:sz w:val="24"/>
        </w:rPr>
      </w:pPr>
      <w:r>
        <w:rPr>
          <w:color w:val="000000"/>
          <w:sz w:val="24"/>
        </w:rPr>
        <w:t>4</w:t>
      </w:r>
      <w:r>
        <w:rPr>
          <w:color w:val="000000"/>
          <w:sz w:val="24"/>
        </w:rPr>
        <w:t>、《交银施罗德荣鑫保本混合型证券投资基金托管协议》；</w:t>
      </w:r>
      <w:r>
        <w:rPr>
          <w:color w:val="000000"/>
          <w:sz w:val="24"/>
        </w:rPr>
        <w:t xml:space="preserve"> </w:t>
      </w:r>
    </w:p>
    <w:p w:rsidR="00DE2586" w:rsidRDefault="00CC3F76">
      <w:pPr>
        <w:spacing w:before="29" w:line="288" w:lineRule="auto"/>
        <w:rPr>
          <w:color w:val="000000"/>
          <w:sz w:val="24"/>
        </w:rPr>
      </w:pPr>
      <w:r>
        <w:rPr>
          <w:color w:val="000000"/>
          <w:sz w:val="24"/>
        </w:rPr>
        <w:t>5</w:t>
      </w:r>
      <w:r>
        <w:rPr>
          <w:color w:val="000000"/>
          <w:sz w:val="24"/>
        </w:rPr>
        <w:t>、关于申请募集注册交银施罗德荣鑫保本混合型证券投资基金的法律意见书；</w:t>
      </w:r>
      <w:r>
        <w:rPr>
          <w:color w:val="000000"/>
          <w:sz w:val="24"/>
        </w:rPr>
        <w:t xml:space="preserve"> </w:t>
      </w:r>
    </w:p>
    <w:p w:rsidR="00DE2586" w:rsidRDefault="00CC3F76">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DE2586" w:rsidRDefault="00CC3F76">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DE2586" w:rsidRDefault="00CC3F76">
      <w:pPr>
        <w:spacing w:before="29" w:line="288" w:lineRule="auto"/>
        <w:rPr>
          <w:color w:val="000000"/>
          <w:sz w:val="24"/>
        </w:rPr>
      </w:pPr>
      <w:r>
        <w:rPr>
          <w:color w:val="000000"/>
          <w:sz w:val="24"/>
        </w:rPr>
        <w:t>8</w:t>
      </w:r>
      <w:r>
        <w:rPr>
          <w:color w:val="000000"/>
          <w:sz w:val="24"/>
        </w:rPr>
        <w:t>、《交银施罗德荣鑫保本混合型证券投资基金保证合同》；</w:t>
      </w:r>
    </w:p>
    <w:p w:rsidR="001A59F9" w:rsidRPr="00E037C7" w:rsidRDefault="001A59F9" w:rsidP="002465E2">
      <w:pPr>
        <w:spacing w:before="29" w:line="288" w:lineRule="auto"/>
        <w:rPr>
          <w:color w:val="000000"/>
          <w:sz w:val="24"/>
        </w:rPr>
      </w:pPr>
      <w:r w:rsidRPr="00E037C7">
        <w:rPr>
          <w:color w:val="000000"/>
          <w:sz w:val="24"/>
        </w:rPr>
        <w:t>9</w:t>
      </w:r>
      <w:r w:rsidRPr="00E037C7">
        <w:rPr>
          <w:color w:val="000000"/>
          <w:sz w:val="24"/>
        </w:rPr>
        <w:t>、报告期内交银施罗德荣鑫保本混合型证券投资基金在指定报刊上各项公告的原稿。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5"/>
      <w:bookmarkStart w:id="284" w:name="_Toc4153618"/>
      <w:r w:rsidRPr="00761CD0">
        <w:rPr>
          <w:rFonts w:ascii="Times New Roman" w:hAnsi="Times New Roman"/>
          <w:kern w:val="0"/>
          <w:szCs w:val="24"/>
        </w:rPr>
        <w:t>13.2</w:t>
      </w:r>
      <w:r w:rsidRPr="00761CD0">
        <w:rPr>
          <w:rFonts w:ascii="Times New Roman" w:hAnsi="Times New Roman" w:hint="eastAsia"/>
          <w:kern w:val="0"/>
          <w:szCs w:val="24"/>
        </w:rPr>
        <w:t>存放地点</w:t>
      </w:r>
      <w:bookmarkEnd w:id="283"/>
      <w:bookmarkEnd w:id="28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6"/>
      <w:bookmarkStart w:id="286" w:name="_Toc4153619"/>
      <w:r w:rsidRPr="00761CD0">
        <w:rPr>
          <w:rFonts w:ascii="Times New Roman" w:hAnsi="Times New Roman"/>
          <w:kern w:val="0"/>
          <w:szCs w:val="24"/>
        </w:rPr>
        <w:t>13.3</w:t>
      </w:r>
      <w:r w:rsidRPr="00761CD0">
        <w:rPr>
          <w:rFonts w:ascii="Times New Roman" w:hAnsi="Times New Roman" w:hint="eastAsia"/>
          <w:kern w:val="0"/>
          <w:szCs w:val="24"/>
        </w:rPr>
        <w:t>查阅方式</w:t>
      </w:r>
      <w:bookmarkEnd w:id="285"/>
      <w:bookmarkEnd w:id="286"/>
    </w:p>
    <w:p w:rsidR="00DE2586" w:rsidRDefault="00CC3F7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2E" w:rsidRDefault="0052272E">
      <w:r>
        <w:separator/>
      </w:r>
    </w:p>
  </w:endnote>
  <w:endnote w:type="continuationSeparator" w:id="0">
    <w:p w:rsidR="0052272E" w:rsidRDefault="0052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73" w:rsidRDefault="005D63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73" w:rsidRDefault="005D63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73" w:rsidRDefault="005D637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73" w:rsidRDefault="00E86944" w:rsidP="00C03B3A">
    <w:pPr>
      <w:pStyle w:val="a7"/>
      <w:framePr w:wrap="around" w:vAnchor="text" w:hAnchor="margin" w:xAlign="right" w:y="1"/>
      <w:rPr>
        <w:rStyle w:val="a8"/>
      </w:rPr>
    </w:pPr>
    <w:r>
      <w:rPr>
        <w:rStyle w:val="a8"/>
      </w:rPr>
      <w:fldChar w:fldCharType="begin"/>
    </w:r>
    <w:r w:rsidR="005D6373">
      <w:rPr>
        <w:rStyle w:val="a8"/>
      </w:rPr>
      <w:instrText xml:space="preserve">PAGE  </w:instrText>
    </w:r>
    <w:r>
      <w:rPr>
        <w:rStyle w:val="a8"/>
      </w:rPr>
      <w:fldChar w:fldCharType="end"/>
    </w:r>
  </w:p>
  <w:p w:rsidR="005D6373" w:rsidRDefault="005D6373"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73" w:rsidRDefault="005D6373" w:rsidP="00C03B3A">
    <w:pPr>
      <w:pStyle w:val="a7"/>
      <w:ind w:right="360"/>
      <w:jc w:val="center"/>
    </w:pPr>
    <w:r>
      <w:rPr>
        <w:rFonts w:hint="eastAsia"/>
        <w:kern w:val="0"/>
        <w:szCs w:val="21"/>
      </w:rPr>
      <w:t>第</w:t>
    </w:r>
    <w:r w:rsidR="00E86944">
      <w:rPr>
        <w:kern w:val="0"/>
        <w:szCs w:val="21"/>
      </w:rPr>
      <w:fldChar w:fldCharType="begin"/>
    </w:r>
    <w:r>
      <w:rPr>
        <w:kern w:val="0"/>
        <w:szCs w:val="21"/>
      </w:rPr>
      <w:instrText xml:space="preserve"> PAGE </w:instrText>
    </w:r>
    <w:r w:rsidR="00E86944">
      <w:rPr>
        <w:kern w:val="0"/>
        <w:szCs w:val="21"/>
      </w:rPr>
      <w:fldChar w:fldCharType="separate"/>
    </w:r>
    <w:r w:rsidR="00786873">
      <w:rPr>
        <w:noProof/>
        <w:kern w:val="0"/>
        <w:szCs w:val="21"/>
      </w:rPr>
      <w:t>17</w:t>
    </w:r>
    <w:r w:rsidR="00E86944">
      <w:rPr>
        <w:kern w:val="0"/>
        <w:szCs w:val="21"/>
      </w:rPr>
      <w:fldChar w:fldCharType="end"/>
    </w:r>
    <w:r>
      <w:rPr>
        <w:rFonts w:hint="eastAsia"/>
        <w:kern w:val="0"/>
        <w:szCs w:val="21"/>
      </w:rPr>
      <w:t>页共</w:t>
    </w:r>
    <w:r w:rsidR="00E86944">
      <w:rPr>
        <w:kern w:val="0"/>
        <w:szCs w:val="21"/>
      </w:rPr>
      <w:fldChar w:fldCharType="begin"/>
    </w:r>
    <w:r>
      <w:rPr>
        <w:kern w:val="0"/>
        <w:szCs w:val="21"/>
      </w:rPr>
      <w:instrText xml:space="preserve"> NUMPAGES </w:instrText>
    </w:r>
    <w:r w:rsidR="00E86944">
      <w:rPr>
        <w:kern w:val="0"/>
        <w:szCs w:val="21"/>
      </w:rPr>
      <w:fldChar w:fldCharType="separate"/>
    </w:r>
    <w:r w:rsidR="00786873">
      <w:rPr>
        <w:noProof/>
        <w:kern w:val="0"/>
        <w:szCs w:val="21"/>
      </w:rPr>
      <w:t>57</w:t>
    </w:r>
    <w:r w:rsidR="00E8694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2E" w:rsidRDefault="0052272E">
      <w:r>
        <w:separator/>
      </w:r>
    </w:p>
  </w:footnote>
  <w:footnote w:type="continuationSeparator" w:id="0">
    <w:p w:rsidR="0052272E" w:rsidRDefault="00522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73" w:rsidRDefault="005D637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73" w:rsidRPr="001528ED" w:rsidRDefault="005D6373" w:rsidP="001528ED">
    <w:pPr>
      <w:spacing w:before="29" w:line="288" w:lineRule="auto"/>
      <w:jc w:val="right"/>
      <w:rPr>
        <w:rFonts w:eastAsiaTheme="minorEastAsia"/>
        <w:sz w:val="24"/>
      </w:rPr>
    </w:pPr>
    <w:r w:rsidRPr="00D3445F">
      <w:rPr>
        <w:rFonts w:eastAsiaTheme="minorEastAsia"/>
        <w:sz w:val="24"/>
      </w:rPr>
      <w:t>交银施罗德荣鑫保本混合型证券投资基金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73" w:rsidRDefault="005D63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06E6"/>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534"/>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DA1"/>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7AB"/>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80"/>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7B7"/>
    <w:rsid w:val="00357B15"/>
    <w:rsid w:val="00357BA8"/>
    <w:rsid w:val="00357BB3"/>
    <w:rsid w:val="003602EA"/>
    <w:rsid w:val="00360905"/>
    <w:rsid w:val="00360F81"/>
    <w:rsid w:val="00361E7E"/>
    <w:rsid w:val="00361F81"/>
    <w:rsid w:val="00362AA7"/>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2C"/>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0E9"/>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0D2"/>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23B"/>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596E"/>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27E"/>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72E"/>
    <w:rsid w:val="00522921"/>
    <w:rsid w:val="00524A64"/>
    <w:rsid w:val="00525740"/>
    <w:rsid w:val="00525C3A"/>
    <w:rsid w:val="00525E59"/>
    <w:rsid w:val="005278EE"/>
    <w:rsid w:val="00530A21"/>
    <w:rsid w:val="005310DD"/>
    <w:rsid w:val="00531851"/>
    <w:rsid w:val="005318CC"/>
    <w:rsid w:val="0053199E"/>
    <w:rsid w:val="005319F6"/>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092E"/>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0D"/>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6D53"/>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373"/>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47EF6"/>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11"/>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2A88"/>
    <w:rsid w:val="00753490"/>
    <w:rsid w:val="0075359E"/>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6873"/>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97C3A"/>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166B"/>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2A39"/>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BB2"/>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9FE"/>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99C"/>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4D99"/>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8F6"/>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A7EB7"/>
    <w:rsid w:val="00BB0187"/>
    <w:rsid w:val="00BB0604"/>
    <w:rsid w:val="00BB06E7"/>
    <w:rsid w:val="00BB0831"/>
    <w:rsid w:val="00BB0E56"/>
    <w:rsid w:val="00BB1EB3"/>
    <w:rsid w:val="00BB2147"/>
    <w:rsid w:val="00BB2678"/>
    <w:rsid w:val="00BB3077"/>
    <w:rsid w:val="00BB33A8"/>
    <w:rsid w:val="00BB3927"/>
    <w:rsid w:val="00BB3D8C"/>
    <w:rsid w:val="00BB4695"/>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0F6"/>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4B96"/>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3F76"/>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42F"/>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586"/>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577D3"/>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944"/>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0D0"/>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18F"/>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4FF"/>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96"/>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9BE272C7-90CA-46AE-A037-42607652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190DA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190DA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90DA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90DA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90DA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90DA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72303300">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100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009D-A25E-4B1D-9C63-54833C74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57</Pages>
  <Words>7345</Words>
  <Characters>41873</Characters>
  <Application>Microsoft Office Word</Application>
  <DocSecurity>0</DocSecurity>
  <Lines>348</Lines>
  <Paragraphs>98</Paragraphs>
  <ScaleCrop>false</ScaleCrop>
  <Company/>
  <LinksUpToDate>false</LinksUpToDate>
  <CharactersWithSpaces>49120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41</cp:revision>
  <cp:lastPrinted>2007-07-19T00:46:00Z</cp:lastPrinted>
  <dcterms:created xsi:type="dcterms:W3CDTF">2019-03-04T09:51:00Z</dcterms:created>
  <dcterms:modified xsi:type="dcterms:W3CDTF">2019-03-26T06:49:00Z</dcterms:modified>
</cp:coreProperties>
</file>