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交银施罗德丰享收益债券型证券投资基金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2018</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2018</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中信银行股份有限公司</w:t>
      </w:r>
    </w:p>
    <w:p w:rsidR="001A59F9" w:rsidRPr="00996E0F" w:rsidRDefault="001A59F9" w:rsidP="00996E0F">
      <w:pPr>
        <w:spacing w:before="29" w:line="288" w:lineRule="auto"/>
        <w:ind w:firstLineChars="900" w:firstLine="2168"/>
        <w:rPr>
          <w:b/>
          <w:color w:val="000000"/>
          <w:sz w:val="24"/>
        </w:rPr>
        <w:sectPr w:rsidR="001A59F9" w:rsidRPr="00996E0F" w:rsidSect="00FB291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96E0F">
        <w:rPr>
          <w:rFonts w:hint="eastAsia"/>
          <w:b/>
          <w:color w:val="000000"/>
          <w:sz w:val="24"/>
        </w:rPr>
        <w:t>报告送出日期：</w:t>
      </w:r>
      <w:r w:rsidRPr="00996E0F">
        <w:rPr>
          <w:b/>
          <w:color w:val="000000"/>
          <w:sz w:val="24"/>
        </w:rPr>
        <w:t>二〇一九年三月二十七日</w:t>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中信银行股份有限公司</w:t>
      </w:r>
      <w:r w:rsidRPr="00C97222">
        <w:rPr>
          <w:rFonts w:hint="eastAsia"/>
          <w:color w:val="000000"/>
          <w:sz w:val="24"/>
        </w:rPr>
        <w:t>根据本基金合同规定，于</w:t>
      </w:r>
      <w:r w:rsidRPr="00C97222">
        <w:rPr>
          <w:color w:val="000000"/>
          <w:sz w:val="24"/>
        </w:rPr>
        <w:t>2019</w:t>
      </w:r>
      <w:r w:rsidRPr="00C97222">
        <w:rPr>
          <w:color w:val="000000"/>
          <w:sz w:val="24"/>
        </w:rPr>
        <w:t>年</w:t>
      </w:r>
      <w:r w:rsidRPr="00C97222">
        <w:rPr>
          <w:color w:val="000000"/>
          <w:sz w:val="24"/>
        </w:rPr>
        <w:t>3</w:t>
      </w:r>
      <w:r w:rsidRPr="00C97222">
        <w:rPr>
          <w:color w:val="000000"/>
          <w:sz w:val="24"/>
        </w:rPr>
        <w:t>月</w:t>
      </w:r>
      <w:r w:rsidRPr="00C97222">
        <w:rPr>
          <w:color w:val="000000"/>
          <w:sz w:val="24"/>
        </w:rPr>
        <w:t>26</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r w:rsidR="00200AF2" w:rsidRPr="00C97222">
        <w:rPr>
          <w:rFonts w:hint="eastAsia"/>
          <w:color w:val="000000"/>
          <w:sz w:val="24"/>
        </w:rPr>
        <w:t>作</w:t>
      </w:r>
      <w:r w:rsidRPr="00C97222">
        <w:rPr>
          <w:rFonts w:hint="eastAsia"/>
          <w:color w:val="000000"/>
          <w:sz w:val="24"/>
        </w:rPr>
        <w:t>出投资决策前应仔细阅读本基金的招募说明书及其更新。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2018</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交银丰享收益债券</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519748</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519748</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契约型，本基金在基金合同生效之日起两年（含两年）的期间内封闭式运作（按照基金合同的约定提前转换基金运作方式的除外），封闭期结束后转为开放式运作</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2015</w:t>
            </w:r>
            <w:r w:rsidRPr="00E25C2A">
              <w:rPr>
                <w:sz w:val="24"/>
              </w:rPr>
              <w:t>年</w:t>
            </w:r>
            <w:r w:rsidRPr="00E25C2A">
              <w:rPr>
                <w:sz w:val="24"/>
              </w:rPr>
              <w:t>1</w:t>
            </w:r>
            <w:r w:rsidRPr="00E25C2A">
              <w:rPr>
                <w:sz w:val="24"/>
              </w:rPr>
              <w:t>月</w:t>
            </w:r>
            <w:r w:rsidRPr="00E25C2A">
              <w:rPr>
                <w:sz w:val="24"/>
              </w:rPr>
              <w:t>19</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中信银行股份有限公司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26,783,125.54</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交银丰享收益债券</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交银丰享收益债券</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519746</w:t>
            </w:r>
          </w:p>
        </w:tc>
        <w:tc>
          <w:tcPr>
            <w:tcW w:w="2902" w:type="dxa"/>
            <w:vAlign w:val="center"/>
          </w:tcPr>
          <w:p w:rsidR="009511B7" w:rsidRPr="000E4C40" w:rsidRDefault="009511B7" w:rsidP="00C57BBB">
            <w:pPr>
              <w:spacing w:before="29" w:line="288" w:lineRule="auto"/>
              <w:jc w:val="left"/>
              <w:rPr>
                <w:sz w:val="24"/>
              </w:rPr>
            </w:pPr>
            <w:r w:rsidRPr="000E4C40">
              <w:rPr>
                <w:sz w:val="24"/>
              </w:rPr>
              <w:t>519748</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13,733,982.68</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13,049,142.86</w:t>
            </w:r>
            <w:r w:rsidRPr="00E25C2A">
              <w:rPr>
                <w:rFonts w:hint="eastAsia"/>
                <w:sz w:val="24"/>
              </w:rPr>
              <w:t>份</w:t>
            </w:r>
          </w:p>
        </w:tc>
      </w:tr>
    </w:tbl>
    <w:p w:rsidR="001A59F9" w:rsidRPr="00E25C2A" w:rsidRDefault="001A59F9" w:rsidP="001C7BA6">
      <w:pPr>
        <w:spacing w:before="29" w:line="288" w:lineRule="auto"/>
        <w:jc w:val="left"/>
        <w:rPr>
          <w:kern w:val="0"/>
          <w:sz w:val="24"/>
        </w:rPr>
      </w:pPr>
      <w:r w:rsidRPr="00E25C2A">
        <w:rPr>
          <w:kern w:val="0"/>
          <w:sz w:val="24"/>
        </w:rPr>
        <w:t>注：本基金自</w:t>
      </w:r>
      <w:r w:rsidRPr="00E25C2A">
        <w:rPr>
          <w:kern w:val="0"/>
          <w:sz w:val="24"/>
        </w:rPr>
        <w:t>2017</w:t>
      </w:r>
      <w:r w:rsidRPr="00E25C2A">
        <w:rPr>
          <w:kern w:val="0"/>
          <w:sz w:val="24"/>
        </w:rPr>
        <w:t>年</w:t>
      </w:r>
      <w:r w:rsidRPr="00E25C2A">
        <w:rPr>
          <w:kern w:val="0"/>
          <w:sz w:val="24"/>
        </w:rPr>
        <w:t>1</w:t>
      </w:r>
      <w:r w:rsidRPr="00E25C2A">
        <w:rPr>
          <w:kern w:val="0"/>
          <w:sz w:val="24"/>
        </w:rPr>
        <w:t>月</w:t>
      </w:r>
      <w:r w:rsidRPr="00E25C2A">
        <w:rPr>
          <w:kern w:val="0"/>
          <w:sz w:val="24"/>
        </w:rPr>
        <w:t>20</w:t>
      </w:r>
      <w:r w:rsidRPr="00E25C2A">
        <w:rPr>
          <w:kern w:val="0"/>
          <w:sz w:val="24"/>
        </w:rPr>
        <w:t>日起转为开放式运作，并增加开通</w:t>
      </w:r>
      <w:r w:rsidRPr="00E25C2A">
        <w:rPr>
          <w:kern w:val="0"/>
          <w:sz w:val="24"/>
        </w:rPr>
        <w:t>A</w:t>
      </w:r>
      <w:r w:rsidRPr="00E25C2A">
        <w:rPr>
          <w:kern w:val="0"/>
          <w:sz w:val="24"/>
        </w:rPr>
        <w:t>类基金份额。</w:t>
      </w: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在严格控制风险和追求资产稳健增值的基础上</w:t>
            </w:r>
            <w:r w:rsidRPr="00CF0C3D">
              <w:rPr>
                <w:sz w:val="24"/>
              </w:rPr>
              <w:t>,</w:t>
            </w:r>
            <w:r w:rsidRPr="00CF0C3D">
              <w:rPr>
                <w:sz w:val="24"/>
              </w:rPr>
              <w:t>力求获得高于业绩基准的投资收益。</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AB4D21" w:rsidRDefault="00345560">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AB4D21" w:rsidRDefault="00AB4D21">
            <w:pPr>
              <w:spacing w:before="29" w:line="288" w:lineRule="auto"/>
              <w:rPr>
                <w:sz w:val="24"/>
              </w:rPr>
            </w:pPr>
          </w:p>
          <w:p w:rsidR="001A59F9" w:rsidRPr="00CF0C3D" w:rsidRDefault="001A59F9" w:rsidP="00CF0C3D">
            <w:pPr>
              <w:spacing w:before="29" w:line="288" w:lineRule="auto"/>
              <w:rPr>
                <w:sz w:val="24"/>
              </w:rPr>
            </w:pPr>
            <w:r w:rsidRPr="00CF0C3D">
              <w:rPr>
                <w:sz w:val="24"/>
              </w:rPr>
              <w:t>开放期内投资策略：本基金充分发挥基金管理人的研究优势，融合规范化的基本面研究和严谨的信用分析，在</w:t>
            </w:r>
            <w:r w:rsidRPr="00CF0C3D">
              <w:rPr>
                <w:sz w:val="24"/>
              </w:rPr>
              <w:lastRenderedPageBreak/>
              <w:t>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lastRenderedPageBreak/>
              <w:t>业绩比较基准</w:t>
            </w:r>
          </w:p>
        </w:tc>
        <w:tc>
          <w:tcPr>
            <w:tcW w:w="5879" w:type="dxa"/>
            <w:vAlign w:val="center"/>
          </w:tcPr>
          <w:p w:rsidR="00AB4D21" w:rsidRDefault="00345560">
            <w:pPr>
              <w:spacing w:before="29" w:line="288" w:lineRule="auto"/>
              <w:rPr>
                <w:sz w:val="24"/>
              </w:rPr>
            </w:pPr>
            <w:r>
              <w:rPr>
                <w:sz w:val="24"/>
              </w:rPr>
              <w:t>封闭期内业绩比较基准：两年期银行定期存款税后收益率</w:t>
            </w:r>
          </w:p>
          <w:p w:rsidR="001A59F9" w:rsidRPr="00CF0C3D" w:rsidRDefault="001A59F9" w:rsidP="00CF0C3D">
            <w:pPr>
              <w:spacing w:before="29" w:line="288" w:lineRule="auto"/>
              <w:rPr>
                <w:sz w:val="24"/>
              </w:rPr>
            </w:pPr>
            <w:r w:rsidRPr="00CF0C3D">
              <w:rPr>
                <w:sz w:val="24"/>
              </w:rPr>
              <w:t>开放期内业绩比较基准：中债综合全价指数</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本基金是一只债券型基金，其风险与预期收益高于货币市场基金，低于混合型基金和股票型基金，属于证券投资基金中中等风险的品种。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中信银行股份有限公司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李修滨</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4006800000</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lixiubin@citicbank.com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95558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010-85230024</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1278"/>
        <w:gridCol w:w="1276"/>
        <w:gridCol w:w="1278"/>
        <w:gridCol w:w="1419"/>
        <w:gridCol w:w="1233"/>
      </w:tblGrid>
      <w:tr w:rsidR="009E2529" w:rsidRPr="00A942AC" w:rsidTr="009E2529">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428"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p>
        </w:tc>
      </w:tr>
      <w:tr w:rsidR="009E2529" w:rsidRPr="00A942AC" w:rsidTr="009E2529">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交银丰享收益债券</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交银丰享收益债券</w:t>
            </w:r>
            <w:r w:rsidRPr="00A942AC">
              <w:rPr>
                <w:szCs w:val="21"/>
              </w:rPr>
              <w:t>C</w:t>
            </w:r>
          </w:p>
        </w:tc>
        <w:tc>
          <w:tcPr>
            <w:tcW w:w="687" w:type="pct"/>
            <w:vAlign w:val="center"/>
          </w:tcPr>
          <w:p w:rsidR="00B44DBC" w:rsidRPr="00A942AC" w:rsidRDefault="00B44DBC" w:rsidP="009E2529">
            <w:pPr>
              <w:spacing w:before="29" w:line="288" w:lineRule="auto"/>
              <w:rPr>
                <w:szCs w:val="21"/>
              </w:rPr>
            </w:pPr>
            <w:r w:rsidRPr="00A942AC">
              <w:rPr>
                <w:szCs w:val="21"/>
              </w:rPr>
              <w:t>交银丰享收益债券</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交银丰享收益债券</w:t>
            </w:r>
            <w:r w:rsidRPr="00A942AC">
              <w:rPr>
                <w:szCs w:val="21"/>
              </w:rPr>
              <w:t>C</w:t>
            </w:r>
          </w:p>
        </w:tc>
        <w:tc>
          <w:tcPr>
            <w:tcW w:w="762" w:type="pct"/>
            <w:vAlign w:val="center"/>
          </w:tcPr>
          <w:p w:rsidR="00B44DBC" w:rsidRPr="00A942AC" w:rsidRDefault="00B44DBC" w:rsidP="009E2529">
            <w:pPr>
              <w:spacing w:before="29" w:line="288" w:lineRule="auto"/>
              <w:rPr>
                <w:szCs w:val="21"/>
              </w:rPr>
            </w:pPr>
            <w:r w:rsidRPr="00A942AC">
              <w:rPr>
                <w:szCs w:val="21"/>
              </w:rPr>
              <w:t>交银丰享收益债券</w:t>
            </w:r>
            <w:r w:rsidRPr="00A942AC">
              <w:rPr>
                <w:szCs w:val="21"/>
              </w:rPr>
              <w:t>A</w:t>
            </w:r>
          </w:p>
        </w:tc>
        <w:tc>
          <w:tcPr>
            <w:tcW w:w="666" w:type="pct"/>
            <w:vAlign w:val="center"/>
          </w:tcPr>
          <w:p w:rsidR="00B44DBC" w:rsidRPr="00A942AC" w:rsidRDefault="00B44DBC" w:rsidP="009E2529">
            <w:pPr>
              <w:spacing w:before="29" w:line="288" w:lineRule="auto"/>
              <w:rPr>
                <w:szCs w:val="21"/>
              </w:rPr>
            </w:pPr>
            <w:r w:rsidRPr="00A942AC">
              <w:rPr>
                <w:szCs w:val="21"/>
              </w:rPr>
              <w:t>交银丰享收益债券</w:t>
            </w:r>
            <w:r w:rsidRPr="00A942AC">
              <w:rPr>
                <w:szCs w:val="21"/>
              </w:rPr>
              <w:t>C</w:t>
            </w:r>
          </w:p>
        </w:tc>
      </w:tr>
      <w:tr w:rsidR="009E2529" w:rsidRPr="00A942AC" w:rsidTr="009E2529">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16,996,176.84</w:t>
            </w:r>
          </w:p>
        </w:tc>
        <w:tc>
          <w:tcPr>
            <w:tcW w:w="688" w:type="pct"/>
            <w:vAlign w:val="center"/>
          </w:tcPr>
          <w:p w:rsidR="00B44DBC" w:rsidRPr="00A942AC" w:rsidRDefault="00B44DBC" w:rsidP="00674CBD">
            <w:pPr>
              <w:spacing w:before="29" w:line="288" w:lineRule="auto"/>
              <w:jc w:val="right"/>
              <w:rPr>
                <w:szCs w:val="21"/>
              </w:rPr>
            </w:pPr>
            <w:r w:rsidRPr="00A942AC">
              <w:rPr>
                <w:szCs w:val="21"/>
              </w:rPr>
              <w:t>900,768.48</w:t>
            </w:r>
          </w:p>
        </w:tc>
        <w:tc>
          <w:tcPr>
            <w:tcW w:w="687" w:type="pct"/>
            <w:vAlign w:val="center"/>
          </w:tcPr>
          <w:p w:rsidR="00B44DBC" w:rsidRPr="00A942AC" w:rsidRDefault="00B44DBC" w:rsidP="00674CBD">
            <w:pPr>
              <w:spacing w:before="29" w:line="288" w:lineRule="auto"/>
              <w:jc w:val="right"/>
              <w:rPr>
                <w:szCs w:val="21"/>
              </w:rPr>
            </w:pPr>
            <w:r w:rsidRPr="00A942AC">
              <w:rPr>
                <w:szCs w:val="21"/>
              </w:rPr>
              <w:t>8,084,958.99</w:t>
            </w:r>
          </w:p>
        </w:tc>
        <w:tc>
          <w:tcPr>
            <w:tcW w:w="688" w:type="pct"/>
            <w:vAlign w:val="center"/>
          </w:tcPr>
          <w:p w:rsidR="00B44DBC" w:rsidRPr="00A942AC" w:rsidRDefault="00B44DBC" w:rsidP="00674CBD">
            <w:pPr>
              <w:spacing w:before="29" w:line="288" w:lineRule="auto"/>
              <w:jc w:val="right"/>
              <w:rPr>
                <w:szCs w:val="21"/>
              </w:rPr>
            </w:pPr>
            <w:r w:rsidRPr="00A942AC">
              <w:rPr>
                <w:szCs w:val="21"/>
              </w:rPr>
              <w:t>1,006,093.38</w:t>
            </w:r>
          </w:p>
        </w:tc>
        <w:tc>
          <w:tcPr>
            <w:tcW w:w="762" w:type="pct"/>
            <w:vAlign w:val="center"/>
          </w:tcPr>
          <w:p w:rsidR="00B44DBC" w:rsidRPr="00A942AC" w:rsidRDefault="00B44DBC" w:rsidP="00674CBD">
            <w:pPr>
              <w:spacing w:before="29" w:line="288" w:lineRule="auto"/>
              <w:jc w:val="right"/>
              <w:rPr>
                <w:szCs w:val="21"/>
              </w:rPr>
            </w:pPr>
            <w:r w:rsidRPr="00A942AC">
              <w:rPr>
                <w:szCs w:val="21"/>
              </w:rPr>
              <w:t>-</w:t>
            </w:r>
          </w:p>
        </w:tc>
        <w:tc>
          <w:tcPr>
            <w:tcW w:w="666" w:type="pct"/>
            <w:vAlign w:val="center"/>
          </w:tcPr>
          <w:p w:rsidR="00B44DBC" w:rsidRPr="00A942AC" w:rsidRDefault="00B44DBC" w:rsidP="00674CBD">
            <w:pPr>
              <w:spacing w:before="29" w:line="288" w:lineRule="auto"/>
              <w:jc w:val="right"/>
              <w:rPr>
                <w:szCs w:val="21"/>
              </w:rPr>
            </w:pPr>
            <w:r w:rsidRPr="00A942AC">
              <w:rPr>
                <w:szCs w:val="21"/>
              </w:rPr>
              <w:t>15,304,125.81</w:t>
            </w:r>
          </w:p>
        </w:tc>
      </w:tr>
      <w:tr w:rsidR="009E2529" w:rsidRPr="00A942AC" w:rsidTr="009E2529">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17,389,202.00</w:t>
            </w:r>
          </w:p>
        </w:tc>
        <w:tc>
          <w:tcPr>
            <w:tcW w:w="688" w:type="pct"/>
            <w:vAlign w:val="center"/>
          </w:tcPr>
          <w:p w:rsidR="00B44DBC" w:rsidRPr="00A942AC" w:rsidRDefault="00B44DBC" w:rsidP="00674CBD">
            <w:pPr>
              <w:spacing w:before="29" w:line="288" w:lineRule="auto"/>
              <w:jc w:val="right"/>
              <w:rPr>
                <w:szCs w:val="21"/>
              </w:rPr>
            </w:pPr>
            <w:r w:rsidRPr="00A942AC">
              <w:rPr>
                <w:szCs w:val="21"/>
              </w:rPr>
              <w:t>689,109.35</w:t>
            </w:r>
          </w:p>
        </w:tc>
        <w:tc>
          <w:tcPr>
            <w:tcW w:w="687" w:type="pct"/>
            <w:vAlign w:val="center"/>
          </w:tcPr>
          <w:p w:rsidR="00B44DBC" w:rsidRPr="00A942AC" w:rsidRDefault="00B44DBC" w:rsidP="00674CBD">
            <w:pPr>
              <w:spacing w:before="29" w:line="288" w:lineRule="auto"/>
              <w:jc w:val="right"/>
              <w:rPr>
                <w:szCs w:val="21"/>
              </w:rPr>
            </w:pPr>
            <w:r w:rsidRPr="00A942AC">
              <w:rPr>
                <w:szCs w:val="21"/>
              </w:rPr>
              <w:t>7,638,456.88</w:t>
            </w:r>
          </w:p>
        </w:tc>
        <w:tc>
          <w:tcPr>
            <w:tcW w:w="688" w:type="pct"/>
            <w:vAlign w:val="center"/>
          </w:tcPr>
          <w:p w:rsidR="00B44DBC" w:rsidRPr="00A942AC" w:rsidRDefault="00B44DBC" w:rsidP="00674CBD">
            <w:pPr>
              <w:spacing w:before="29" w:line="288" w:lineRule="auto"/>
              <w:jc w:val="right"/>
              <w:rPr>
                <w:szCs w:val="21"/>
              </w:rPr>
            </w:pPr>
            <w:r w:rsidRPr="00A942AC">
              <w:rPr>
                <w:szCs w:val="21"/>
              </w:rPr>
              <w:t>1,216,976.38</w:t>
            </w:r>
          </w:p>
        </w:tc>
        <w:tc>
          <w:tcPr>
            <w:tcW w:w="762" w:type="pct"/>
            <w:vAlign w:val="center"/>
          </w:tcPr>
          <w:p w:rsidR="00B44DBC" w:rsidRPr="00A942AC" w:rsidRDefault="00B44DBC" w:rsidP="00674CBD">
            <w:pPr>
              <w:spacing w:before="29" w:line="288" w:lineRule="auto"/>
              <w:jc w:val="right"/>
              <w:rPr>
                <w:szCs w:val="21"/>
              </w:rPr>
            </w:pPr>
            <w:r w:rsidRPr="00A942AC">
              <w:rPr>
                <w:szCs w:val="21"/>
              </w:rPr>
              <w:t>-</w:t>
            </w:r>
          </w:p>
        </w:tc>
        <w:tc>
          <w:tcPr>
            <w:tcW w:w="666" w:type="pct"/>
            <w:vAlign w:val="center"/>
          </w:tcPr>
          <w:p w:rsidR="00B44DBC" w:rsidRPr="00A942AC" w:rsidRDefault="00B44DBC" w:rsidP="00674CBD">
            <w:pPr>
              <w:spacing w:before="29" w:line="288" w:lineRule="auto"/>
              <w:jc w:val="right"/>
              <w:rPr>
                <w:szCs w:val="21"/>
              </w:rPr>
            </w:pPr>
            <w:r w:rsidRPr="00A942AC">
              <w:rPr>
                <w:szCs w:val="21"/>
              </w:rPr>
              <w:t>6,634,285.44</w:t>
            </w:r>
          </w:p>
        </w:tc>
      </w:tr>
      <w:tr w:rsidR="008C42FD" w:rsidRPr="00A942AC" w:rsidTr="009E2529">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0.0895</w:t>
            </w:r>
          </w:p>
        </w:tc>
        <w:tc>
          <w:tcPr>
            <w:tcW w:w="688" w:type="pct"/>
            <w:vAlign w:val="center"/>
          </w:tcPr>
          <w:p w:rsidR="008C42FD" w:rsidRPr="00E52F9F" w:rsidRDefault="008C42FD" w:rsidP="00AF7CB5">
            <w:pPr>
              <w:spacing w:before="29" w:line="288" w:lineRule="auto"/>
              <w:jc w:val="right"/>
              <w:rPr>
                <w:szCs w:val="21"/>
              </w:rPr>
            </w:pPr>
            <w:r w:rsidRPr="00E52F9F">
              <w:rPr>
                <w:szCs w:val="21"/>
              </w:rPr>
              <w:t>0.0415</w:t>
            </w:r>
          </w:p>
        </w:tc>
        <w:tc>
          <w:tcPr>
            <w:tcW w:w="687" w:type="pct"/>
            <w:vAlign w:val="center"/>
          </w:tcPr>
          <w:p w:rsidR="008C42FD" w:rsidRPr="00E52F9F" w:rsidRDefault="008C42FD" w:rsidP="00AF7CB5">
            <w:pPr>
              <w:spacing w:before="29" w:line="288" w:lineRule="auto"/>
              <w:jc w:val="right"/>
              <w:rPr>
                <w:szCs w:val="21"/>
              </w:rPr>
            </w:pPr>
            <w:r w:rsidRPr="00E52F9F">
              <w:rPr>
                <w:szCs w:val="21"/>
              </w:rPr>
              <w:t>0.0282</w:t>
            </w:r>
          </w:p>
        </w:tc>
        <w:tc>
          <w:tcPr>
            <w:tcW w:w="688" w:type="pct"/>
            <w:vAlign w:val="center"/>
          </w:tcPr>
          <w:p w:rsidR="008C42FD" w:rsidRPr="00E52F9F" w:rsidRDefault="008C42FD" w:rsidP="00AF7CB5">
            <w:pPr>
              <w:spacing w:before="29" w:line="288" w:lineRule="auto"/>
              <w:jc w:val="right"/>
              <w:rPr>
                <w:szCs w:val="21"/>
              </w:rPr>
            </w:pPr>
            <w:r w:rsidRPr="00E52F9F">
              <w:rPr>
                <w:szCs w:val="21"/>
              </w:rPr>
              <w:t>0.0175</w:t>
            </w:r>
          </w:p>
        </w:tc>
        <w:tc>
          <w:tcPr>
            <w:tcW w:w="762" w:type="pct"/>
            <w:vAlign w:val="center"/>
          </w:tcPr>
          <w:p w:rsidR="008C42FD" w:rsidRPr="00E52F9F" w:rsidRDefault="008C42FD" w:rsidP="00AF7CB5">
            <w:pPr>
              <w:spacing w:before="29" w:line="288" w:lineRule="auto"/>
              <w:jc w:val="right"/>
              <w:rPr>
                <w:szCs w:val="21"/>
              </w:rPr>
            </w:pPr>
            <w:r w:rsidRPr="00E52F9F">
              <w:rPr>
                <w:szCs w:val="21"/>
              </w:rPr>
              <w:t>-</w:t>
            </w:r>
          </w:p>
        </w:tc>
        <w:tc>
          <w:tcPr>
            <w:tcW w:w="666" w:type="pct"/>
            <w:vAlign w:val="center"/>
          </w:tcPr>
          <w:p w:rsidR="008C42FD" w:rsidRPr="00E52F9F" w:rsidRDefault="008C42FD" w:rsidP="00AF7CB5">
            <w:pPr>
              <w:spacing w:before="29" w:line="288" w:lineRule="auto"/>
              <w:jc w:val="right"/>
              <w:rPr>
                <w:szCs w:val="21"/>
              </w:rPr>
            </w:pPr>
            <w:r w:rsidRPr="00E52F9F">
              <w:rPr>
                <w:szCs w:val="21"/>
              </w:rPr>
              <w:t>0.0256</w:t>
            </w:r>
          </w:p>
        </w:tc>
      </w:tr>
      <w:tr w:rsidR="00A62AD8" w:rsidRPr="00A942AC" w:rsidTr="009E2529">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4.38%</w:t>
            </w:r>
          </w:p>
        </w:tc>
        <w:tc>
          <w:tcPr>
            <w:tcW w:w="688" w:type="pct"/>
            <w:vAlign w:val="center"/>
          </w:tcPr>
          <w:p w:rsidR="00A62AD8" w:rsidRPr="00A942AC" w:rsidRDefault="00A62AD8" w:rsidP="00674CBD">
            <w:pPr>
              <w:spacing w:before="29" w:line="288" w:lineRule="auto"/>
              <w:jc w:val="right"/>
              <w:rPr>
                <w:szCs w:val="21"/>
              </w:rPr>
            </w:pPr>
            <w:r w:rsidRPr="00A942AC">
              <w:rPr>
                <w:szCs w:val="21"/>
              </w:rPr>
              <w:t>4.03%</w:t>
            </w:r>
          </w:p>
        </w:tc>
        <w:tc>
          <w:tcPr>
            <w:tcW w:w="687" w:type="pct"/>
            <w:vAlign w:val="center"/>
          </w:tcPr>
          <w:p w:rsidR="00A62AD8" w:rsidRPr="00A942AC" w:rsidRDefault="00A62AD8" w:rsidP="00674CBD">
            <w:pPr>
              <w:spacing w:before="29" w:line="288" w:lineRule="auto"/>
              <w:jc w:val="right"/>
              <w:rPr>
                <w:szCs w:val="21"/>
              </w:rPr>
            </w:pPr>
            <w:r w:rsidRPr="00A942AC">
              <w:rPr>
                <w:szCs w:val="21"/>
              </w:rPr>
              <w:t>101.09%</w:t>
            </w:r>
          </w:p>
        </w:tc>
        <w:tc>
          <w:tcPr>
            <w:tcW w:w="688" w:type="pct"/>
            <w:vAlign w:val="center"/>
          </w:tcPr>
          <w:p w:rsidR="00A62AD8" w:rsidRPr="00A942AC" w:rsidRDefault="00A62AD8" w:rsidP="00674CBD">
            <w:pPr>
              <w:spacing w:before="29" w:line="288" w:lineRule="auto"/>
              <w:jc w:val="right"/>
              <w:rPr>
                <w:szCs w:val="21"/>
              </w:rPr>
            </w:pPr>
            <w:r w:rsidRPr="00A942AC">
              <w:rPr>
                <w:szCs w:val="21"/>
              </w:rPr>
              <w:t>2.20%</w:t>
            </w:r>
          </w:p>
        </w:tc>
        <w:tc>
          <w:tcPr>
            <w:tcW w:w="762" w:type="pct"/>
            <w:vAlign w:val="center"/>
          </w:tcPr>
          <w:p w:rsidR="00A62AD8" w:rsidRPr="00A942AC" w:rsidRDefault="00A62AD8" w:rsidP="00674CBD">
            <w:pPr>
              <w:spacing w:before="29" w:line="288" w:lineRule="auto"/>
              <w:jc w:val="right"/>
              <w:rPr>
                <w:szCs w:val="21"/>
              </w:rPr>
            </w:pPr>
            <w:r w:rsidRPr="00A942AC">
              <w:rPr>
                <w:szCs w:val="21"/>
              </w:rPr>
              <w:t>-</w:t>
            </w:r>
          </w:p>
        </w:tc>
        <w:tc>
          <w:tcPr>
            <w:tcW w:w="666" w:type="pct"/>
            <w:vAlign w:val="center"/>
          </w:tcPr>
          <w:p w:rsidR="00A62AD8" w:rsidRPr="00A942AC" w:rsidRDefault="00A62AD8" w:rsidP="00674CBD">
            <w:pPr>
              <w:spacing w:before="29" w:line="288" w:lineRule="auto"/>
              <w:jc w:val="right"/>
              <w:rPr>
                <w:szCs w:val="21"/>
              </w:rPr>
            </w:pPr>
            <w:r w:rsidRPr="00A942AC">
              <w:rPr>
                <w:szCs w:val="21"/>
              </w:rPr>
              <w:t>2.46%</w:t>
            </w:r>
          </w:p>
        </w:tc>
      </w:tr>
      <w:tr w:rsidR="00B44DBC" w:rsidRPr="00A942AC" w:rsidTr="00765DB7">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431"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765DB7" w:rsidRPr="00A942AC" w:rsidTr="00765DB7">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交银丰享收益债券</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交银丰享收益债券</w:t>
            </w:r>
            <w:r w:rsidRPr="00A942AC">
              <w:rPr>
                <w:szCs w:val="21"/>
              </w:rPr>
              <w:t>C</w:t>
            </w:r>
          </w:p>
        </w:tc>
        <w:tc>
          <w:tcPr>
            <w:tcW w:w="687" w:type="pct"/>
            <w:vAlign w:val="center"/>
          </w:tcPr>
          <w:p w:rsidR="00B44DBC" w:rsidRPr="00A942AC" w:rsidRDefault="00B44DBC" w:rsidP="00FF4447">
            <w:pPr>
              <w:spacing w:before="29" w:line="288" w:lineRule="auto"/>
              <w:rPr>
                <w:szCs w:val="21"/>
              </w:rPr>
            </w:pPr>
            <w:r w:rsidRPr="00A942AC">
              <w:rPr>
                <w:szCs w:val="21"/>
              </w:rPr>
              <w:t>交银丰享收益债券</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交银丰享收益债券</w:t>
            </w:r>
            <w:r w:rsidRPr="00A942AC">
              <w:rPr>
                <w:szCs w:val="21"/>
              </w:rPr>
              <w:t>C</w:t>
            </w:r>
          </w:p>
        </w:tc>
        <w:tc>
          <w:tcPr>
            <w:tcW w:w="764" w:type="pct"/>
            <w:vAlign w:val="center"/>
          </w:tcPr>
          <w:p w:rsidR="00B44DBC" w:rsidRPr="00A942AC" w:rsidRDefault="00B44DBC" w:rsidP="00FF4447">
            <w:pPr>
              <w:spacing w:before="29" w:line="288" w:lineRule="auto"/>
              <w:rPr>
                <w:szCs w:val="21"/>
              </w:rPr>
            </w:pPr>
            <w:r w:rsidRPr="00A942AC">
              <w:rPr>
                <w:szCs w:val="21"/>
              </w:rPr>
              <w:t>交银丰享收益债券</w:t>
            </w:r>
            <w:r w:rsidRPr="00A942AC">
              <w:rPr>
                <w:szCs w:val="21"/>
              </w:rPr>
              <w:t>A</w:t>
            </w:r>
          </w:p>
        </w:tc>
        <w:tc>
          <w:tcPr>
            <w:tcW w:w="667" w:type="pct"/>
            <w:vAlign w:val="center"/>
          </w:tcPr>
          <w:p w:rsidR="00B44DBC" w:rsidRPr="00A942AC" w:rsidRDefault="00B44DBC" w:rsidP="00FF4447">
            <w:pPr>
              <w:spacing w:before="29" w:line="288" w:lineRule="auto"/>
              <w:rPr>
                <w:szCs w:val="21"/>
              </w:rPr>
            </w:pPr>
            <w:r w:rsidRPr="00A942AC">
              <w:rPr>
                <w:szCs w:val="21"/>
              </w:rPr>
              <w:t>交银丰享收益债券</w:t>
            </w:r>
            <w:r w:rsidRPr="00A942AC">
              <w:rPr>
                <w:szCs w:val="21"/>
              </w:rPr>
              <w:t>C</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1.016</w:t>
            </w:r>
          </w:p>
        </w:tc>
        <w:tc>
          <w:tcPr>
            <w:tcW w:w="687" w:type="pct"/>
            <w:vAlign w:val="center"/>
          </w:tcPr>
          <w:p w:rsidR="00B44DBC" w:rsidRPr="00A942AC" w:rsidRDefault="00B44DBC" w:rsidP="00674CBD">
            <w:pPr>
              <w:spacing w:before="29" w:line="288" w:lineRule="auto"/>
              <w:jc w:val="right"/>
              <w:rPr>
                <w:szCs w:val="21"/>
              </w:rPr>
            </w:pPr>
            <w:r w:rsidRPr="00A942AC">
              <w:rPr>
                <w:szCs w:val="21"/>
              </w:rPr>
              <w:t>0.052</w:t>
            </w:r>
          </w:p>
        </w:tc>
        <w:tc>
          <w:tcPr>
            <w:tcW w:w="687" w:type="pct"/>
            <w:vAlign w:val="center"/>
          </w:tcPr>
          <w:p w:rsidR="00B44DBC" w:rsidRPr="00A942AC" w:rsidRDefault="00B44DBC" w:rsidP="00674CBD">
            <w:pPr>
              <w:spacing w:before="29" w:line="288" w:lineRule="auto"/>
              <w:jc w:val="right"/>
              <w:rPr>
                <w:szCs w:val="21"/>
              </w:rPr>
            </w:pPr>
            <w:r w:rsidRPr="00A942AC">
              <w:rPr>
                <w:szCs w:val="21"/>
              </w:rPr>
              <w:t>1.002</w:t>
            </w:r>
          </w:p>
        </w:tc>
        <w:tc>
          <w:tcPr>
            <w:tcW w:w="687" w:type="pct"/>
            <w:vAlign w:val="center"/>
          </w:tcPr>
          <w:p w:rsidR="00B44DBC" w:rsidRPr="00A942AC" w:rsidRDefault="00B44DBC" w:rsidP="00674CBD">
            <w:pPr>
              <w:spacing w:before="29" w:line="288" w:lineRule="auto"/>
              <w:jc w:val="right"/>
              <w:rPr>
                <w:szCs w:val="21"/>
              </w:rPr>
            </w:pPr>
            <w:r w:rsidRPr="00A942AC">
              <w:rPr>
                <w:szCs w:val="21"/>
              </w:rPr>
              <w:t>0.017</w:t>
            </w:r>
          </w:p>
        </w:tc>
        <w:tc>
          <w:tcPr>
            <w:tcW w:w="764" w:type="pct"/>
            <w:vAlign w:val="center"/>
          </w:tcPr>
          <w:p w:rsidR="00B44DBC" w:rsidRPr="00A942AC" w:rsidRDefault="00B44DBC" w:rsidP="00674CBD">
            <w:pPr>
              <w:spacing w:before="29" w:line="288" w:lineRule="auto"/>
              <w:jc w:val="right"/>
              <w:rPr>
                <w:szCs w:val="21"/>
              </w:rPr>
            </w:pPr>
            <w:r w:rsidRPr="00A942AC">
              <w:rPr>
                <w:szCs w:val="21"/>
              </w:rPr>
              <w:t>-</w:t>
            </w:r>
          </w:p>
        </w:tc>
        <w:tc>
          <w:tcPr>
            <w:tcW w:w="667" w:type="pct"/>
            <w:vAlign w:val="center"/>
          </w:tcPr>
          <w:p w:rsidR="00B44DBC" w:rsidRPr="00A942AC" w:rsidRDefault="00B44DBC" w:rsidP="00674CBD">
            <w:pPr>
              <w:spacing w:before="29" w:line="288" w:lineRule="auto"/>
              <w:jc w:val="right"/>
              <w:rPr>
                <w:szCs w:val="21"/>
              </w:rPr>
            </w:pPr>
            <w:r w:rsidRPr="00A942AC">
              <w:rPr>
                <w:szCs w:val="21"/>
              </w:rPr>
              <w:t>0.007</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27,682,006.47</w:t>
            </w:r>
          </w:p>
        </w:tc>
        <w:tc>
          <w:tcPr>
            <w:tcW w:w="687" w:type="pct"/>
            <w:vAlign w:val="center"/>
          </w:tcPr>
          <w:p w:rsidR="00B44DBC" w:rsidRPr="00A942AC" w:rsidRDefault="00B44DBC" w:rsidP="00674CBD">
            <w:pPr>
              <w:spacing w:before="29" w:line="288" w:lineRule="auto"/>
              <w:jc w:val="right"/>
              <w:rPr>
                <w:szCs w:val="21"/>
              </w:rPr>
            </w:pPr>
            <w:r w:rsidRPr="00A942AC">
              <w:rPr>
                <w:szCs w:val="21"/>
              </w:rPr>
              <w:t>13,722,566.24</w:t>
            </w:r>
          </w:p>
        </w:tc>
        <w:tc>
          <w:tcPr>
            <w:tcW w:w="687" w:type="pct"/>
            <w:vAlign w:val="center"/>
          </w:tcPr>
          <w:p w:rsidR="00B44DBC" w:rsidRPr="00A942AC" w:rsidRDefault="00B44DBC" w:rsidP="00674CBD">
            <w:pPr>
              <w:spacing w:before="29" w:line="288" w:lineRule="auto"/>
              <w:jc w:val="right"/>
              <w:rPr>
                <w:szCs w:val="21"/>
              </w:rPr>
            </w:pPr>
            <w:r w:rsidRPr="00A942AC">
              <w:rPr>
                <w:szCs w:val="21"/>
              </w:rPr>
              <w:t>523,127,548.32</w:t>
            </w:r>
          </w:p>
        </w:tc>
        <w:tc>
          <w:tcPr>
            <w:tcW w:w="687" w:type="pct"/>
            <w:vAlign w:val="center"/>
          </w:tcPr>
          <w:p w:rsidR="00B44DBC" w:rsidRPr="00A942AC" w:rsidRDefault="00B44DBC" w:rsidP="00674CBD">
            <w:pPr>
              <w:spacing w:before="29" w:line="288" w:lineRule="auto"/>
              <w:jc w:val="right"/>
              <w:rPr>
                <w:szCs w:val="21"/>
              </w:rPr>
            </w:pPr>
            <w:r w:rsidRPr="00A942AC">
              <w:rPr>
                <w:szCs w:val="21"/>
              </w:rPr>
              <w:t>27,557,300.93</w:t>
            </w:r>
          </w:p>
        </w:tc>
        <w:tc>
          <w:tcPr>
            <w:tcW w:w="764" w:type="pct"/>
            <w:vAlign w:val="center"/>
          </w:tcPr>
          <w:p w:rsidR="00B44DBC" w:rsidRPr="00A942AC" w:rsidRDefault="00B44DBC" w:rsidP="00674CBD">
            <w:pPr>
              <w:spacing w:before="29" w:line="288" w:lineRule="auto"/>
              <w:jc w:val="right"/>
              <w:rPr>
                <w:szCs w:val="21"/>
              </w:rPr>
            </w:pPr>
            <w:r w:rsidRPr="00A942AC">
              <w:rPr>
                <w:szCs w:val="21"/>
              </w:rPr>
              <w:t>-</w:t>
            </w:r>
          </w:p>
        </w:tc>
        <w:tc>
          <w:tcPr>
            <w:tcW w:w="667" w:type="pct"/>
            <w:vAlign w:val="center"/>
          </w:tcPr>
          <w:p w:rsidR="00B44DBC" w:rsidRPr="00A942AC" w:rsidRDefault="00B44DBC" w:rsidP="00674CBD">
            <w:pPr>
              <w:spacing w:before="29" w:line="288" w:lineRule="auto"/>
              <w:jc w:val="right"/>
              <w:rPr>
                <w:szCs w:val="21"/>
              </w:rPr>
            </w:pPr>
            <w:r w:rsidRPr="00A942AC">
              <w:rPr>
                <w:szCs w:val="21"/>
              </w:rPr>
              <w:t>261,424,852.85</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2.016</w:t>
            </w:r>
          </w:p>
        </w:tc>
        <w:tc>
          <w:tcPr>
            <w:tcW w:w="687" w:type="pct"/>
            <w:vAlign w:val="center"/>
          </w:tcPr>
          <w:p w:rsidR="00B44DBC" w:rsidRPr="00A942AC" w:rsidRDefault="00B44DBC" w:rsidP="00674CBD">
            <w:pPr>
              <w:spacing w:before="29" w:line="288" w:lineRule="auto"/>
              <w:jc w:val="right"/>
              <w:rPr>
                <w:szCs w:val="21"/>
              </w:rPr>
            </w:pPr>
            <w:r w:rsidRPr="00A942AC">
              <w:rPr>
                <w:szCs w:val="21"/>
              </w:rPr>
              <w:t>1.052</w:t>
            </w:r>
          </w:p>
        </w:tc>
        <w:tc>
          <w:tcPr>
            <w:tcW w:w="687" w:type="pct"/>
            <w:vAlign w:val="center"/>
          </w:tcPr>
          <w:p w:rsidR="00B44DBC" w:rsidRPr="00A942AC" w:rsidRDefault="00B44DBC" w:rsidP="00674CBD">
            <w:pPr>
              <w:spacing w:before="29" w:line="288" w:lineRule="auto"/>
              <w:jc w:val="right"/>
              <w:rPr>
                <w:szCs w:val="21"/>
              </w:rPr>
            </w:pPr>
            <w:r w:rsidRPr="00A942AC">
              <w:rPr>
                <w:szCs w:val="21"/>
              </w:rPr>
              <w:t>2.009</w:t>
            </w:r>
          </w:p>
        </w:tc>
        <w:tc>
          <w:tcPr>
            <w:tcW w:w="687" w:type="pct"/>
            <w:vAlign w:val="center"/>
          </w:tcPr>
          <w:p w:rsidR="00B44DBC" w:rsidRPr="00A942AC" w:rsidRDefault="00B44DBC" w:rsidP="00674CBD">
            <w:pPr>
              <w:spacing w:before="29" w:line="288" w:lineRule="auto"/>
              <w:jc w:val="right"/>
              <w:rPr>
                <w:szCs w:val="21"/>
              </w:rPr>
            </w:pPr>
            <w:r w:rsidRPr="00A942AC">
              <w:rPr>
                <w:szCs w:val="21"/>
              </w:rPr>
              <w:t>1.021</w:t>
            </w:r>
          </w:p>
        </w:tc>
        <w:tc>
          <w:tcPr>
            <w:tcW w:w="764" w:type="pct"/>
            <w:vAlign w:val="center"/>
          </w:tcPr>
          <w:p w:rsidR="00B44DBC" w:rsidRPr="00A942AC" w:rsidRDefault="00B44DBC" w:rsidP="00674CBD">
            <w:pPr>
              <w:spacing w:before="29" w:line="288" w:lineRule="auto"/>
              <w:jc w:val="right"/>
              <w:rPr>
                <w:szCs w:val="21"/>
              </w:rPr>
            </w:pPr>
            <w:r w:rsidRPr="00A942AC">
              <w:rPr>
                <w:szCs w:val="21"/>
              </w:rPr>
              <w:t>-</w:t>
            </w:r>
          </w:p>
        </w:tc>
        <w:tc>
          <w:tcPr>
            <w:tcW w:w="667" w:type="pct"/>
            <w:vAlign w:val="center"/>
          </w:tcPr>
          <w:p w:rsidR="00B44DBC" w:rsidRPr="00A942AC" w:rsidRDefault="00B44DBC" w:rsidP="00674CBD">
            <w:pPr>
              <w:spacing w:before="29" w:line="288" w:lineRule="auto"/>
              <w:jc w:val="right"/>
              <w:rPr>
                <w:szCs w:val="21"/>
              </w:rPr>
            </w:pPr>
            <w:r w:rsidRPr="00A942AC">
              <w:rPr>
                <w:szCs w:val="21"/>
              </w:rPr>
              <w:t>1.008</w:t>
            </w:r>
          </w:p>
        </w:tc>
      </w:tr>
    </w:tbl>
    <w:p w:rsidR="00AB4D21" w:rsidRDefault="00345560">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AB4D21" w:rsidRDefault="00345560">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交银丰享收益债券</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AB4D21">
        <w:tc>
          <w:tcPr>
            <w:tcW w:w="1286" w:type="dxa"/>
            <w:vAlign w:val="center"/>
          </w:tcPr>
          <w:p w:rsidR="00AB4D21" w:rsidRDefault="00345560">
            <w:pPr>
              <w:jc w:val="left"/>
            </w:pPr>
            <w:r>
              <w:rPr>
                <w:color w:val="000000"/>
                <w:sz w:val="24"/>
              </w:rPr>
              <w:t>过去三个月</w:t>
            </w:r>
          </w:p>
        </w:tc>
        <w:tc>
          <w:tcPr>
            <w:tcW w:w="1286" w:type="dxa"/>
            <w:vAlign w:val="center"/>
          </w:tcPr>
          <w:p w:rsidR="00AB4D21" w:rsidRDefault="00345560">
            <w:pPr>
              <w:jc w:val="center"/>
            </w:pPr>
            <w:r>
              <w:rPr>
                <w:color w:val="000000"/>
                <w:sz w:val="24"/>
              </w:rPr>
              <w:t>1.05%</w:t>
            </w:r>
          </w:p>
        </w:tc>
        <w:tc>
          <w:tcPr>
            <w:tcW w:w="1286" w:type="dxa"/>
            <w:vAlign w:val="center"/>
          </w:tcPr>
          <w:p w:rsidR="00AB4D21" w:rsidRDefault="00345560">
            <w:pPr>
              <w:jc w:val="center"/>
            </w:pPr>
            <w:r>
              <w:rPr>
                <w:color w:val="000000"/>
                <w:sz w:val="24"/>
              </w:rPr>
              <w:t>0.04%</w:t>
            </w:r>
          </w:p>
        </w:tc>
        <w:tc>
          <w:tcPr>
            <w:tcW w:w="1285" w:type="dxa"/>
            <w:vAlign w:val="center"/>
          </w:tcPr>
          <w:p w:rsidR="00AB4D21" w:rsidRDefault="00345560">
            <w:pPr>
              <w:jc w:val="center"/>
            </w:pPr>
            <w:r>
              <w:rPr>
                <w:color w:val="000000"/>
                <w:sz w:val="24"/>
              </w:rPr>
              <w:t>1.99%</w:t>
            </w:r>
          </w:p>
        </w:tc>
        <w:tc>
          <w:tcPr>
            <w:tcW w:w="1285" w:type="dxa"/>
            <w:vAlign w:val="center"/>
          </w:tcPr>
          <w:p w:rsidR="00AB4D21" w:rsidRDefault="00345560">
            <w:pPr>
              <w:jc w:val="center"/>
            </w:pPr>
            <w:r>
              <w:rPr>
                <w:color w:val="000000"/>
                <w:sz w:val="24"/>
              </w:rPr>
              <w:t>0.05%</w:t>
            </w:r>
          </w:p>
        </w:tc>
        <w:tc>
          <w:tcPr>
            <w:tcW w:w="1285" w:type="dxa"/>
            <w:vAlign w:val="center"/>
          </w:tcPr>
          <w:p w:rsidR="00AB4D21" w:rsidRDefault="00345560">
            <w:pPr>
              <w:jc w:val="center"/>
            </w:pPr>
            <w:r>
              <w:rPr>
                <w:color w:val="000000"/>
                <w:sz w:val="24"/>
              </w:rPr>
              <w:t>-0.94%</w:t>
            </w:r>
          </w:p>
        </w:tc>
        <w:tc>
          <w:tcPr>
            <w:tcW w:w="1285" w:type="dxa"/>
            <w:vAlign w:val="center"/>
          </w:tcPr>
          <w:p w:rsidR="00AB4D21" w:rsidRDefault="00345560">
            <w:pPr>
              <w:jc w:val="center"/>
            </w:pPr>
            <w:r>
              <w:rPr>
                <w:color w:val="000000"/>
                <w:sz w:val="24"/>
              </w:rPr>
              <w:t>-0.01%</w:t>
            </w:r>
          </w:p>
        </w:tc>
      </w:tr>
      <w:tr w:rsidR="00AB4D21">
        <w:tc>
          <w:tcPr>
            <w:tcW w:w="1286" w:type="dxa"/>
            <w:vAlign w:val="center"/>
          </w:tcPr>
          <w:p w:rsidR="00AB4D21" w:rsidRDefault="00345560">
            <w:pPr>
              <w:jc w:val="left"/>
            </w:pPr>
            <w:r>
              <w:rPr>
                <w:color w:val="000000"/>
                <w:sz w:val="24"/>
              </w:rPr>
              <w:t>过去六个月</w:t>
            </w:r>
          </w:p>
        </w:tc>
        <w:tc>
          <w:tcPr>
            <w:tcW w:w="1286" w:type="dxa"/>
            <w:vAlign w:val="center"/>
          </w:tcPr>
          <w:p w:rsidR="00AB4D21" w:rsidRDefault="00345560">
            <w:pPr>
              <w:jc w:val="center"/>
            </w:pPr>
            <w:r>
              <w:rPr>
                <w:color w:val="000000"/>
                <w:sz w:val="24"/>
              </w:rPr>
              <w:t>2.10%</w:t>
            </w:r>
          </w:p>
        </w:tc>
        <w:tc>
          <w:tcPr>
            <w:tcW w:w="1286" w:type="dxa"/>
            <w:vAlign w:val="center"/>
          </w:tcPr>
          <w:p w:rsidR="00AB4D21" w:rsidRDefault="00345560">
            <w:pPr>
              <w:jc w:val="center"/>
            </w:pPr>
            <w:r>
              <w:rPr>
                <w:color w:val="000000"/>
                <w:sz w:val="24"/>
              </w:rPr>
              <w:t>0.03%</w:t>
            </w:r>
          </w:p>
        </w:tc>
        <w:tc>
          <w:tcPr>
            <w:tcW w:w="1285" w:type="dxa"/>
            <w:vAlign w:val="center"/>
          </w:tcPr>
          <w:p w:rsidR="00AB4D21" w:rsidRDefault="00345560">
            <w:pPr>
              <w:jc w:val="center"/>
            </w:pPr>
            <w:r>
              <w:rPr>
                <w:color w:val="000000"/>
                <w:sz w:val="24"/>
              </w:rPr>
              <w:t>2.57%</w:t>
            </w:r>
          </w:p>
        </w:tc>
        <w:tc>
          <w:tcPr>
            <w:tcW w:w="1285" w:type="dxa"/>
            <w:vAlign w:val="center"/>
          </w:tcPr>
          <w:p w:rsidR="00AB4D21" w:rsidRDefault="00345560">
            <w:pPr>
              <w:jc w:val="center"/>
            </w:pPr>
            <w:r>
              <w:rPr>
                <w:color w:val="000000"/>
                <w:sz w:val="24"/>
              </w:rPr>
              <w:t>0.06%</w:t>
            </w:r>
          </w:p>
        </w:tc>
        <w:tc>
          <w:tcPr>
            <w:tcW w:w="1285" w:type="dxa"/>
            <w:vAlign w:val="center"/>
          </w:tcPr>
          <w:p w:rsidR="00AB4D21" w:rsidRDefault="00345560">
            <w:pPr>
              <w:jc w:val="center"/>
            </w:pPr>
            <w:r>
              <w:rPr>
                <w:color w:val="000000"/>
                <w:sz w:val="24"/>
              </w:rPr>
              <w:t>-0.47%</w:t>
            </w:r>
          </w:p>
        </w:tc>
        <w:tc>
          <w:tcPr>
            <w:tcW w:w="1285" w:type="dxa"/>
            <w:vAlign w:val="center"/>
          </w:tcPr>
          <w:p w:rsidR="00AB4D21" w:rsidRDefault="00345560">
            <w:pPr>
              <w:jc w:val="center"/>
            </w:pPr>
            <w:r>
              <w:rPr>
                <w:color w:val="000000"/>
                <w:sz w:val="24"/>
              </w:rPr>
              <w:t>-0.03%</w:t>
            </w:r>
          </w:p>
        </w:tc>
      </w:tr>
      <w:tr w:rsidR="00AB4D21">
        <w:tc>
          <w:tcPr>
            <w:tcW w:w="1286" w:type="dxa"/>
            <w:vAlign w:val="center"/>
          </w:tcPr>
          <w:p w:rsidR="00AB4D21" w:rsidRDefault="00345560">
            <w:pPr>
              <w:jc w:val="left"/>
            </w:pPr>
            <w:r>
              <w:rPr>
                <w:color w:val="000000"/>
                <w:sz w:val="24"/>
              </w:rPr>
              <w:t>过去一年</w:t>
            </w:r>
          </w:p>
        </w:tc>
        <w:tc>
          <w:tcPr>
            <w:tcW w:w="1286" w:type="dxa"/>
            <w:vAlign w:val="center"/>
          </w:tcPr>
          <w:p w:rsidR="00AB4D21" w:rsidRDefault="00345560">
            <w:pPr>
              <w:jc w:val="center"/>
            </w:pPr>
            <w:r>
              <w:rPr>
                <w:color w:val="000000"/>
                <w:sz w:val="24"/>
              </w:rPr>
              <w:t>4.38%</w:t>
            </w:r>
          </w:p>
        </w:tc>
        <w:tc>
          <w:tcPr>
            <w:tcW w:w="1286" w:type="dxa"/>
            <w:vAlign w:val="center"/>
          </w:tcPr>
          <w:p w:rsidR="00AB4D21" w:rsidRDefault="00345560">
            <w:pPr>
              <w:jc w:val="center"/>
            </w:pPr>
            <w:r>
              <w:rPr>
                <w:color w:val="000000"/>
                <w:sz w:val="24"/>
              </w:rPr>
              <w:t>0.03%</w:t>
            </w:r>
          </w:p>
        </w:tc>
        <w:tc>
          <w:tcPr>
            <w:tcW w:w="1285" w:type="dxa"/>
            <w:vAlign w:val="center"/>
          </w:tcPr>
          <w:p w:rsidR="00AB4D21" w:rsidRDefault="00345560">
            <w:pPr>
              <w:jc w:val="center"/>
            </w:pPr>
            <w:r>
              <w:rPr>
                <w:color w:val="000000"/>
                <w:sz w:val="24"/>
              </w:rPr>
              <w:t>4.79%</w:t>
            </w:r>
          </w:p>
        </w:tc>
        <w:tc>
          <w:tcPr>
            <w:tcW w:w="1285" w:type="dxa"/>
            <w:vAlign w:val="center"/>
          </w:tcPr>
          <w:p w:rsidR="00AB4D21" w:rsidRDefault="00345560">
            <w:pPr>
              <w:jc w:val="center"/>
            </w:pPr>
            <w:r>
              <w:rPr>
                <w:color w:val="000000"/>
                <w:sz w:val="24"/>
              </w:rPr>
              <w:t>0.07%</w:t>
            </w:r>
          </w:p>
        </w:tc>
        <w:tc>
          <w:tcPr>
            <w:tcW w:w="1285" w:type="dxa"/>
            <w:vAlign w:val="center"/>
          </w:tcPr>
          <w:p w:rsidR="00AB4D21" w:rsidRDefault="00345560">
            <w:pPr>
              <w:jc w:val="center"/>
            </w:pPr>
            <w:r>
              <w:rPr>
                <w:color w:val="000000"/>
                <w:sz w:val="24"/>
              </w:rPr>
              <w:t>-0.41%</w:t>
            </w:r>
          </w:p>
        </w:tc>
        <w:tc>
          <w:tcPr>
            <w:tcW w:w="1285" w:type="dxa"/>
            <w:vAlign w:val="center"/>
          </w:tcPr>
          <w:p w:rsidR="00AB4D21" w:rsidRDefault="00345560">
            <w:pPr>
              <w:jc w:val="center"/>
            </w:pPr>
            <w:r>
              <w:rPr>
                <w:color w:val="000000"/>
                <w:sz w:val="24"/>
              </w:rPr>
              <w:t>-0.04%</w:t>
            </w:r>
          </w:p>
        </w:tc>
      </w:tr>
      <w:tr w:rsidR="00AB4D21">
        <w:tc>
          <w:tcPr>
            <w:tcW w:w="1286" w:type="dxa"/>
            <w:vAlign w:val="center"/>
          </w:tcPr>
          <w:p w:rsidR="00AB4D21" w:rsidRDefault="00345560">
            <w:pPr>
              <w:jc w:val="left"/>
            </w:pPr>
            <w:r>
              <w:rPr>
                <w:color w:val="000000"/>
                <w:sz w:val="24"/>
              </w:rPr>
              <w:t>自基金合同生效起至今</w:t>
            </w:r>
          </w:p>
        </w:tc>
        <w:tc>
          <w:tcPr>
            <w:tcW w:w="1286" w:type="dxa"/>
            <w:vAlign w:val="center"/>
          </w:tcPr>
          <w:p w:rsidR="00AB4D21" w:rsidRDefault="00345560">
            <w:pPr>
              <w:jc w:val="center"/>
            </w:pPr>
            <w:r>
              <w:rPr>
                <w:color w:val="000000"/>
                <w:sz w:val="24"/>
              </w:rPr>
              <w:t>112.01%</w:t>
            </w:r>
          </w:p>
        </w:tc>
        <w:tc>
          <w:tcPr>
            <w:tcW w:w="1286" w:type="dxa"/>
            <w:vAlign w:val="center"/>
          </w:tcPr>
          <w:p w:rsidR="00AB4D21" w:rsidRDefault="00345560">
            <w:pPr>
              <w:jc w:val="center"/>
            </w:pPr>
            <w:r>
              <w:rPr>
                <w:color w:val="000000"/>
                <w:sz w:val="24"/>
              </w:rPr>
              <w:t>4.46%</w:t>
            </w:r>
          </w:p>
        </w:tc>
        <w:tc>
          <w:tcPr>
            <w:tcW w:w="1285" w:type="dxa"/>
            <w:vAlign w:val="center"/>
          </w:tcPr>
          <w:p w:rsidR="00AB4D21" w:rsidRDefault="00345560">
            <w:pPr>
              <w:jc w:val="center"/>
            </w:pPr>
            <w:r>
              <w:rPr>
                <w:color w:val="000000"/>
                <w:sz w:val="24"/>
              </w:rPr>
              <w:t>1.61%</w:t>
            </w:r>
          </w:p>
        </w:tc>
        <w:tc>
          <w:tcPr>
            <w:tcW w:w="1285" w:type="dxa"/>
            <w:vAlign w:val="center"/>
          </w:tcPr>
          <w:p w:rsidR="00AB4D21" w:rsidRDefault="00345560">
            <w:pPr>
              <w:jc w:val="center"/>
            </w:pPr>
            <w:r>
              <w:rPr>
                <w:color w:val="000000"/>
                <w:sz w:val="24"/>
              </w:rPr>
              <w:t>0.07%</w:t>
            </w:r>
          </w:p>
        </w:tc>
        <w:tc>
          <w:tcPr>
            <w:tcW w:w="1285" w:type="dxa"/>
            <w:vAlign w:val="center"/>
          </w:tcPr>
          <w:p w:rsidR="00AB4D21" w:rsidRDefault="00345560">
            <w:pPr>
              <w:jc w:val="center"/>
            </w:pPr>
            <w:r>
              <w:rPr>
                <w:color w:val="000000"/>
                <w:sz w:val="24"/>
              </w:rPr>
              <w:t>110.40%</w:t>
            </w:r>
          </w:p>
        </w:tc>
        <w:tc>
          <w:tcPr>
            <w:tcW w:w="1285" w:type="dxa"/>
            <w:vAlign w:val="center"/>
          </w:tcPr>
          <w:p w:rsidR="00AB4D21" w:rsidRDefault="00345560">
            <w:pPr>
              <w:jc w:val="center"/>
            </w:pPr>
            <w:r>
              <w:rPr>
                <w:color w:val="000000"/>
                <w:sz w:val="24"/>
              </w:rPr>
              <w:t>4.39%</w:t>
            </w:r>
          </w:p>
        </w:tc>
      </w:tr>
    </w:tbl>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交银丰享收益债券</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AB4D21">
        <w:tc>
          <w:tcPr>
            <w:tcW w:w="1286" w:type="dxa"/>
            <w:vAlign w:val="center"/>
          </w:tcPr>
          <w:p w:rsidR="00AB4D21" w:rsidRDefault="00345560">
            <w:pPr>
              <w:jc w:val="left"/>
            </w:pPr>
            <w:r>
              <w:rPr>
                <w:color w:val="000000"/>
                <w:sz w:val="24"/>
              </w:rPr>
              <w:t>过去三个月</w:t>
            </w:r>
          </w:p>
        </w:tc>
        <w:tc>
          <w:tcPr>
            <w:tcW w:w="1286" w:type="dxa"/>
            <w:vAlign w:val="center"/>
          </w:tcPr>
          <w:p w:rsidR="00AB4D21" w:rsidRDefault="00345560">
            <w:pPr>
              <w:jc w:val="center"/>
            </w:pPr>
            <w:r>
              <w:rPr>
                <w:color w:val="000000"/>
                <w:sz w:val="24"/>
              </w:rPr>
              <w:t>0.96%</w:t>
            </w:r>
          </w:p>
        </w:tc>
        <w:tc>
          <w:tcPr>
            <w:tcW w:w="1286" w:type="dxa"/>
            <w:vAlign w:val="center"/>
          </w:tcPr>
          <w:p w:rsidR="00AB4D21" w:rsidRDefault="00345560">
            <w:pPr>
              <w:jc w:val="center"/>
            </w:pPr>
            <w:r>
              <w:rPr>
                <w:color w:val="000000"/>
                <w:sz w:val="24"/>
              </w:rPr>
              <w:t>0.05%</w:t>
            </w:r>
          </w:p>
        </w:tc>
        <w:tc>
          <w:tcPr>
            <w:tcW w:w="1285" w:type="dxa"/>
            <w:vAlign w:val="center"/>
          </w:tcPr>
          <w:p w:rsidR="00AB4D21" w:rsidRDefault="00345560">
            <w:pPr>
              <w:jc w:val="center"/>
            </w:pPr>
            <w:r>
              <w:rPr>
                <w:color w:val="000000"/>
                <w:sz w:val="24"/>
              </w:rPr>
              <w:t>1.99%</w:t>
            </w:r>
          </w:p>
        </w:tc>
        <w:tc>
          <w:tcPr>
            <w:tcW w:w="1285" w:type="dxa"/>
            <w:vAlign w:val="center"/>
          </w:tcPr>
          <w:p w:rsidR="00AB4D21" w:rsidRDefault="00345560">
            <w:pPr>
              <w:jc w:val="center"/>
            </w:pPr>
            <w:r>
              <w:rPr>
                <w:color w:val="000000"/>
                <w:sz w:val="24"/>
              </w:rPr>
              <w:t>0.05%</w:t>
            </w:r>
          </w:p>
        </w:tc>
        <w:tc>
          <w:tcPr>
            <w:tcW w:w="1285" w:type="dxa"/>
            <w:vAlign w:val="center"/>
          </w:tcPr>
          <w:p w:rsidR="00AB4D21" w:rsidRDefault="00345560">
            <w:pPr>
              <w:jc w:val="center"/>
            </w:pPr>
            <w:r>
              <w:rPr>
                <w:color w:val="000000"/>
                <w:sz w:val="24"/>
              </w:rPr>
              <w:t>-1.03%</w:t>
            </w:r>
          </w:p>
        </w:tc>
        <w:tc>
          <w:tcPr>
            <w:tcW w:w="1285" w:type="dxa"/>
            <w:vAlign w:val="center"/>
          </w:tcPr>
          <w:p w:rsidR="00AB4D21" w:rsidRDefault="00345560">
            <w:pPr>
              <w:jc w:val="center"/>
            </w:pPr>
            <w:r>
              <w:rPr>
                <w:color w:val="000000"/>
                <w:sz w:val="24"/>
              </w:rPr>
              <w:t>0.00%</w:t>
            </w:r>
          </w:p>
        </w:tc>
      </w:tr>
      <w:tr w:rsidR="00AB4D21">
        <w:tc>
          <w:tcPr>
            <w:tcW w:w="1286" w:type="dxa"/>
            <w:vAlign w:val="center"/>
          </w:tcPr>
          <w:p w:rsidR="00AB4D21" w:rsidRDefault="00345560">
            <w:pPr>
              <w:jc w:val="left"/>
            </w:pPr>
            <w:r>
              <w:rPr>
                <w:color w:val="000000"/>
                <w:sz w:val="24"/>
              </w:rPr>
              <w:t>过去六个月</w:t>
            </w:r>
          </w:p>
        </w:tc>
        <w:tc>
          <w:tcPr>
            <w:tcW w:w="1286" w:type="dxa"/>
            <w:vAlign w:val="center"/>
          </w:tcPr>
          <w:p w:rsidR="00AB4D21" w:rsidRDefault="00345560">
            <w:pPr>
              <w:jc w:val="center"/>
            </w:pPr>
            <w:r>
              <w:rPr>
                <w:color w:val="000000"/>
                <w:sz w:val="24"/>
              </w:rPr>
              <w:t>1.93%</w:t>
            </w:r>
          </w:p>
        </w:tc>
        <w:tc>
          <w:tcPr>
            <w:tcW w:w="1286" w:type="dxa"/>
            <w:vAlign w:val="center"/>
          </w:tcPr>
          <w:p w:rsidR="00AB4D21" w:rsidRDefault="00345560">
            <w:pPr>
              <w:jc w:val="center"/>
            </w:pPr>
            <w:r>
              <w:rPr>
                <w:color w:val="000000"/>
                <w:sz w:val="24"/>
              </w:rPr>
              <w:t>0.05%</w:t>
            </w:r>
          </w:p>
        </w:tc>
        <w:tc>
          <w:tcPr>
            <w:tcW w:w="1285" w:type="dxa"/>
            <w:vAlign w:val="center"/>
          </w:tcPr>
          <w:p w:rsidR="00AB4D21" w:rsidRDefault="00345560">
            <w:pPr>
              <w:jc w:val="center"/>
            </w:pPr>
            <w:r>
              <w:rPr>
                <w:color w:val="000000"/>
                <w:sz w:val="24"/>
              </w:rPr>
              <w:t>2.57%</w:t>
            </w:r>
          </w:p>
        </w:tc>
        <w:tc>
          <w:tcPr>
            <w:tcW w:w="1285" w:type="dxa"/>
            <w:vAlign w:val="center"/>
          </w:tcPr>
          <w:p w:rsidR="00AB4D21" w:rsidRDefault="00345560">
            <w:pPr>
              <w:jc w:val="center"/>
            </w:pPr>
            <w:r>
              <w:rPr>
                <w:color w:val="000000"/>
                <w:sz w:val="24"/>
              </w:rPr>
              <w:t>0.06%</w:t>
            </w:r>
          </w:p>
        </w:tc>
        <w:tc>
          <w:tcPr>
            <w:tcW w:w="1285" w:type="dxa"/>
            <w:vAlign w:val="center"/>
          </w:tcPr>
          <w:p w:rsidR="00AB4D21" w:rsidRDefault="00345560">
            <w:pPr>
              <w:jc w:val="center"/>
            </w:pPr>
            <w:r>
              <w:rPr>
                <w:color w:val="000000"/>
                <w:sz w:val="24"/>
              </w:rPr>
              <w:t>-0.64%</w:t>
            </w:r>
          </w:p>
        </w:tc>
        <w:tc>
          <w:tcPr>
            <w:tcW w:w="1285" w:type="dxa"/>
            <w:vAlign w:val="center"/>
          </w:tcPr>
          <w:p w:rsidR="00AB4D21" w:rsidRDefault="00345560">
            <w:pPr>
              <w:jc w:val="center"/>
            </w:pPr>
            <w:r>
              <w:rPr>
                <w:color w:val="000000"/>
                <w:sz w:val="24"/>
              </w:rPr>
              <w:t>-0.01%</w:t>
            </w:r>
          </w:p>
        </w:tc>
      </w:tr>
      <w:tr w:rsidR="00AB4D21">
        <w:tc>
          <w:tcPr>
            <w:tcW w:w="1286" w:type="dxa"/>
            <w:vAlign w:val="center"/>
          </w:tcPr>
          <w:p w:rsidR="00AB4D21" w:rsidRDefault="00345560">
            <w:pPr>
              <w:jc w:val="left"/>
            </w:pPr>
            <w:r>
              <w:rPr>
                <w:color w:val="000000"/>
                <w:sz w:val="24"/>
              </w:rPr>
              <w:t>过去一年</w:t>
            </w:r>
          </w:p>
        </w:tc>
        <w:tc>
          <w:tcPr>
            <w:tcW w:w="1286" w:type="dxa"/>
            <w:vAlign w:val="center"/>
          </w:tcPr>
          <w:p w:rsidR="00AB4D21" w:rsidRDefault="00345560">
            <w:pPr>
              <w:jc w:val="center"/>
            </w:pPr>
            <w:r>
              <w:rPr>
                <w:color w:val="000000"/>
                <w:sz w:val="24"/>
              </w:rPr>
              <w:t>4.03%</w:t>
            </w:r>
          </w:p>
        </w:tc>
        <w:tc>
          <w:tcPr>
            <w:tcW w:w="1286" w:type="dxa"/>
            <w:vAlign w:val="center"/>
          </w:tcPr>
          <w:p w:rsidR="00AB4D21" w:rsidRDefault="00345560">
            <w:pPr>
              <w:jc w:val="center"/>
            </w:pPr>
            <w:r>
              <w:rPr>
                <w:color w:val="000000"/>
                <w:sz w:val="24"/>
              </w:rPr>
              <w:t>0.05%</w:t>
            </w:r>
          </w:p>
        </w:tc>
        <w:tc>
          <w:tcPr>
            <w:tcW w:w="1285" w:type="dxa"/>
            <w:vAlign w:val="center"/>
          </w:tcPr>
          <w:p w:rsidR="00AB4D21" w:rsidRDefault="00345560">
            <w:pPr>
              <w:jc w:val="center"/>
            </w:pPr>
            <w:r>
              <w:rPr>
                <w:color w:val="000000"/>
                <w:sz w:val="24"/>
              </w:rPr>
              <w:t>4.79%</w:t>
            </w:r>
          </w:p>
        </w:tc>
        <w:tc>
          <w:tcPr>
            <w:tcW w:w="1285" w:type="dxa"/>
            <w:vAlign w:val="center"/>
          </w:tcPr>
          <w:p w:rsidR="00AB4D21" w:rsidRDefault="00345560">
            <w:pPr>
              <w:jc w:val="center"/>
            </w:pPr>
            <w:r>
              <w:rPr>
                <w:color w:val="000000"/>
                <w:sz w:val="24"/>
              </w:rPr>
              <w:t>0.07%</w:t>
            </w:r>
          </w:p>
        </w:tc>
        <w:tc>
          <w:tcPr>
            <w:tcW w:w="1285" w:type="dxa"/>
            <w:vAlign w:val="center"/>
          </w:tcPr>
          <w:p w:rsidR="00AB4D21" w:rsidRDefault="00345560">
            <w:pPr>
              <w:jc w:val="center"/>
            </w:pPr>
            <w:r>
              <w:rPr>
                <w:color w:val="000000"/>
                <w:sz w:val="24"/>
              </w:rPr>
              <w:t>-0.76%</w:t>
            </w:r>
          </w:p>
        </w:tc>
        <w:tc>
          <w:tcPr>
            <w:tcW w:w="1285" w:type="dxa"/>
            <w:vAlign w:val="center"/>
          </w:tcPr>
          <w:p w:rsidR="00AB4D21" w:rsidRDefault="00345560">
            <w:pPr>
              <w:jc w:val="center"/>
            </w:pPr>
            <w:r>
              <w:rPr>
                <w:color w:val="000000"/>
                <w:sz w:val="24"/>
              </w:rPr>
              <w:t>-0.02%</w:t>
            </w:r>
          </w:p>
        </w:tc>
      </w:tr>
      <w:tr w:rsidR="00AB4D21">
        <w:tc>
          <w:tcPr>
            <w:tcW w:w="1286" w:type="dxa"/>
            <w:vAlign w:val="center"/>
          </w:tcPr>
          <w:p w:rsidR="00AB4D21" w:rsidRDefault="00345560">
            <w:pPr>
              <w:jc w:val="left"/>
            </w:pPr>
            <w:r>
              <w:rPr>
                <w:color w:val="000000"/>
                <w:sz w:val="24"/>
              </w:rPr>
              <w:t>自基金合同生效起至今</w:t>
            </w:r>
          </w:p>
        </w:tc>
        <w:tc>
          <w:tcPr>
            <w:tcW w:w="1286" w:type="dxa"/>
            <w:vAlign w:val="center"/>
          </w:tcPr>
          <w:p w:rsidR="00AB4D21" w:rsidRDefault="00345560">
            <w:pPr>
              <w:jc w:val="center"/>
            </w:pPr>
            <w:r>
              <w:rPr>
                <w:color w:val="000000"/>
                <w:sz w:val="24"/>
              </w:rPr>
              <w:t>20.37%</w:t>
            </w:r>
          </w:p>
        </w:tc>
        <w:tc>
          <w:tcPr>
            <w:tcW w:w="1286" w:type="dxa"/>
            <w:vAlign w:val="center"/>
          </w:tcPr>
          <w:p w:rsidR="00AB4D21" w:rsidRDefault="00345560">
            <w:pPr>
              <w:jc w:val="center"/>
            </w:pPr>
            <w:r>
              <w:rPr>
                <w:color w:val="000000"/>
                <w:sz w:val="24"/>
              </w:rPr>
              <w:t>0.07%</w:t>
            </w:r>
          </w:p>
        </w:tc>
        <w:tc>
          <w:tcPr>
            <w:tcW w:w="1285" w:type="dxa"/>
            <w:vAlign w:val="center"/>
          </w:tcPr>
          <w:p w:rsidR="00AB4D21" w:rsidRDefault="00345560">
            <w:pPr>
              <w:jc w:val="center"/>
            </w:pPr>
            <w:r>
              <w:rPr>
                <w:color w:val="000000"/>
                <w:sz w:val="24"/>
              </w:rPr>
              <w:t>6.52%</w:t>
            </w:r>
          </w:p>
        </w:tc>
        <w:tc>
          <w:tcPr>
            <w:tcW w:w="1285" w:type="dxa"/>
            <w:vAlign w:val="center"/>
          </w:tcPr>
          <w:p w:rsidR="00AB4D21" w:rsidRDefault="00345560">
            <w:pPr>
              <w:jc w:val="center"/>
            </w:pPr>
            <w:r>
              <w:rPr>
                <w:color w:val="000000"/>
                <w:sz w:val="24"/>
              </w:rPr>
              <w:t>0.05%</w:t>
            </w:r>
          </w:p>
        </w:tc>
        <w:tc>
          <w:tcPr>
            <w:tcW w:w="1285" w:type="dxa"/>
            <w:vAlign w:val="center"/>
          </w:tcPr>
          <w:p w:rsidR="00AB4D21" w:rsidRDefault="00345560">
            <w:pPr>
              <w:jc w:val="center"/>
            </w:pPr>
            <w:r>
              <w:rPr>
                <w:color w:val="000000"/>
                <w:sz w:val="24"/>
              </w:rPr>
              <w:t>13.85%</w:t>
            </w:r>
          </w:p>
        </w:tc>
        <w:tc>
          <w:tcPr>
            <w:tcW w:w="1285" w:type="dxa"/>
            <w:vAlign w:val="center"/>
          </w:tcPr>
          <w:p w:rsidR="00AB4D21" w:rsidRDefault="00345560">
            <w:pPr>
              <w:jc w:val="center"/>
            </w:pPr>
            <w:r>
              <w:rPr>
                <w:color w:val="000000"/>
                <w:sz w:val="24"/>
              </w:rPr>
              <w:t>0.02%</w:t>
            </w:r>
          </w:p>
        </w:tc>
      </w:tr>
    </w:tbl>
    <w:p w:rsidR="001A59F9" w:rsidRPr="00E25C2A" w:rsidRDefault="00345560" w:rsidP="00E25C2A">
      <w:pPr>
        <w:tabs>
          <w:tab w:val="left" w:pos="426"/>
        </w:tabs>
        <w:spacing w:before="29" w:line="288" w:lineRule="auto"/>
        <w:jc w:val="left"/>
        <w:rPr>
          <w:kern w:val="0"/>
          <w:sz w:val="24"/>
        </w:rPr>
      </w:pPr>
      <w:r>
        <w:rPr>
          <w:rFonts w:hint="eastAsia"/>
          <w:kern w:val="0"/>
          <w:sz w:val="24"/>
        </w:rPr>
        <w:t>注</w:t>
      </w:r>
      <w:r>
        <w:rPr>
          <w:kern w:val="0"/>
          <w:sz w:val="24"/>
        </w:rPr>
        <w:t>：</w:t>
      </w:r>
      <w:r w:rsidR="001A59F9" w:rsidRPr="00E25C2A">
        <w:rPr>
          <w:kern w:val="0"/>
          <w:sz w:val="24"/>
        </w:rPr>
        <w:t>本基金自</w:t>
      </w:r>
      <w:r w:rsidR="001A59F9" w:rsidRPr="00E25C2A">
        <w:rPr>
          <w:kern w:val="0"/>
          <w:sz w:val="24"/>
        </w:rPr>
        <w:t>2017</w:t>
      </w:r>
      <w:r w:rsidR="001A59F9" w:rsidRPr="00E25C2A">
        <w:rPr>
          <w:kern w:val="0"/>
          <w:sz w:val="24"/>
        </w:rPr>
        <w:t>年</w:t>
      </w:r>
      <w:r w:rsidR="001A59F9" w:rsidRPr="00E25C2A">
        <w:rPr>
          <w:kern w:val="0"/>
          <w:sz w:val="24"/>
        </w:rPr>
        <w:t>1</w:t>
      </w:r>
      <w:r w:rsidR="001A59F9" w:rsidRPr="00E25C2A">
        <w:rPr>
          <w:kern w:val="0"/>
          <w:sz w:val="24"/>
        </w:rPr>
        <w:t>月</w:t>
      </w:r>
      <w:r w:rsidR="001A59F9" w:rsidRPr="00E25C2A">
        <w:rPr>
          <w:kern w:val="0"/>
          <w:sz w:val="24"/>
        </w:rPr>
        <w:t>20</w:t>
      </w:r>
      <w:r w:rsidR="001A59F9" w:rsidRPr="00E25C2A">
        <w:rPr>
          <w:kern w:val="0"/>
          <w:sz w:val="24"/>
        </w:rPr>
        <w:t>日起转为开放式运作，本基金的业绩比较基准由</w:t>
      </w:r>
      <w:r w:rsidR="001A59F9" w:rsidRPr="00E25C2A">
        <w:rPr>
          <w:kern w:val="0"/>
          <w:sz w:val="24"/>
        </w:rPr>
        <w:t>“</w:t>
      </w:r>
      <w:r w:rsidR="001A59F9" w:rsidRPr="00E25C2A">
        <w:rPr>
          <w:kern w:val="0"/>
          <w:sz w:val="24"/>
        </w:rPr>
        <w:t>两年期银行定期存款税后收益率</w:t>
      </w:r>
      <w:r w:rsidR="001A59F9" w:rsidRPr="00E25C2A">
        <w:rPr>
          <w:kern w:val="0"/>
          <w:sz w:val="24"/>
        </w:rPr>
        <w:t>”</w:t>
      </w:r>
      <w:r w:rsidR="001A59F9" w:rsidRPr="00E25C2A">
        <w:rPr>
          <w:kern w:val="0"/>
          <w:sz w:val="24"/>
        </w:rPr>
        <w:t>变更为</w:t>
      </w:r>
      <w:r w:rsidR="001A59F9" w:rsidRPr="00E25C2A">
        <w:rPr>
          <w:kern w:val="0"/>
          <w:sz w:val="24"/>
        </w:rPr>
        <w:t>“</w:t>
      </w:r>
      <w:r w:rsidR="001A59F9" w:rsidRPr="00E25C2A">
        <w:rPr>
          <w:kern w:val="0"/>
          <w:sz w:val="24"/>
        </w:rPr>
        <w:t>中债综合全价指数</w:t>
      </w:r>
      <w:r w:rsidR="001A59F9" w:rsidRPr="00E25C2A">
        <w:rPr>
          <w:kern w:val="0"/>
          <w:sz w:val="24"/>
        </w:rPr>
        <w:t>”,3.2.2</w:t>
      </w:r>
      <w:r w:rsidR="001A59F9" w:rsidRPr="00E25C2A">
        <w:rPr>
          <w:kern w:val="0"/>
          <w:sz w:val="24"/>
        </w:rPr>
        <w:t>同。</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交银丰享收益债券</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注：本基金自</w:t>
      </w:r>
      <w:r w:rsidRPr="00E25C2A">
        <w:rPr>
          <w:kern w:val="0"/>
          <w:sz w:val="24"/>
        </w:rPr>
        <w:t>2017</w:t>
      </w:r>
      <w:r w:rsidRPr="00E25C2A">
        <w:rPr>
          <w:kern w:val="0"/>
          <w:sz w:val="24"/>
        </w:rPr>
        <w:t>年</w:t>
      </w:r>
      <w:r w:rsidRPr="00E25C2A">
        <w:rPr>
          <w:kern w:val="0"/>
          <w:sz w:val="24"/>
        </w:rPr>
        <w:t>1</w:t>
      </w:r>
      <w:r w:rsidRPr="00E25C2A">
        <w:rPr>
          <w:kern w:val="0"/>
          <w:sz w:val="24"/>
        </w:rPr>
        <w:t>月</w:t>
      </w:r>
      <w:r w:rsidRPr="00E25C2A">
        <w:rPr>
          <w:kern w:val="0"/>
          <w:sz w:val="24"/>
        </w:rPr>
        <w:t>20</w:t>
      </w:r>
      <w:r w:rsidRPr="00E25C2A">
        <w:rPr>
          <w:kern w:val="0"/>
          <w:sz w:val="24"/>
        </w:rPr>
        <w:t>日起，开始销售</w:t>
      </w:r>
      <w:r w:rsidRPr="00E25C2A">
        <w:rPr>
          <w:kern w:val="0"/>
          <w:sz w:val="24"/>
        </w:rPr>
        <w:t>A</w:t>
      </w:r>
      <w:r w:rsidRPr="00E25C2A">
        <w:rPr>
          <w:kern w:val="0"/>
          <w:sz w:val="24"/>
        </w:rPr>
        <w:t>类份额，投资者提交的申购申请于</w:t>
      </w:r>
      <w:r w:rsidRPr="00E25C2A">
        <w:rPr>
          <w:kern w:val="0"/>
          <w:sz w:val="24"/>
        </w:rPr>
        <w:t>2017</w:t>
      </w:r>
      <w:r w:rsidRPr="00E25C2A">
        <w:rPr>
          <w:kern w:val="0"/>
          <w:sz w:val="24"/>
        </w:rPr>
        <w:t>年</w:t>
      </w:r>
      <w:r w:rsidRPr="00E25C2A">
        <w:rPr>
          <w:kern w:val="0"/>
          <w:sz w:val="24"/>
        </w:rPr>
        <w:t>1</w:t>
      </w:r>
      <w:r w:rsidRPr="00E25C2A">
        <w:rPr>
          <w:kern w:val="0"/>
          <w:sz w:val="24"/>
        </w:rPr>
        <w:t>月</w:t>
      </w:r>
      <w:r w:rsidRPr="00E25C2A">
        <w:rPr>
          <w:kern w:val="0"/>
          <w:sz w:val="24"/>
        </w:rPr>
        <w:t>25</w:t>
      </w:r>
      <w:r w:rsidRPr="00E25C2A">
        <w:rPr>
          <w:kern w:val="0"/>
          <w:sz w:val="24"/>
        </w:rPr>
        <w:t>日被确认并将有效份额登记在册。图示日期为</w:t>
      </w:r>
      <w:r w:rsidRPr="00E25C2A">
        <w:rPr>
          <w:kern w:val="0"/>
          <w:sz w:val="24"/>
        </w:rPr>
        <w:t>2017</w:t>
      </w:r>
      <w:r w:rsidRPr="00E25C2A">
        <w:rPr>
          <w:kern w:val="0"/>
          <w:sz w:val="24"/>
        </w:rPr>
        <w:t>年</w:t>
      </w:r>
      <w:r w:rsidRPr="00E25C2A">
        <w:rPr>
          <w:kern w:val="0"/>
          <w:sz w:val="24"/>
        </w:rPr>
        <w:t>1</w:t>
      </w:r>
      <w:r w:rsidRPr="00E25C2A">
        <w:rPr>
          <w:kern w:val="0"/>
          <w:sz w:val="24"/>
        </w:rPr>
        <w:t>月</w:t>
      </w:r>
      <w:r w:rsidRPr="00E25C2A">
        <w:rPr>
          <w:kern w:val="0"/>
          <w:sz w:val="24"/>
        </w:rPr>
        <w:t>25</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交银丰享收益债券</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1</w:t>
      </w:r>
      <w:r w:rsidRPr="00E25C2A">
        <w:rPr>
          <w:kern w:val="0"/>
          <w:sz w:val="24"/>
        </w:rPr>
        <w:t>月</w:t>
      </w:r>
      <w:r w:rsidRPr="00E25C2A">
        <w:rPr>
          <w:kern w:val="0"/>
          <w:sz w:val="24"/>
        </w:rPr>
        <w:t>19</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交银丰享收益债券</w:t>
      </w:r>
      <w:r w:rsidR="00097CBA" w:rsidRPr="002D2B7D">
        <w:rPr>
          <w:rFonts w:ascii="Times New Roman" w:hAnsi="Times New Roman"/>
          <w:color w:val="auto"/>
        </w:rPr>
        <w:t>A</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2017</w:t>
      </w:r>
      <w:r w:rsidRPr="00E25C2A">
        <w:rPr>
          <w:kern w:val="0"/>
          <w:sz w:val="24"/>
        </w:rPr>
        <w:t>年</w:t>
      </w:r>
      <w:r w:rsidRPr="00E25C2A">
        <w:rPr>
          <w:kern w:val="0"/>
          <w:sz w:val="24"/>
        </w:rPr>
        <w:t>1</w:t>
      </w:r>
      <w:r w:rsidRPr="00E25C2A">
        <w:rPr>
          <w:kern w:val="0"/>
          <w:sz w:val="24"/>
        </w:rPr>
        <w:t>月</w:t>
      </w:r>
      <w:r w:rsidRPr="00E25C2A">
        <w:rPr>
          <w:kern w:val="0"/>
          <w:sz w:val="24"/>
        </w:rPr>
        <w:t>25</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345560" w:rsidRDefault="00345560" w:rsidP="00345560">
      <w:pPr>
        <w:pStyle w:val="21"/>
        <w:spacing w:before="29" w:line="288" w:lineRule="auto"/>
        <w:ind w:firstLineChars="0" w:firstLine="0"/>
        <w:rPr>
          <w:rFonts w:ascii="Times New Roman" w:hAnsi="Times New Roman"/>
          <w:color w:val="auto"/>
        </w:rPr>
      </w:pPr>
    </w:p>
    <w:p w:rsidR="00345560" w:rsidRPr="00D564C7" w:rsidRDefault="00345560" w:rsidP="00345560">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交银丰享收益债券</w:t>
      </w:r>
      <w:r w:rsidRPr="00E62358">
        <w:rPr>
          <w:rFonts w:ascii="Times New Roman" w:hAnsi="Times New Roman"/>
          <w:color w:val="auto"/>
        </w:rPr>
        <w:t>C</w:t>
      </w:r>
    </w:p>
    <w:p w:rsidR="00345560" w:rsidRPr="00D564C7" w:rsidRDefault="00345560" w:rsidP="00345560">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226B5287" wp14:editId="0A49D106">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1</w:t>
      </w:r>
      <w:r w:rsidRPr="00E25C2A">
        <w:rPr>
          <w:kern w:val="0"/>
          <w:sz w:val="24"/>
        </w:rPr>
        <w:t>月</w:t>
      </w:r>
      <w:r w:rsidRPr="00E25C2A">
        <w:rPr>
          <w:kern w:val="0"/>
          <w:sz w:val="24"/>
        </w:rPr>
        <w:t>19</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345560" w:rsidRPr="00E25C2A" w:rsidRDefault="00345560" w:rsidP="00E25C2A">
      <w:pPr>
        <w:tabs>
          <w:tab w:val="left" w:pos="426"/>
        </w:tabs>
        <w:spacing w:before="29" w:line="288" w:lineRule="auto"/>
        <w:jc w:val="left"/>
        <w:rPr>
          <w:kern w:val="0"/>
          <w:sz w:val="24"/>
        </w:rPr>
      </w:pPr>
    </w:p>
    <w:p w:rsidR="000B2C76" w:rsidRPr="00C2179A" w:rsidRDefault="000B2C76" w:rsidP="00C2179A">
      <w:pPr>
        <w:pStyle w:val="20"/>
        <w:spacing w:before="29" w:after="0" w:line="288" w:lineRule="auto"/>
        <w:rPr>
          <w:rFonts w:ascii="Times New Roman" w:hAnsi="Times New Roman"/>
          <w:kern w:val="0"/>
          <w:szCs w:val="24"/>
        </w:rPr>
      </w:pPr>
      <w:bookmarkStart w:id="21" w:name="_Toc249760033"/>
      <w:bookmarkStart w:id="22"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1"/>
      <w:bookmarkEnd w:id="22"/>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交银丰享收益债券</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AB4D21">
        <w:tc>
          <w:tcPr>
            <w:tcW w:w="1276" w:type="dxa"/>
            <w:vAlign w:val="center"/>
          </w:tcPr>
          <w:p w:rsidR="00AB4D21" w:rsidRDefault="00345560">
            <w:pPr>
              <w:jc w:val="center"/>
            </w:pPr>
            <w:r>
              <w:rPr>
                <w:color w:val="000000"/>
                <w:sz w:val="24"/>
              </w:rPr>
              <w:t>2018</w:t>
            </w:r>
            <w:r>
              <w:rPr>
                <w:color w:val="000000"/>
                <w:sz w:val="24"/>
              </w:rPr>
              <w:t>年</w:t>
            </w:r>
          </w:p>
        </w:tc>
        <w:tc>
          <w:tcPr>
            <w:tcW w:w="1701" w:type="dxa"/>
            <w:vAlign w:val="center"/>
          </w:tcPr>
          <w:p w:rsidR="00AB4D21" w:rsidRDefault="00345560">
            <w:pPr>
              <w:jc w:val="right"/>
            </w:pPr>
            <w:r>
              <w:rPr>
                <w:color w:val="000000"/>
                <w:sz w:val="24"/>
              </w:rPr>
              <w:t>0.800</w:t>
            </w:r>
          </w:p>
        </w:tc>
        <w:tc>
          <w:tcPr>
            <w:tcW w:w="1701" w:type="dxa"/>
            <w:vAlign w:val="center"/>
          </w:tcPr>
          <w:p w:rsidR="00AB4D21" w:rsidRDefault="00345560">
            <w:pPr>
              <w:jc w:val="right"/>
            </w:pPr>
            <w:r>
              <w:rPr>
                <w:color w:val="000000"/>
                <w:sz w:val="24"/>
              </w:rPr>
              <w:t>21,250,540.50</w:t>
            </w:r>
          </w:p>
        </w:tc>
        <w:tc>
          <w:tcPr>
            <w:tcW w:w="1701" w:type="dxa"/>
            <w:vAlign w:val="center"/>
          </w:tcPr>
          <w:p w:rsidR="00AB4D21" w:rsidRDefault="00345560">
            <w:pPr>
              <w:jc w:val="right"/>
            </w:pPr>
            <w:r>
              <w:rPr>
                <w:color w:val="000000"/>
                <w:sz w:val="24"/>
              </w:rPr>
              <w:t>237,162.31</w:t>
            </w:r>
          </w:p>
        </w:tc>
        <w:tc>
          <w:tcPr>
            <w:tcW w:w="1559" w:type="dxa"/>
            <w:vAlign w:val="center"/>
          </w:tcPr>
          <w:p w:rsidR="00AB4D21" w:rsidRDefault="00345560">
            <w:pPr>
              <w:jc w:val="right"/>
            </w:pPr>
            <w:r>
              <w:rPr>
                <w:color w:val="000000"/>
                <w:sz w:val="24"/>
              </w:rPr>
              <w:t>21,487,702.81</w:t>
            </w:r>
          </w:p>
        </w:tc>
        <w:tc>
          <w:tcPr>
            <w:tcW w:w="1060" w:type="dxa"/>
            <w:vAlign w:val="center"/>
          </w:tcPr>
          <w:p w:rsidR="00AB4D21" w:rsidRDefault="00345560">
            <w:pPr>
              <w:jc w:val="left"/>
            </w:pPr>
            <w:r>
              <w:rPr>
                <w:color w:val="000000"/>
                <w:sz w:val="24"/>
              </w:rPr>
              <w:t>-</w:t>
            </w:r>
          </w:p>
        </w:tc>
      </w:tr>
      <w:tr w:rsidR="00AB4D21">
        <w:tc>
          <w:tcPr>
            <w:tcW w:w="1276" w:type="dxa"/>
            <w:vAlign w:val="center"/>
          </w:tcPr>
          <w:p w:rsidR="00AB4D21" w:rsidRDefault="00345560">
            <w:pPr>
              <w:jc w:val="center"/>
            </w:pPr>
            <w:r>
              <w:rPr>
                <w:color w:val="000000"/>
                <w:sz w:val="24"/>
              </w:rPr>
              <w:t>2017</w:t>
            </w:r>
            <w:r>
              <w:rPr>
                <w:color w:val="000000"/>
                <w:sz w:val="24"/>
              </w:rPr>
              <w:t>年</w:t>
            </w:r>
          </w:p>
        </w:tc>
        <w:tc>
          <w:tcPr>
            <w:tcW w:w="1701" w:type="dxa"/>
            <w:vAlign w:val="center"/>
          </w:tcPr>
          <w:p w:rsidR="00AB4D21" w:rsidRDefault="00345560">
            <w:pPr>
              <w:jc w:val="right"/>
            </w:pPr>
            <w:r>
              <w:rPr>
                <w:color w:val="000000"/>
                <w:sz w:val="24"/>
              </w:rPr>
              <w:t>0.110</w:t>
            </w:r>
          </w:p>
        </w:tc>
        <w:tc>
          <w:tcPr>
            <w:tcW w:w="1701" w:type="dxa"/>
            <w:vAlign w:val="center"/>
          </w:tcPr>
          <w:p w:rsidR="00AB4D21" w:rsidRDefault="00345560">
            <w:pPr>
              <w:jc w:val="right"/>
            </w:pPr>
            <w:r>
              <w:rPr>
                <w:color w:val="000000"/>
                <w:sz w:val="24"/>
              </w:rPr>
              <w:t>4,358,459.34</w:t>
            </w:r>
          </w:p>
        </w:tc>
        <w:tc>
          <w:tcPr>
            <w:tcW w:w="1701" w:type="dxa"/>
            <w:vAlign w:val="center"/>
          </w:tcPr>
          <w:p w:rsidR="00AB4D21" w:rsidRDefault="00345560">
            <w:pPr>
              <w:jc w:val="right"/>
            </w:pPr>
            <w:r>
              <w:rPr>
                <w:color w:val="000000"/>
                <w:sz w:val="24"/>
              </w:rPr>
              <w:t>108.42</w:t>
            </w:r>
          </w:p>
        </w:tc>
        <w:tc>
          <w:tcPr>
            <w:tcW w:w="1559" w:type="dxa"/>
            <w:vAlign w:val="center"/>
          </w:tcPr>
          <w:p w:rsidR="00AB4D21" w:rsidRDefault="00345560">
            <w:pPr>
              <w:jc w:val="right"/>
            </w:pPr>
            <w:r>
              <w:rPr>
                <w:color w:val="000000"/>
                <w:sz w:val="24"/>
              </w:rPr>
              <w:t>4,358,567.76</w:t>
            </w:r>
          </w:p>
        </w:tc>
        <w:tc>
          <w:tcPr>
            <w:tcW w:w="1060" w:type="dxa"/>
            <w:vAlign w:val="center"/>
          </w:tcPr>
          <w:p w:rsidR="00AB4D21" w:rsidRDefault="00345560">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0.910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25,608,999.84</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237,270.73</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25,846,270.57</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交银丰享收益债券</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AB4D21">
        <w:tc>
          <w:tcPr>
            <w:tcW w:w="1276" w:type="dxa"/>
            <w:vAlign w:val="center"/>
          </w:tcPr>
          <w:p w:rsidR="00AB4D21" w:rsidRDefault="00345560">
            <w:pPr>
              <w:jc w:val="center"/>
            </w:pPr>
            <w:r>
              <w:rPr>
                <w:color w:val="000000"/>
                <w:sz w:val="24"/>
              </w:rPr>
              <w:t>2018</w:t>
            </w:r>
            <w:r>
              <w:rPr>
                <w:color w:val="000000"/>
                <w:sz w:val="24"/>
              </w:rPr>
              <w:t>年</w:t>
            </w:r>
          </w:p>
        </w:tc>
        <w:tc>
          <w:tcPr>
            <w:tcW w:w="1701" w:type="dxa"/>
            <w:vAlign w:val="center"/>
          </w:tcPr>
          <w:p w:rsidR="00AB4D21" w:rsidRDefault="00345560">
            <w:pPr>
              <w:jc w:val="right"/>
            </w:pPr>
            <w:r>
              <w:rPr>
                <w:color w:val="000000"/>
                <w:sz w:val="24"/>
              </w:rPr>
              <w:t>0.100</w:t>
            </w:r>
          </w:p>
        </w:tc>
        <w:tc>
          <w:tcPr>
            <w:tcW w:w="1701" w:type="dxa"/>
            <w:vAlign w:val="center"/>
          </w:tcPr>
          <w:p w:rsidR="00AB4D21" w:rsidRDefault="00345560">
            <w:pPr>
              <w:jc w:val="right"/>
            </w:pPr>
            <w:r>
              <w:rPr>
                <w:color w:val="000000"/>
                <w:sz w:val="24"/>
              </w:rPr>
              <w:t>165,061.66</w:t>
            </w:r>
          </w:p>
        </w:tc>
        <w:tc>
          <w:tcPr>
            <w:tcW w:w="1701" w:type="dxa"/>
            <w:vAlign w:val="center"/>
          </w:tcPr>
          <w:p w:rsidR="00AB4D21" w:rsidRDefault="00345560">
            <w:pPr>
              <w:jc w:val="right"/>
            </w:pPr>
            <w:r>
              <w:rPr>
                <w:color w:val="000000"/>
                <w:sz w:val="24"/>
              </w:rPr>
              <w:t>4,173.57</w:t>
            </w:r>
          </w:p>
        </w:tc>
        <w:tc>
          <w:tcPr>
            <w:tcW w:w="1559" w:type="dxa"/>
            <w:vAlign w:val="center"/>
          </w:tcPr>
          <w:p w:rsidR="00AB4D21" w:rsidRDefault="00345560">
            <w:pPr>
              <w:jc w:val="right"/>
            </w:pPr>
            <w:r>
              <w:rPr>
                <w:color w:val="000000"/>
                <w:sz w:val="24"/>
              </w:rPr>
              <w:t>169,235.23</w:t>
            </w:r>
          </w:p>
        </w:tc>
        <w:tc>
          <w:tcPr>
            <w:tcW w:w="1060" w:type="dxa"/>
            <w:vAlign w:val="center"/>
          </w:tcPr>
          <w:p w:rsidR="00AB4D21" w:rsidRDefault="00345560">
            <w:pPr>
              <w:jc w:val="left"/>
            </w:pPr>
            <w:r>
              <w:rPr>
                <w:color w:val="000000"/>
                <w:sz w:val="24"/>
              </w:rPr>
              <w:t>-</w:t>
            </w:r>
          </w:p>
        </w:tc>
      </w:tr>
      <w:tr w:rsidR="00AB4D21">
        <w:tc>
          <w:tcPr>
            <w:tcW w:w="1276" w:type="dxa"/>
            <w:vAlign w:val="center"/>
          </w:tcPr>
          <w:p w:rsidR="00AB4D21" w:rsidRDefault="00345560">
            <w:pPr>
              <w:jc w:val="center"/>
            </w:pPr>
            <w:r>
              <w:rPr>
                <w:color w:val="000000"/>
                <w:sz w:val="24"/>
              </w:rPr>
              <w:t>2016</w:t>
            </w:r>
            <w:r>
              <w:rPr>
                <w:color w:val="000000"/>
                <w:sz w:val="24"/>
              </w:rPr>
              <w:t>年</w:t>
            </w:r>
          </w:p>
        </w:tc>
        <w:tc>
          <w:tcPr>
            <w:tcW w:w="1701" w:type="dxa"/>
            <w:vAlign w:val="center"/>
          </w:tcPr>
          <w:p w:rsidR="00AB4D21" w:rsidRDefault="00345560">
            <w:pPr>
              <w:jc w:val="right"/>
            </w:pPr>
            <w:r>
              <w:rPr>
                <w:color w:val="000000"/>
                <w:sz w:val="24"/>
              </w:rPr>
              <w:t>1.230</w:t>
            </w:r>
          </w:p>
        </w:tc>
        <w:tc>
          <w:tcPr>
            <w:tcW w:w="1701" w:type="dxa"/>
            <w:vAlign w:val="center"/>
          </w:tcPr>
          <w:p w:rsidR="00AB4D21" w:rsidRDefault="00345560">
            <w:pPr>
              <w:jc w:val="right"/>
            </w:pPr>
            <w:r>
              <w:rPr>
                <w:color w:val="000000"/>
                <w:sz w:val="24"/>
              </w:rPr>
              <w:t>31,904,540.12</w:t>
            </w:r>
          </w:p>
        </w:tc>
        <w:tc>
          <w:tcPr>
            <w:tcW w:w="1701" w:type="dxa"/>
            <w:vAlign w:val="center"/>
          </w:tcPr>
          <w:p w:rsidR="00AB4D21" w:rsidRDefault="00345560">
            <w:pPr>
              <w:jc w:val="right"/>
            </w:pPr>
            <w:r>
              <w:rPr>
                <w:color w:val="000000"/>
                <w:sz w:val="24"/>
              </w:rPr>
              <w:t>-</w:t>
            </w:r>
          </w:p>
        </w:tc>
        <w:tc>
          <w:tcPr>
            <w:tcW w:w="1559" w:type="dxa"/>
            <w:vAlign w:val="center"/>
          </w:tcPr>
          <w:p w:rsidR="00AB4D21" w:rsidRDefault="00345560">
            <w:pPr>
              <w:jc w:val="right"/>
            </w:pPr>
            <w:r>
              <w:rPr>
                <w:color w:val="000000"/>
                <w:sz w:val="24"/>
              </w:rPr>
              <w:t>31,904,540.12</w:t>
            </w:r>
          </w:p>
        </w:tc>
        <w:tc>
          <w:tcPr>
            <w:tcW w:w="1060" w:type="dxa"/>
            <w:vAlign w:val="center"/>
          </w:tcPr>
          <w:p w:rsidR="00AB4D21" w:rsidRDefault="00345560">
            <w:pPr>
              <w:jc w:val="left"/>
            </w:pPr>
            <w:r>
              <w:rPr>
                <w:color w:val="000000"/>
                <w:sz w:val="24"/>
              </w:rPr>
              <w:t>-</w:t>
            </w:r>
          </w:p>
        </w:tc>
      </w:tr>
      <w:tr w:rsidR="00AB4D21">
        <w:tc>
          <w:tcPr>
            <w:tcW w:w="1276" w:type="dxa"/>
            <w:vAlign w:val="center"/>
          </w:tcPr>
          <w:p w:rsidR="00AB4D21" w:rsidRDefault="00345560">
            <w:pPr>
              <w:jc w:val="center"/>
            </w:pPr>
            <w:r>
              <w:rPr>
                <w:color w:val="000000"/>
                <w:sz w:val="24"/>
              </w:rPr>
              <w:t>2017</w:t>
            </w:r>
            <w:r>
              <w:rPr>
                <w:color w:val="000000"/>
                <w:sz w:val="24"/>
              </w:rPr>
              <w:t>年</w:t>
            </w:r>
          </w:p>
        </w:tc>
        <w:tc>
          <w:tcPr>
            <w:tcW w:w="1701" w:type="dxa"/>
            <w:vAlign w:val="center"/>
          </w:tcPr>
          <w:p w:rsidR="00AB4D21" w:rsidRDefault="00345560">
            <w:pPr>
              <w:jc w:val="right"/>
            </w:pPr>
            <w:r>
              <w:rPr>
                <w:color w:val="000000"/>
                <w:sz w:val="24"/>
              </w:rPr>
              <w:t>0.090</w:t>
            </w:r>
          </w:p>
        </w:tc>
        <w:tc>
          <w:tcPr>
            <w:tcW w:w="1701" w:type="dxa"/>
            <w:vAlign w:val="center"/>
          </w:tcPr>
          <w:p w:rsidR="00AB4D21" w:rsidRDefault="00345560">
            <w:pPr>
              <w:jc w:val="right"/>
            </w:pPr>
            <w:r>
              <w:rPr>
                <w:color w:val="000000"/>
                <w:sz w:val="24"/>
              </w:rPr>
              <w:t>405,769.01</w:t>
            </w:r>
          </w:p>
        </w:tc>
        <w:tc>
          <w:tcPr>
            <w:tcW w:w="1701" w:type="dxa"/>
            <w:vAlign w:val="center"/>
          </w:tcPr>
          <w:p w:rsidR="00AB4D21" w:rsidRDefault="00345560">
            <w:pPr>
              <w:jc w:val="right"/>
            </w:pPr>
            <w:r>
              <w:rPr>
                <w:color w:val="000000"/>
                <w:sz w:val="24"/>
              </w:rPr>
              <w:t>3,748.36</w:t>
            </w:r>
          </w:p>
        </w:tc>
        <w:tc>
          <w:tcPr>
            <w:tcW w:w="1559" w:type="dxa"/>
            <w:vAlign w:val="center"/>
          </w:tcPr>
          <w:p w:rsidR="00AB4D21" w:rsidRDefault="00345560">
            <w:pPr>
              <w:jc w:val="right"/>
            </w:pPr>
            <w:r>
              <w:rPr>
                <w:color w:val="000000"/>
                <w:sz w:val="24"/>
              </w:rPr>
              <w:t>409,517.37</w:t>
            </w:r>
          </w:p>
        </w:tc>
        <w:tc>
          <w:tcPr>
            <w:tcW w:w="1060" w:type="dxa"/>
            <w:vAlign w:val="center"/>
          </w:tcPr>
          <w:p w:rsidR="00AB4D21" w:rsidRDefault="00345560">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1.420</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32,475,370.79</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7,921.93</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32,483,292.72</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3"/>
      <w:bookmarkEnd w:id="2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5"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5"/>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AB4D21" w:rsidRDefault="00345560">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77</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任本基金的基金经理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AB4D21">
        <w:tc>
          <w:tcPr>
            <w:tcW w:w="1499" w:type="dxa"/>
            <w:vAlign w:val="center"/>
          </w:tcPr>
          <w:p w:rsidR="00AB4D21" w:rsidRDefault="00345560">
            <w:pPr>
              <w:jc w:val="center"/>
            </w:pPr>
            <w:r>
              <w:rPr>
                <w:color w:val="000000"/>
                <w:sz w:val="24"/>
              </w:rPr>
              <w:t>黄莹洁</w:t>
            </w:r>
          </w:p>
        </w:tc>
        <w:tc>
          <w:tcPr>
            <w:tcW w:w="1499" w:type="dxa"/>
            <w:vAlign w:val="center"/>
          </w:tcPr>
          <w:p w:rsidR="00AB4D21" w:rsidRDefault="00345560">
            <w:pPr>
              <w:jc w:val="center"/>
            </w:pPr>
            <w:r>
              <w:rPr>
                <w:color w:val="000000"/>
                <w:sz w:val="24"/>
              </w:rPr>
              <w:t>交银货币、交银理财</w:t>
            </w:r>
            <w:r>
              <w:rPr>
                <w:color w:val="000000"/>
                <w:sz w:val="24"/>
              </w:rPr>
              <w:t>21</w:t>
            </w:r>
            <w:r>
              <w:rPr>
                <w:color w:val="000000"/>
                <w:sz w:val="24"/>
              </w:rPr>
              <w:t>天债券、交银现金宝货币、交银丰享收益债券、交银裕通纯债债券、交银活期通货币、交银天利宝货币、交银裕隆纯债债券、交银天鑫宝货币、交银天益宝货币、交银境尚收益债券的基金经理</w:t>
            </w:r>
          </w:p>
        </w:tc>
        <w:tc>
          <w:tcPr>
            <w:tcW w:w="1255" w:type="dxa"/>
            <w:vAlign w:val="center"/>
          </w:tcPr>
          <w:p w:rsidR="00AB4D21" w:rsidRDefault="00345560">
            <w:pPr>
              <w:jc w:val="center"/>
            </w:pPr>
            <w:r>
              <w:rPr>
                <w:color w:val="000000"/>
                <w:sz w:val="24"/>
              </w:rPr>
              <w:t>2015-07-25</w:t>
            </w:r>
          </w:p>
        </w:tc>
        <w:tc>
          <w:tcPr>
            <w:tcW w:w="1276" w:type="dxa"/>
            <w:vAlign w:val="center"/>
          </w:tcPr>
          <w:p w:rsidR="00AB4D21" w:rsidRDefault="00345560">
            <w:pPr>
              <w:jc w:val="center"/>
            </w:pPr>
            <w:r>
              <w:rPr>
                <w:color w:val="000000"/>
                <w:sz w:val="24"/>
              </w:rPr>
              <w:t>-</w:t>
            </w:r>
          </w:p>
        </w:tc>
        <w:tc>
          <w:tcPr>
            <w:tcW w:w="992" w:type="dxa"/>
            <w:vAlign w:val="center"/>
          </w:tcPr>
          <w:p w:rsidR="00AB4D21" w:rsidRDefault="00345560">
            <w:pPr>
              <w:jc w:val="center"/>
            </w:pPr>
            <w:r>
              <w:rPr>
                <w:color w:val="000000"/>
                <w:sz w:val="24"/>
              </w:rPr>
              <w:t>10</w:t>
            </w:r>
            <w:r>
              <w:rPr>
                <w:color w:val="000000"/>
                <w:sz w:val="24"/>
              </w:rPr>
              <w:t>年</w:t>
            </w:r>
          </w:p>
        </w:tc>
        <w:tc>
          <w:tcPr>
            <w:tcW w:w="2477" w:type="dxa"/>
            <w:vAlign w:val="center"/>
          </w:tcPr>
          <w:p w:rsidR="00AB4D21" w:rsidRDefault="00345560">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bl>
    <w:p w:rsidR="00AB4D21" w:rsidRDefault="00345560">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AB4D21" w:rsidRDefault="00345560">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6" w:name="_Toc225498256"/>
      <w:bookmarkStart w:id="27"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6"/>
      <w:bookmarkEnd w:id="27"/>
    </w:p>
    <w:p w:rsidR="001A59F9" w:rsidRPr="001358D2" w:rsidRDefault="001A59F9" w:rsidP="001358D2">
      <w:pPr>
        <w:spacing w:before="29" w:line="288" w:lineRule="auto"/>
        <w:ind w:firstLineChars="200" w:firstLine="480"/>
        <w:rPr>
          <w:color w:val="000000"/>
          <w:sz w:val="24"/>
        </w:rPr>
      </w:pPr>
      <w:r w:rsidRPr="001358D2">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8" w:name="_Toc225498257"/>
      <w:bookmarkStart w:id="29"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8"/>
      <w:bookmarkEnd w:id="2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AB4D21" w:rsidRDefault="00345560">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B4D21" w:rsidRDefault="00345560">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AB4D21" w:rsidRDefault="00345560">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B4D21" w:rsidRDefault="00345560">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AB4D21" w:rsidRDefault="00345560">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AB4D21" w:rsidRDefault="00345560">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B4D21" w:rsidRDefault="00345560">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B4D21" w:rsidRDefault="00345560">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1358D2" w:rsidRDefault="001A59F9" w:rsidP="001358D2">
      <w:pPr>
        <w:spacing w:before="29" w:line="288" w:lineRule="auto"/>
        <w:ind w:firstLineChars="200" w:firstLine="480"/>
        <w:rPr>
          <w:color w:val="000000"/>
          <w:sz w:val="24"/>
        </w:rPr>
      </w:pPr>
      <w:r w:rsidRPr="001358D2">
        <w:rPr>
          <w:color w:val="000000"/>
          <w:sz w:val="24"/>
        </w:rPr>
        <w:t>报告期内本公司严格执行公平交易制度，公平对待旗下各投资组合，未发现任何违反公平交易的行为。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0" w:name="_Toc225498258"/>
      <w:bookmarkStart w:id="31"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0"/>
      <w:bookmarkEnd w:id="3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AB4D21" w:rsidRDefault="00345560">
      <w:pPr>
        <w:spacing w:before="29" w:line="288" w:lineRule="auto"/>
        <w:ind w:firstLineChars="200" w:firstLine="480"/>
        <w:rPr>
          <w:color w:val="000000"/>
          <w:sz w:val="24"/>
        </w:rPr>
      </w:pPr>
      <w:r>
        <w:rPr>
          <w:color w:val="000000"/>
          <w:sz w:val="24"/>
        </w:rPr>
        <w:t>本报告期内，在</w:t>
      </w:r>
      <w:r>
        <w:rPr>
          <w:color w:val="000000"/>
          <w:sz w:val="24"/>
        </w:rPr>
        <w:t>“</w:t>
      </w:r>
      <w:r>
        <w:rPr>
          <w:color w:val="000000"/>
          <w:sz w:val="24"/>
        </w:rPr>
        <w:t>宽货币紧信用</w:t>
      </w:r>
      <w:r>
        <w:rPr>
          <w:color w:val="000000"/>
          <w:sz w:val="24"/>
        </w:rPr>
        <w:t>”</w:t>
      </w:r>
      <w:r>
        <w:rPr>
          <w:color w:val="000000"/>
          <w:sz w:val="24"/>
        </w:rPr>
        <w:t>的环境下，</w:t>
      </w:r>
      <w:r>
        <w:rPr>
          <w:color w:val="000000"/>
          <w:sz w:val="24"/>
        </w:rPr>
        <w:t>GDP</w:t>
      </w:r>
      <w:r>
        <w:rPr>
          <w:color w:val="000000"/>
          <w:sz w:val="24"/>
        </w:rPr>
        <w:t>名义增速明显回落，带动国债收益率从</w:t>
      </w:r>
      <w:r>
        <w:rPr>
          <w:color w:val="000000"/>
          <w:sz w:val="24"/>
        </w:rPr>
        <w:t>3.88%</w:t>
      </w:r>
      <w:r>
        <w:rPr>
          <w:color w:val="000000"/>
          <w:sz w:val="24"/>
        </w:rPr>
        <w:t>回落到</w:t>
      </w:r>
      <w:r>
        <w:rPr>
          <w:color w:val="000000"/>
          <w:sz w:val="24"/>
        </w:rPr>
        <w:t>3.22%</w:t>
      </w:r>
      <w:r>
        <w:rPr>
          <w:color w:val="000000"/>
          <w:sz w:val="24"/>
        </w:rPr>
        <w:t>，债券牛市格局确立。经济增长放缓得到确认、通胀预期的消弭、风险资产价格的下行以及全球货币政策偏宽松等因素成为债券市场收益率变动的主要原因。</w:t>
      </w:r>
    </w:p>
    <w:p w:rsidR="00AB4D21" w:rsidRDefault="00345560">
      <w:pPr>
        <w:spacing w:before="29" w:line="288" w:lineRule="auto"/>
        <w:ind w:firstLineChars="200" w:firstLine="480"/>
        <w:rPr>
          <w:color w:val="000000"/>
          <w:sz w:val="24"/>
        </w:rPr>
      </w:pPr>
      <w:r>
        <w:rPr>
          <w:color w:val="000000"/>
          <w:sz w:val="24"/>
        </w:rPr>
        <w:t>流动性方面，</w:t>
      </w:r>
      <w:r>
        <w:rPr>
          <w:color w:val="000000"/>
          <w:sz w:val="24"/>
        </w:rPr>
        <w:t>2018</w:t>
      </w:r>
      <w:r>
        <w:rPr>
          <w:color w:val="000000"/>
          <w:sz w:val="24"/>
        </w:rPr>
        <w:t>年以来货币政策对流动性的表述出现了两次变化，首先是年初从基本稳定到合理稳定，六月末央行例会再到合理充裕，资金成本出现非常明显的下行。回顾过去流动性定调的变化，我们发现合理充裕仅在</w:t>
      </w:r>
      <w:r>
        <w:rPr>
          <w:color w:val="000000"/>
          <w:sz w:val="24"/>
        </w:rPr>
        <w:t>2015</w:t>
      </w:r>
      <w:r>
        <w:rPr>
          <w:color w:val="000000"/>
          <w:sz w:val="24"/>
        </w:rPr>
        <w:t>年末之后开始使用，且隔夜资金回购利率长期维持在</w:t>
      </w:r>
      <w:r>
        <w:rPr>
          <w:color w:val="000000"/>
          <w:sz w:val="24"/>
        </w:rPr>
        <w:t>2%</w:t>
      </w:r>
      <w:r>
        <w:rPr>
          <w:color w:val="000000"/>
          <w:sz w:val="24"/>
        </w:rPr>
        <w:t>附近，预计本次定调短期不会变化，短端利率将维持低位。</w:t>
      </w:r>
    </w:p>
    <w:p w:rsidR="001A59F9" w:rsidRPr="001358D2" w:rsidRDefault="001A59F9" w:rsidP="001358D2">
      <w:pPr>
        <w:spacing w:before="29" w:line="288" w:lineRule="auto"/>
        <w:ind w:firstLineChars="200" w:firstLine="480"/>
        <w:rPr>
          <w:color w:val="000000"/>
          <w:sz w:val="24"/>
        </w:rPr>
      </w:pPr>
      <w:r w:rsidRPr="001358D2">
        <w:rPr>
          <w:color w:val="000000"/>
          <w:sz w:val="24"/>
        </w:rPr>
        <w:t>基金操作方面，由于组合规模较小，投资信用债受到一定的限制，组合以投资中短久期的利率债为主。</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本基金（各类）份额净值及业绩表现请见</w:t>
      </w:r>
      <w:r w:rsidRPr="001358D2">
        <w:rPr>
          <w:color w:val="000000"/>
          <w:sz w:val="24"/>
        </w:rPr>
        <w:t>“3.1</w:t>
      </w:r>
      <w:r w:rsidRPr="001358D2">
        <w:rPr>
          <w:color w:val="000000"/>
          <w:sz w:val="24"/>
        </w:rPr>
        <w:t>主要会计数据和财务指标</w:t>
      </w:r>
      <w:r w:rsidRPr="001358D2">
        <w:rPr>
          <w:color w:val="000000"/>
          <w:sz w:val="24"/>
        </w:rPr>
        <w:t xml:space="preserve">” </w:t>
      </w:r>
      <w:r w:rsidRPr="001358D2">
        <w:rPr>
          <w:color w:val="000000"/>
          <w:sz w:val="24"/>
        </w:rPr>
        <w:t>及</w:t>
      </w:r>
      <w:r w:rsidRPr="001358D2">
        <w:rPr>
          <w:color w:val="000000"/>
          <w:sz w:val="24"/>
        </w:rPr>
        <w:t>“3.2.1</w:t>
      </w:r>
      <w:r w:rsidRPr="001358D2">
        <w:rPr>
          <w:color w:val="000000"/>
          <w:sz w:val="24"/>
        </w:rPr>
        <w:t>基金份额净值增长率及其与同期业绩比较基准收益率的比较</w:t>
      </w:r>
      <w:r w:rsidRPr="001358D2">
        <w:rPr>
          <w:color w:val="000000"/>
          <w:sz w:val="24"/>
        </w:rPr>
        <w:t>”</w:t>
      </w:r>
      <w:r w:rsidRPr="001358D2">
        <w:rPr>
          <w:color w:val="000000"/>
          <w:sz w:val="24"/>
        </w:rPr>
        <w:t>部分披露。</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2" w:name="_Toc225498259"/>
      <w:bookmarkStart w:id="33"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2"/>
      <w:bookmarkEnd w:id="33"/>
    </w:p>
    <w:p w:rsidR="00AB4D21" w:rsidRDefault="00345560">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年，我们认为受净出口回落、地产投资下滑影响，经济基本面仍有下行的压力。通胀方面预期在</w:t>
      </w:r>
      <w:r>
        <w:rPr>
          <w:color w:val="000000"/>
          <w:sz w:val="24"/>
        </w:rPr>
        <w:t>2019</w:t>
      </w:r>
      <w:r>
        <w:rPr>
          <w:color w:val="000000"/>
          <w:sz w:val="24"/>
        </w:rPr>
        <w:t>年二季度略有上行但整体通胀压力有限，流动性维持合理充裕的局面。虽然政治局会议进一步加强稳增长政策的力度，但是无论是资金供给端还是需求端都限制了信贷社融的大幅扩大，预计从政策实施到经济企稳仍有较长的时滞，债券市场行情预计将延续。</w:t>
      </w:r>
    </w:p>
    <w:p w:rsidR="00D54B59" w:rsidRPr="001358D2" w:rsidRDefault="00D54B59" w:rsidP="001358D2">
      <w:pPr>
        <w:spacing w:before="29" w:line="288" w:lineRule="auto"/>
        <w:ind w:firstLineChars="200" w:firstLine="480"/>
        <w:rPr>
          <w:color w:val="000000"/>
          <w:sz w:val="24"/>
        </w:rPr>
      </w:pPr>
      <w:r w:rsidRPr="001358D2">
        <w:rPr>
          <w:color w:val="000000"/>
          <w:sz w:val="24"/>
        </w:rPr>
        <w:t>我们将密切关注低评级信用债风险的演化、中美贸易战推进以及境内外货币政策变化等因素对市场的影响。在保持组合流动性的前提下积极关注交易窗口，把握适度久期，同时继续关注信用风险，努力为持有人创造稳健的收益。</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4"/>
      <w:bookmarkEnd w:id="35"/>
      <w:bookmarkEnd w:id="36"/>
    </w:p>
    <w:p w:rsidR="00AB4D21" w:rsidRDefault="00345560">
      <w:pPr>
        <w:spacing w:before="29" w:line="288" w:lineRule="auto"/>
        <w:ind w:firstLineChars="200" w:firstLine="480"/>
        <w:rPr>
          <w:rFonts w:asciiTheme="minorEastAsia" w:eastAsiaTheme="minorEastAsia" w:hAnsiTheme="minorEastAsia"/>
          <w:color w:val="000000"/>
          <w:szCs w:val="21"/>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B4D21" w:rsidRDefault="00345560">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7"/>
      <w:bookmarkEnd w:id="38"/>
      <w:bookmarkEnd w:id="39"/>
    </w:p>
    <w:p w:rsidR="00D54B59" w:rsidRPr="001358D2" w:rsidRDefault="00D54B59" w:rsidP="001358D2">
      <w:pPr>
        <w:spacing w:before="29" w:line="288" w:lineRule="auto"/>
        <w:ind w:firstLineChars="200" w:firstLine="480"/>
        <w:rPr>
          <w:color w:val="000000"/>
          <w:sz w:val="24"/>
        </w:rPr>
      </w:pPr>
      <w:r w:rsidRPr="001358D2">
        <w:rPr>
          <w:color w:val="000000"/>
          <w:sz w:val="24"/>
        </w:rPr>
        <w:t>根据相关法律法规和基金合同要求，本基金本报告期内对本报告期可供分配利润进行了收益分配，具体情况参见</w:t>
      </w:r>
      <w:r w:rsidR="00024D28">
        <w:rPr>
          <w:rFonts w:hint="eastAsia"/>
          <w:color w:val="000000"/>
          <w:sz w:val="24"/>
        </w:rPr>
        <w:t>年度报告正文</w:t>
      </w:r>
      <w:bookmarkStart w:id="40" w:name="_GoBack"/>
      <w:bookmarkEnd w:id="40"/>
      <w:r w:rsidRPr="001358D2">
        <w:rPr>
          <w:color w:val="000000"/>
          <w:sz w:val="24"/>
        </w:rPr>
        <w:t>7.4.11</w:t>
      </w:r>
      <w:r w:rsidRPr="001358D2">
        <w:rPr>
          <w:color w:val="000000"/>
          <w:sz w:val="24"/>
        </w:rPr>
        <w:t>利润分配情况。</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本基金本报告期内连续六十个工作日以上出现基金资产净值低于</w:t>
      </w:r>
      <w:r w:rsidRPr="00BB731C">
        <w:rPr>
          <w:kern w:val="0"/>
          <w:sz w:val="24"/>
        </w:rPr>
        <w:t>5000</w:t>
      </w:r>
      <w:r w:rsidRPr="00BB731C">
        <w:rPr>
          <w:kern w:val="0"/>
          <w:sz w:val="24"/>
        </w:rPr>
        <w:t>万元的情形，截至本报告期末，本基金基金资产净值仍低于</w:t>
      </w:r>
      <w:r w:rsidRPr="00BB731C">
        <w:rPr>
          <w:kern w:val="0"/>
          <w:sz w:val="24"/>
        </w:rPr>
        <w:t>5000</w:t>
      </w:r>
      <w:r w:rsidRPr="00BB731C">
        <w:rPr>
          <w:kern w:val="0"/>
          <w:sz w:val="24"/>
        </w:rPr>
        <w:t>万元。</w:t>
      </w:r>
    </w:p>
    <w:p w:rsidR="00244F18" w:rsidRPr="001358D2" w:rsidRDefault="00244F18" w:rsidP="001358D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1"/>
      <w:bookmarkEnd w:id="4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3" w:name="_Toc225498264"/>
      <w:bookmarkStart w:id="44"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3"/>
      <w:bookmarkEnd w:id="44"/>
    </w:p>
    <w:p w:rsidR="001A59F9" w:rsidRPr="005A1E76" w:rsidRDefault="001A59F9" w:rsidP="005A1E76">
      <w:pPr>
        <w:spacing w:before="29" w:line="288" w:lineRule="auto"/>
        <w:ind w:firstLineChars="200" w:firstLine="480"/>
        <w:rPr>
          <w:color w:val="000000"/>
          <w:sz w:val="24"/>
        </w:rPr>
      </w:pPr>
      <w:r w:rsidRPr="005A1E76">
        <w:rPr>
          <w:color w:val="000000"/>
          <w:sz w:val="24"/>
        </w:rPr>
        <w:t>作为本基金的托管人，中信银行严格遵守了《证券投资基金法》及其他有关法律法规、基金合同和托管协议的规定，对交银施罗德丰享收益债券型证券投资基金</w:t>
      </w:r>
      <w:r w:rsidRPr="005A1E76">
        <w:rPr>
          <w:color w:val="000000"/>
          <w:sz w:val="24"/>
        </w:rPr>
        <w:t>2018</w:t>
      </w:r>
      <w:r w:rsidRPr="005A1E76">
        <w:rPr>
          <w:color w:val="000000"/>
          <w:sz w:val="24"/>
        </w:rPr>
        <w:t>年度的投资运作，进行了认真、独立的会计核算和必要的投资监督，履行了托管人的义务，不存在任何损害基金份额持有人利益的行为。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5" w:name="_Toc225498265"/>
      <w:bookmarkStart w:id="46"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5"/>
      <w:r w:rsidRPr="00C2179A">
        <w:rPr>
          <w:rFonts w:ascii="Times New Roman" w:hAnsi="Times New Roman" w:hint="eastAsia"/>
          <w:kern w:val="0"/>
          <w:szCs w:val="24"/>
        </w:rPr>
        <w:t>说明</w:t>
      </w:r>
      <w:bookmarkEnd w:id="46"/>
    </w:p>
    <w:p w:rsidR="001A59F9" w:rsidRPr="005A1E76"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在交银施罗德丰享收益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7" w:name="_Toc225498266"/>
      <w:bookmarkStart w:id="48"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的信息披露事务符合《证券投资基金信息披露管理办法》及其他相关法律法规的规定，基金管理人所编制和披露的交银施罗德丰享收益债券型证券投资基金年度报告中的财务指标、净值表现、收益分配情况、财务会计报告、投资组合报告等信息真实、准确、完整，未发现有损害基金持有人利益的行为。</w:t>
      </w:r>
    </w:p>
    <w:p w:rsidR="00A93B42" w:rsidRPr="005A1E76" w:rsidRDefault="00A93B42" w:rsidP="005A1E76">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9"/>
      <w:bookmarkEnd w:id="50"/>
      <w:bookmarkEnd w:id="51"/>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1F3653">
        <w:rPr>
          <w:color w:val="000000"/>
          <w:sz w:val="24"/>
        </w:rPr>
        <w:t>)</w:t>
      </w:r>
      <w:r w:rsidRPr="00A009EE">
        <w:rPr>
          <w:rFonts w:hint="eastAsia"/>
          <w:color w:val="000000"/>
          <w:sz w:val="24"/>
        </w:rPr>
        <w:t>对</w:t>
      </w:r>
      <w:r w:rsidRPr="003C6BFD">
        <w:rPr>
          <w:color w:val="000000"/>
          <w:sz w:val="24"/>
        </w:rPr>
        <w:t>交银施罗德丰享收益债券型证券投资基金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21517</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2"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3" w:name="_Toc225498268"/>
      <w:bookmarkStart w:id="54"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3"/>
      <w:bookmarkEnd w:id="54"/>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交银施罗德丰享收益债券型证券投资基金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2018</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2018</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c>
          <w:tcPr>
            <w:tcW w:w="2194"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777,476.45</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287,954.04</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6,546.48</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5,628.74</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40,128,000.00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640,745,500.00</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40,128,000.00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640,745,500.00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636,888.86</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10,209,188.48</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30,104.94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20,456.70</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41,579,016.73</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651,268,727.96</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2018</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p>
        </w:tc>
        <w:tc>
          <w:tcPr>
            <w:tcW w:w="2194" w:type="dxa"/>
            <w:vAlign w:val="center"/>
          </w:tcPr>
          <w:p w:rsidR="009566C1" w:rsidRPr="003971A1" w:rsidRDefault="009566C1" w:rsidP="003971A1">
            <w:pPr>
              <w:spacing w:before="29" w:line="288" w:lineRule="auto"/>
              <w:jc w:val="right"/>
              <w:rPr>
                <w:color w:val="000000"/>
                <w:sz w:val="24"/>
              </w:rPr>
            </w:pP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99,989,530.01</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应付赎回款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3,344.61</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136,656.66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10,584.77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140,544.88</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3,528.26</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46,848.32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4,644.43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9,813.54</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3,041.50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8,738.55</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61,668.52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149,300.45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190,078.23</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174,444.02</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100,583,878.71</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p>
        </w:tc>
        <w:tc>
          <w:tcPr>
            <w:tcW w:w="2194" w:type="dxa"/>
            <w:vAlign w:val="center"/>
          </w:tcPr>
          <w:p w:rsidR="003E1AB8" w:rsidRPr="003971A1" w:rsidRDefault="003E1AB8" w:rsidP="003971A1">
            <w:pPr>
              <w:spacing w:before="29" w:line="288" w:lineRule="auto"/>
              <w:jc w:val="right"/>
              <w:rPr>
                <w:color w:val="000000"/>
                <w:sz w:val="24"/>
              </w:rPr>
            </w:pP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26,783,125.54</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287,409,401.88</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14,621,447.17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263,275,447.37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41,404,572.71</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550,684,849.25</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41,579,016.73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651,268,727.96</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2018</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w:t>
      </w:r>
      <w:r w:rsidR="001A59F9" w:rsidRPr="00E25C2A">
        <w:rPr>
          <w:kern w:val="0"/>
          <w:sz w:val="24"/>
        </w:rPr>
        <w:t>类基金份额净值</w:t>
      </w:r>
      <w:r w:rsidR="001A59F9" w:rsidRPr="00E25C2A">
        <w:rPr>
          <w:kern w:val="0"/>
          <w:sz w:val="24"/>
        </w:rPr>
        <w:t>2.016</w:t>
      </w:r>
      <w:r w:rsidR="001A59F9" w:rsidRPr="00E25C2A">
        <w:rPr>
          <w:kern w:val="0"/>
          <w:sz w:val="24"/>
        </w:rPr>
        <w:t>元，</w:t>
      </w:r>
      <w:r w:rsidR="001A59F9" w:rsidRPr="00E25C2A">
        <w:rPr>
          <w:kern w:val="0"/>
          <w:sz w:val="24"/>
        </w:rPr>
        <w:t>C</w:t>
      </w:r>
      <w:r w:rsidR="001A59F9" w:rsidRPr="00E25C2A">
        <w:rPr>
          <w:kern w:val="0"/>
          <w:sz w:val="24"/>
        </w:rPr>
        <w:t>类基金份额净值</w:t>
      </w:r>
      <w:r w:rsidR="001A59F9" w:rsidRPr="00E25C2A">
        <w:rPr>
          <w:kern w:val="0"/>
          <w:sz w:val="24"/>
        </w:rPr>
        <w:t>1.052</w:t>
      </w:r>
      <w:r w:rsidR="001A59F9" w:rsidRPr="00E25C2A">
        <w:rPr>
          <w:kern w:val="0"/>
          <w:sz w:val="24"/>
        </w:rPr>
        <w:t>元，基金份额总额</w:t>
      </w:r>
      <w:r w:rsidR="001A59F9" w:rsidRPr="00E25C2A">
        <w:rPr>
          <w:kern w:val="0"/>
          <w:sz w:val="24"/>
        </w:rPr>
        <w:t>26,783,125.54</w:t>
      </w:r>
      <w:r w:rsidR="001A59F9" w:rsidRPr="00E25C2A">
        <w:rPr>
          <w:kern w:val="0"/>
          <w:sz w:val="24"/>
        </w:rPr>
        <w:t>份，其中</w:t>
      </w:r>
      <w:r w:rsidR="001A59F9" w:rsidRPr="00E25C2A">
        <w:rPr>
          <w:kern w:val="0"/>
          <w:sz w:val="24"/>
        </w:rPr>
        <w:t>A</w:t>
      </w:r>
      <w:r w:rsidR="001A59F9" w:rsidRPr="00E25C2A">
        <w:rPr>
          <w:kern w:val="0"/>
          <w:sz w:val="24"/>
        </w:rPr>
        <w:t>类基金份额</w:t>
      </w:r>
      <w:r w:rsidR="001A59F9" w:rsidRPr="00E25C2A">
        <w:rPr>
          <w:kern w:val="0"/>
          <w:sz w:val="24"/>
        </w:rPr>
        <w:t>13,733,982.68</w:t>
      </w:r>
      <w:r w:rsidR="001A59F9" w:rsidRPr="00E25C2A">
        <w:rPr>
          <w:kern w:val="0"/>
          <w:sz w:val="24"/>
        </w:rPr>
        <w:t>份，</w:t>
      </w:r>
      <w:r w:rsidR="001A59F9" w:rsidRPr="00E25C2A">
        <w:rPr>
          <w:kern w:val="0"/>
          <w:sz w:val="24"/>
        </w:rPr>
        <w:t>C</w:t>
      </w:r>
      <w:r w:rsidR="001A59F9" w:rsidRPr="00E25C2A">
        <w:rPr>
          <w:kern w:val="0"/>
          <w:sz w:val="24"/>
        </w:rPr>
        <w:t>类基金份额</w:t>
      </w:r>
      <w:r w:rsidR="001A59F9" w:rsidRPr="00E25C2A">
        <w:rPr>
          <w:kern w:val="0"/>
          <w:sz w:val="24"/>
        </w:rPr>
        <w:t>13,049,142.86</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5" w:name="_Toc225498269"/>
      <w:bookmarkStart w:id="56"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5"/>
      <w:bookmarkEnd w:id="56"/>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交银施罗德丰享收益债券型证券投资基金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20,569,546.39</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13,451,660.01</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18,446,041.11</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18,231,646.17</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259,647.56</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1,006,207.64</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17,422,068.12</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16,408,840.27</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764,325.43</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816,598.26</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1,922,513.38</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-4,653,146.22</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1,922,513.38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-4,653,146.22</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181,366.03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-235,619.11</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19,625.87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108,779.17</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2,491,235.04</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4,596,226.75</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1,238,206.43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2,431,207.59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412,735.47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497,046.54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69,002.96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310,508.34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10,875.00</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16,052.47</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462,130.06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1,040,901.71</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462,130.06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1,040,901.71</w:t>
            </w:r>
          </w:p>
        </w:tc>
      </w:tr>
      <w:tr w:rsidR="00FB2916" w:rsidRPr="008B2C7A" w:rsidTr="00822739">
        <w:tc>
          <w:tcPr>
            <w:tcW w:w="3544" w:type="dxa"/>
            <w:vAlign w:val="center"/>
          </w:tcPr>
          <w:p w:rsidR="00FB2916" w:rsidRPr="00FB2916" w:rsidRDefault="00FB2916"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2" w:type="dxa"/>
            <w:vAlign w:val="center"/>
          </w:tcPr>
          <w:p w:rsidR="00FB2916" w:rsidRPr="00FB2916" w:rsidRDefault="00FB2916" w:rsidP="005B0242">
            <w:pPr>
              <w:pStyle w:val="af6"/>
              <w:jc w:val="center"/>
              <w:rPr>
                <w:rFonts w:ascii="Times New Roman" w:eastAsiaTheme="minorEastAsia" w:hAnsi="Times New Roman"/>
                <w:color w:val="000000"/>
              </w:rPr>
            </w:pPr>
          </w:p>
        </w:tc>
        <w:tc>
          <w:tcPr>
            <w:tcW w:w="2268"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49,596.36</w:t>
            </w:r>
          </w:p>
        </w:tc>
        <w:tc>
          <w:tcPr>
            <w:tcW w:w="2207"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Pr>
                <w:rFonts w:hint="eastAsia"/>
                <w:color w:val="000000"/>
                <w:sz w:val="24"/>
              </w:rPr>
              <w:t>7</w:t>
            </w:r>
            <w:r w:rsidRPr="00F73D78">
              <w:rPr>
                <w:rFonts w:hint="eastAsia"/>
                <w:color w:val="000000"/>
                <w:sz w:val="24"/>
              </w:rPr>
              <w:t>．其他费用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r>
              <w:t>7.4.7.20</w:t>
            </w: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248,688.76</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300,510.10</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三、利润总额（亏损总额以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18,078,311.35</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8,855,433.26</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四、净利润（净亏损以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18,078,311.35</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8,855,433.26</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7" w:name="_Toc225498270"/>
      <w:bookmarkStart w:id="58"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7"/>
      <w:bookmarkEnd w:id="58"/>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交银施罗德丰享收益债券型证券投资基金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287,409,401.88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263,275,447.37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550,684,849.25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18,078,311.35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18,078,311.35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-260,626,276.34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-245,075,373.51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-505,701,649.85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30,687,216.64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29,428,771.19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60,115,987.83</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-291,313,492.98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-274,504,144.70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-565,817,637.68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-21,656,938.04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-21,656,938.04</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26,783,125.54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14,621,447.17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41,404,572.71</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259,386,490.95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2,038,361.90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261,424,852.85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8,855,433.26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8,855,433.26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28,022,910.93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257,149,737.34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285,172,648.27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1,176,055,836.74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281,774,771.92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1,457,830,608.66</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-1,148,032,925.81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-24,625,034.58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-1,172,657,960.39</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-4,768,085.13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-4,768,085.13</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287,409,401.88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263,275,447.37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550,684,849.25</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负责人：谢卫，主管会计工作负责人：夏华龙，会计机构负责人：单江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9" w:name="_Toc225498271"/>
      <w:bookmarkStart w:id="60"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9"/>
      <w:bookmarkEnd w:id="6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AB4D21" w:rsidRDefault="00345560">
      <w:pPr>
        <w:spacing w:before="29" w:line="288" w:lineRule="auto"/>
        <w:ind w:firstLineChars="200" w:firstLine="480"/>
        <w:rPr>
          <w:color w:val="000000"/>
          <w:sz w:val="24"/>
        </w:rPr>
      </w:pPr>
      <w:r>
        <w:rPr>
          <w:color w:val="000000"/>
          <w:sz w:val="24"/>
        </w:rPr>
        <w:t>交银施罗德丰享收益债券型证券投资基金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[2014]1019</w:t>
      </w:r>
      <w:r>
        <w:rPr>
          <w:color w:val="000000"/>
          <w:sz w:val="24"/>
        </w:rPr>
        <w:t>号《关于准予交银施罗德丰享收益债券型证券投资基金注册的批复》核准，由交银施罗德基金管理有限公司依照《中华人民共和国证券投资基金法》和《交银施罗德丰享收益债券型证券投资基金基金合同》负责公开募集。本基金为契约型基金，存续期限不定，首次设立募集不包括认购资金利息共募集人民币</w:t>
      </w:r>
      <w:r>
        <w:rPr>
          <w:color w:val="000000"/>
          <w:sz w:val="24"/>
        </w:rPr>
        <w:t>259,262,547.02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42</w:t>
      </w:r>
      <w:r>
        <w:rPr>
          <w:color w:val="000000"/>
          <w:sz w:val="24"/>
        </w:rPr>
        <w:t>号验资报告予以验证。经向中国证监会备案，《交银施罗德丰享收益债券型证券投资基金基金合同》于</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日正式生效，基金合同生效日的基金份额总额为</w:t>
      </w:r>
      <w:r>
        <w:rPr>
          <w:color w:val="000000"/>
          <w:sz w:val="24"/>
        </w:rPr>
        <w:t>259,386,490.95</w:t>
      </w:r>
      <w:r>
        <w:rPr>
          <w:color w:val="000000"/>
          <w:sz w:val="24"/>
        </w:rPr>
        <w:t>份基金份额，其中认购资金利息折合</w:t>
      </w:r>
      <w:r>
        <w:rPr>
          <w:color w:val="000000"/>
          <w:sz w:val="24"/>
        </w:rPr>
        <w:t>123,943.93</w:t>
      </w:r>
      <w:r>
        <w:rPr>
          <w:color w:val="000000"/>
          <w:sz w:val="24"/>
        </w:rPr>
        <w:t>份基金份额。本基金的基金管理人为交银施罗德基金管理有限公司，基金托管人为中信银行股份有限公司。</w:t>
      </w:r>
      <w:r>
        <w:rPr>
          <w:color w:val="000000"/>
          <w:sz w:val="24"/>
        </w:rPr>
        <w:t xml:space="preserve"> </w:t>
      </w:r>
    </w:p>
    <w:p w:rsidR="00AB4D21" w:rsidRDefault="00345560">
      <w:pPr>
        <w:spacing w:before="29" w:line="288" w:lineRule="auto"/>
        <w:ind w:firstLineChars="200" w:firstLine="480"/>
        <w:rPr>
          <w:color w:val="000000"/>
          <w:sz w:val="24"/>
        </w:rPr>
      </w:pPr>
      <w:r>
        <w:rPr>
          <w:color w:val="000000"/>
          <w:sz w:val="24"/>
        </w:rPr>
        <w:t>根据《交银施罗德丰享收益债券型证券投资基金基金合同》和《交银施罗德丰享收益债券型证券投资基金招募说明书》，本基金根据认购</w:t>
      </w:r>
      <w:r>
        <w:rPr>
          <w:color w:val="000000"/>
          <w:sz w:val="24"/>
        </w:rPr>
        <w:t>/</w:t>
      </w:r>
      <w:r>
        <w:rPr>
          <w:color w:val="000000"/>
          <w:sz w:val="24"/>
        </w:rPr>
        <w:t>申购费用、赎回费用、销售服务费收取方式的不同，将基金份额分为不同的类别。在投资人申购时收取前端申购费用、赎回时收取赎回费用的，称为</w:t>
      </w:r>
      <w:r>
        <w:rPr>
          <w:color w:val="000000"/>
          <w:sz w:val="24"/>
        </w:rPr>
        <w:t>A</w:t>
      </w:r>
      <w:r>
        <w:rPr>
          <w:color w:val="000000"/>
          <w:sz w:val="24"/>
        </w:rPr>
        <w:t>类基金份额，在投资人申购时不收取申购费用、赎回时收取后端申购费用和赎回费用的，称为</w:t>
      </w:r>
      <w:r>
        <w:rPr>
          <w:color w:val="000000"/>
          <w:sz w:val="24"/>
        </w:rPr>
        <w:t>B</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申购费用，赎回时收取短期赎回费，并从本类别基金资产中计提销售服务费的，称为</w:t>
      </w:r>
      <w:r>
        <w:rPr>
          <w:color w:val="000000"/>
          <w:sz w:val="24"/>
        </w:rPr>
        <w:t>C</w:t>
      </w:r>
      <w:r>
        <w:rPr>
          <w:color w:val="000000"/>
          <w:sz w:val="24"/>
        </w:rPr>
        <w:t>类基金份额；本基金募集期内仅开放</w:t>
      </w:r>
      <w:r>
        <w:rPr>
          <w:color w:val="000000"/>
          <w:sz w:val="24"/>
        </w:rPr>
        <w:t>C</w:t>
      </w:r>
      <w:r>
        <w:rPr>
          <w:color w:val="000000"/>
          <w:sz w:val="24"/>
        </w:rPr>
        <w:t>类基金份额的认购；在基金合同生效之日起两年</w:t>
      </w:r>
      <w:r>
        <w:rPr>
          <w:color w:val="000000"/>
          <w:sz w:val="24"/>
        </w:rPr>
        <w:t>(</w:t>
      </w:r>
      <w:r>
        <w:rPr>
          <w:color w:val="000000"/>
          <w:sz w:val="24"/>
        </w:rPr>
        <w:t>含两年</w:t>
      </w:r>
      <w:r>
        <w:rPr>
          <w:color w:val="000000"/>
          <w:sz w:val="24"/>
        </w:rPr>
        <w:t>)</w:t>
      </w:r>
      <w:r>
        <w:rPr>
          <w:color w:val="000000"/>
          <w:sz w:val="24"/>
        </w:rPr>
        <w:t>的期间内封闭式运作，封闭期结束后转为开放式运作，并可视业务情况择时增开</w:t>
      </w:r>
      <w:r>
        <w:rPr>
          <w:color w:val="000000"/>
          <w:sz w:val="24"/>
        </w:rPr>
        <w:t>A</w:t>
      </w:r>
      <w:r>
        <w:rPr>
          <w:color w:val="000000"/>
          <w:sz w:val="24"/>
        </w:rPr>
        <w:t>类和</w:t>
      </w:r>
      <w:r>
        <w:rPr>
          <w:color w:val="000000"/>
          <w:sz w:val="24"/>
        </w:rPr>
        <w:t>B</w:t>
      </w:r>
      <w:r>
        <w:rPr>
          <w:color w:val="000000"/>
          <w:sz w:val="24"/>
        </w:rPr>
        <w:t>类基金份额的申购。根据《关于交银施罗德丰享收益债券型证券投资基金封闭期结束转为开放式运作并同时增加开通</w:t>
      </w:r>
      <w:r>
        <w:rPr>
          <w:color w:val="000000"/>
          <w:sz w:val="24"/>
        </w:rPr>
        <w:t>A</w:t>
      </w:r>
      <w:r>
        <w:rPr>
          <w:color w:val="000000"/>
          <w:sz w:val="24"/>
        </w:rPr>
        <w:t>类基金份额暨开放基金日常申购、赎回、定期定额投资业务并参与部分销售机构申购费率优惠活动的公告》的相关规定，本基金封闭期自</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w:t>
      </w:r>
      <w:r>
        <w:rPr>
          <w:color w:val="000000"/>
          <w:sz w:val="24"/>
        </w:rPr>
        <w:t>(</w:t>
      </w:r>
      <w:r>
        <w:rPr>
          <w:color w:val="000000"/>
          <w:sz w:val="24"/>
        </w:rPr>
        <w:t>基金合同生效日</w:t>
      </w:r>
      <w:r>
        <w:rPr>
          <w:color w:val="000000"/>
          <w:sz w:val="24"/>
        </w:rPr>
        <w:t>)</w:t>
      </w:r>
      <w:r>
        <w:rPr>
          <w:color w:val="000000"/>
          <w:sz w:val="24"/>
        </w:rPr>
        <w:t>至</w:t>
      </w:r>
      <w:r>
        <w:rPr>
          <w:color w:val="000000"/>
          <w:sz w:val="24"/>
        </w:rPr>
        <w:t>2017</w:t>
      </w:r>
      <w:r>
        <w:rPr>
          <w:color w:val="000000"/>
          <w:sz w:val="24"/>
        </w:rPr>
        <w:t>年</w:t>
      </w:r>
      <w:r>
        <w:rPr>
          <w:color w:val="000000"/>
          <w:sz w:val="24"/>
        </w:rPr>
        <w:t>1</w:t>
      </w:r>
      <w:r>
        <w:rPr>
          <w:color w:val="000000"/>
          <w:sz w:val="24"/>
        </w:rPr>
        <w:t>月</w:t>
      </w:r>
      <w:r>
        <w:rPr>
          <w:color w:val="000000"/>
          <w:sz w:val="24"/>
        </w:rPr>
        <w:t>19</w:t>
      </w:r>
      <w:r>
        <w:rPr>
          <w:color w:val="000000"/>
          <w:sz w:val="24"/>
        </w:rPr>
        <w:t>日止，自</w:t>
      </w:r>
      <w:r>
        <w:rPr>
          <w:color w:val="000000"/>
          <w:sz w:val="24"/>
        </w:rPr>
        <w:t>2017</w:t>
      </w:r>
      <w:r>
        <w:rPr>
          <w:color w:val="000000"/>
          <w:sz w:val="24"/>
        </w:rPr>
        <w:t>年</w:t>
      </w:r>
      <w:r>
        <w:rPr>
          <w:color w:val="000000"/>
          <w:sz w:val="24"/>
        </w:rPr>
        <w:t>1</w:t>
      </w:r>
      <w:r>
        <w:rPr>
          <w:color w:val="000000"/>
          <w:sz w:val="24"/>
        </w:rPr>
        <w:t>月</w:t>
      </w:r>
      <w:r>
        <w:rPr>
          <w:color w:val="000000"/>
          <w:sz w:val="24"/>
        </w:rPr>
        <w:t>20</w:t>
      </w:r>
      <w:r>
        <w:rPr>
          <w:color w:val="000000"/>
          <w:sz w:val="24"/>
        </w:rPr>
        <w:t>日起转为开放式运作，自该日起开始办理日常申购、赎回业务，并同时增加开通</w:t>
      </w:r>
      <w:r>
        <w:rPr>
          <w:color w:val="000000"/>
          <w:sz w:val="24"/>
        </w:rPr>
        <w:t>A</w:t>
      </w:r>
      <w:r>
        <w:rPr>
          <w:color w:val="000000"/>
          <w:sz w:val="24"/>
        </w:rPr>
        <w:t>类基金份额。</w:t>
      </w:r>
      <w:r>
        <w:rPr>
          <w:color w:val="000000"/>
          <w:sz w:val="24"/>
        </w:rPr>
        <w:t xml:space="preserve"> </w:t>
      </w:r>
    </w:p>
    <w:p w:rsidR="00AB4D21" w:rsidRDefault="00345560">
      <w:pPr>
        <w:spacing w:before="29" w:line="288" w:lineRule="auto"/>
        <w:ind w:firstLineChars="200" w:firstLine="480"/>
        <w:rPr>
          <w:color w:val="000000"/>
          <w:sz w:val="24"/>
        </w:rPr>
      </w:pPr>
      <w:r>
        <w:rPr>
          <w:color w:val="000000"/>
          <w:sz w:val="24"/>
        </w:rPr>
        <w:t>根据《中华人民共和国证券投资基金法》和《交银施罗德丰享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color w:val="000000"/>
          <w:sz w:val="24"/>
        </w:rPr>
        <w:t>AA</w:t>
      </w:r>
      <w:r>
        <w:rPr>
          <w:color w:val="000000"/>
          <w:sz w:val="24"/>
        </w:rPr>
        <w:t>级（含）以上。本基金不直接在二级市场买入股票、权证等权益类资产，也不参与一级市场新股申购和新股增发。同时本基金不参与可转换债券投资（分离交易可转债的纯债部分除外）。如法律法规或监管机构以后允许基金投资其他品种，基金管理人在履行适当程序后，可以将其纳入投资范围。基金的投资组合比例为投资于债券资产的比例不低于基金资产的</w:t>
      </w:r>
      <w:r>
        <w:rPr>
          <w:color w:val="000000"/>
          <w:sz w:val="24"/>
        </w:rPr>
        <w:t>80%</w:t>
      </w:r>
      <w:r>
        <w:rPr>
          <w:color w:val="000000"/>
          <w:sz w:val="24"/>
        </w:rPr>
        <w:t>，但在封闭期结束转开放的前后三个月内，基金投资不受上述债券资产投资比例限制。本基金在开放期内，现金或到期日在一年以内的政府债券的比例合计不低于基金资产净值的</w:t>
      </w:r>
      <w:r>
        <w:rPr>
          <w:color w:val="000000"/>
          <w:sz w:val="24"/>
        </w:rPr>
        <w:t>5%</w:t>
      </w:r>
      <w:r>
        <w:rPr>
          <w:color w:val="000000"/>
          <w:sz w:val="24"/>
        </w:rPr>
        <w:t>，其中现金不包括结算备付金，存出保证金及应收申购款等。本基金封闭期内投资的业绩比较基准为两年期银行定期存款税后收益率，转为开放式运作后业绩比较基准为中债综合全价指数。</w:t>
      </w:r>
    </w:p>
    <w:p w:rsidR="00AB4D21" w:rsidRDefault="00AB4D21">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2019</w:t>
      </w:r>
      <w:r w:rsidRPr="00592B92">
        <w:rPr>
          <w:color w:val="000000"/>
          <w:sz w:val="24"/>
        </w:rPr>
        <w:t>年</w:t>
      </w:r>
      <w:r w:rsidRPr="00592B92">
        <w:rPr>
          <w:color w:val="000000"/>
          <w:sz w:val="24"/>
        </w:rPr>
        <w:t>3</w:t>
      </w:r>
      <w:r w:rsidRPr="00592B92">
        <w:rPr>
          <w:color w:val="000000"/>
          <w:sz w:val="24"/>
        </w:rPr>
        <w:t>月</w:t>
      </w:r>
      <w:r w:rsidRPr="00592B92">
        <w:rPr>
          <w:color w:val="000000"/>
          <w:sz w:val="24"/>
        </w:rPr>
        <w:t>25</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AB4D21" w:rsidRDefault="00345560">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颁布的《证券投资基金会计核算业务指引》、《交银施罗德丰享收益债券型证券投资基金基金合同》和在财务报表附注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592B92" w:rsidRDefault="001A59F9" w:rsidP="00592B92">
      <w:pPr>
        <w:spacing w:before="29" w:line="288" w:lineRule="auto"/>
        <w:ind w:firstLineChars="200" w:firstLine="480"/>
        <w:rPr>
          <w:color w:val="000000"/>
          <w:sz w:val="24"/>
        </w:rPr>
      </w:pPr>
      <w:r w:rsidRPr="00592B92">
        <w:rPr>
          <w:color w:val="000000"/>
          <w:sz w:val="24"/>
        </w:rPr>
        <w:t>根据《公开募集证券投资基金运作管理办法》的相关规定，开放式基金在基金合同生效后，连续</w:t>
      </w:r>
      <w:r w:rsidRPr="00592B92">
        <w:rPr>
          <w:color w:val="000000"/>
          <w:sz w:val="24"/>
        </w:rPr>
        <w:t>60</w:t>
      </w:r>
      <w:r w:rsidRPr="00592B92">
        <w:rPr>
          <w:color w:val="000000"/>
          <w:sz w:val="24"/>
        </w:rPr>
        <w:t>个工作日出现基金份额持有人数量不满</w:t>
      </w:r>
      <w:r w:rsidRPr="00592B92">
        <w:rPr>
          <w:color w:val="000000"/>
          <w:sz w:val="24"/>
        </w:rPr>
        <w:t>200</w:t>
      </w:r>
      <w:r w:rsidRPr="00592B92">
        <w:rPr>
          <w:color w:val="000000"/>
          <w:sz w:val="24"/>
        </w:rPr>
        <w:t>人或者基金资产净值低于</w:t>
      </w:r>
      <w:r w:rsidRPr="00592B92">
        <w:rPr>
          <w:color w:val="000000"/>
          <w:sz w:val="24"/>
        </w:rPr>
        <w:t>5,000</w:t>
      </w:r>
      <w:r w:rsidRPr="00592B92">
        <w:rPr>
          <w:color w:val="000000"/>
          <w:sz w:val="24"/>
        </w:rPr>
        <w:t>万元情形的，基金管理人应当向中国证监会报告并提出解决方案，如转换运作方式、与其他基金合并或者终止基金合同等，并召开基金份额持有人大会进行表决。于</w:t>
      </w:r>
      <w:r w:rsidRPr="00592B92">
        <w:rPr>
          <w:color w:val="000000"/>
          <w:sz w:val="24"/>
        </w:rPr>
        <w:t>2018</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日，本基金出现连续</w:t>
      </w:r>
      <w:r w:rsidRPr="00592B92">
        <w:rPr>
          <w:color w:val="000000"/>
          <w:sz w:val="24"/>
        </w:rPr>
        <w:t>60</w:t>
      </w:r>
      <w:r w:rsidRPr="00592B92">
        <w:rPr>
          <w:color w:val="000000"/>
          <w:sz w:val="24"/>
        </w:rPr>
        <w:t>个工作日基金资产净值低于</w:t>
      </w:r>
      <w:r w:rsidRPr="00592B92">
        <w:rPr>
          <w:color w:val="000000"/>
          <w:sz w:val="24"/>
        </w:rPr>
        <w:t>5,000</w:t>
      </w:r>
      <w:r w:rsidRPr="00592B92">
        <w:rPr>
          <w:color w:val="000000"/>
          <w:sz w:val="24"/>
        </w:rPr>
        <w:t>万元的情形，本基金的基金管理人已向中国证监会报告并在评估后续处理方案，故本财务报表仍以持续经营为基础编制。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2018</w:t>
      </w:r>
      <w:r w:rsidRPr="00592B92">
        <w:rPr>
          <w:color w:val="000000"/>
          <w:sz w:val="24"/>
        </w:rPr>
        <w:t>年度财务报表符合企业会计准则的要求，真实、完整地反映了本基金</w:t>
      </w:r>
      <w:r w:rsidRPr="00592B92">
        <w:rPr>
          <w:color w:val="000000"/>
          <w:sz w:val="24"/>
        </w:rPr>
        <w:t>2018</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2018</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本报告期所采用的会计政策、会计估计与最近一期年度报告相一致的说明</w:t>
      </w:r>
    </w:p>
    <w:p w:rsidR="001A59F9" w:rsidRPr="0086614D" w:rsidRDefault="001A59F9" w:rsidP="0086614D">
      <w:pPr>
        <w:spacing w:before="29" w:line="288" w:lineRule="auto"/>
        <w:ind w:firstLineChars="200" w:firstLine="480"/>
        <w:rPr>
          <w:color w:val="000000"/>
          <w:sz w:val="24"/>
        </w:rPr>
      </w:pPr>
      <w:r w:rsidRPr="0086614D">
        <w:rPr>
          <w:color w:val="000000"/>
          <w:sz w:val="24"/>
        </w:rPr>
        <w:t>本报告期所采用的会计政策、会计估计与最近一期年度报告相一致。</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本基金本报告期未发生会计估计变更。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本基金在本报告期间无须说明的会计差错更正。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AB4D21" w:rsidRDefault="00345560">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AB4D21" w:rsidRDefault="00345560">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AB4D21" w:rsidRDefault="00345560">
      <w:pPr>
        <w:spacing w:before="29" w:line="288" w:lineRule="auto"/>
        <w:ind w:firstLineChars="200" w:firstLine="480"/>
        <w:rPr>
          <w:color w:val="000000"/>
          <w:sz w:val="24"/>
        </w:rPr>
      </w:pPr>
      <w:r>
        <w:rPr>
          <w:color w:val="000000"/>
          <w:sz w:val="24"/>
        </w:rPr>
        <w:t>对证券投资基金管理人运用基金买卖债券的转让收入免征增值税，对国债、地方政府债以及金融同业往来利息收入亦免征增值税。资管产品管理人运营资管产品提供的贷款服务，以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AB4D21" w:rsidRDefault="00345560">
      <w:pPr>
        <w:spacing w:before="29" w:line="288" w:lineRule="auto"/>
        <w:ind w:firstLineChars="200" w:firstLine="480"/>
        <w:rPr>
          <w:color w:val="000000"/>
          <w:sz w:val="24"/>
        </w:rPr>
      </w:pPr>
      <w:r>
        <w:rPr>
          <w:color w:val="000000"/>
          <w:sz w:val="24"/>
        </w:rPr>
        <w:t>(2)</w:t>
      </w:r>
      <w:r>
        <w:rPr>
          <w:color w:val="000000"/>
          <w:sz w:val="24"/>
        </w:rPr>
        <w:t>对基金从证券市场中取得的收入，包括买卖债券的差价收入，债券的利息收入及其他收入，暂不征收企业所得税。</w:t>
      </w:r>
    </w:p>
    <w:p w:rsidR="00AB4D21" w:rsidRDefault="00345560">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1A59F9" w:rsidRPr="0076649F" w:rsidRDefault="001A59F9" w:rsidP="0076649F">
      <w:pPr>
        <w:spacing w:before="29" w:line="288" w:lineRule="auto"/>
        <w:ind w:firstLineChars="200" w:firstLine="480"/>
        <w:rPr>
          <w:color w:val="000000"/>
          <w:sz w:val="24"/>
        </w:rPr>
      </w:pPr>
      <w:r w:rsidRPr="0076649F">
        <w:rPr>
          <w:color w:val="000000"/>
          <w:sz w:val="24"/>
        </w:rPr>
        <w:t>(4)</w:t>
      </w:r>
      <w:r w:rsidRPr="0076649F">
        <w:rPr>
          <w:color w:val="000000"/>
          <w:sz w:val="24"/>
        </w:rPr>
        <w:t>本基金的城市维护建设税、教育费附加和地方教育费附加等税费按照实际缴纳增值税额的适用比例计算缴纳。</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AB4D21">
        <w:tc>
          <w:tcPr>
            <w:tcW w:w="5219" w:type="dxa"/>
            <w:vAlign w:val="center"/>
          </w:tcPr>
          <w:p w:rsidR="00AB4D21" w:rsidRDefault="0034556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B4D21" w:rsidRDefault="00345560">
            <w:pPr>
              <w:jc w:val="center"/>
            </w:pPr>
            <w:r>
              <w:rPr>
                <w:color w:val="000000"/>
                <w:sz w:val="24"/>
              </w:rPr>
              <w:t>基金管理人、基金销售机构</w:t>
            </w:r>
          </w:p>
        </w:tc>
      </w:tr>
      <w:tr w:rsidR="00AB4D21">
        <w:tc>
          <w:tcPr>
            <w:tcW w:w="5219" w:type="dxa"/>
            <w:vAlign w:val="center"/>
          </w:tcPr>
          <w:p w:rsidR="00AB4D21" w:rsidRDefault="00345560">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AB4D21" w:rsidRDefault="00345560">
            <w:pPr>
              <w:jc w:val="center"/>
            </w:pPr>
            <w:r>
              <w:rPr>
                <w:color w:val="000000"/>
                <w:sz w:val="24"/>
              </w:rPr>
              <w:t>基金托管人、基金销售机构</w:t>
            </w:r>
          </w:p>
        </w:tc>
      </w:tr>
      <w:tr w:rsidR="00AB4D21">
        <w:tc>
          <w:tcPr>
            <w:tcW w:w="5219" w:type="dxa"/>
            <w:vAlign w:val="center"/>
          </w:tcPr>
          <w:p w:rsidR="00AB4D21" w:rsidRDefault="00345560">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AB4D21" w:rsidRDefault="00345560">
            <w:pPr>
              <w:jc w:val="center"/>
            </w:pPr>
            <w:r>
              <w:rPr>
                <w:color w:val="000000"/>
                <w:sz w:val="24"/>
              </w:rPr>
              <w:t>基金管理人的股东、基金销售机构</w:t>
            </w:r>
          </w:p>
        </w:tc>
      </w:tr>
      <w:tr w:rsidR="00AB4D21">
        <w:tc>
          <w:tcPr>
            <w:tcW w:w="5219" w:type="dxa"/>
            <w:vAlign w:val="center"/>
          </w:tcPr>
          <w:p w:rsidR="00AB4D21" w:rsidRDefault="00345560">
            <w:pPr>
              <w:jc w:val="left"/>
            </w:pPr>
            <w:r>
              <w:rPr>
                <w:color w:val="000000"/>
                <w:sz w:val="24"/>
              </w:rPr>
              <w:t>施罗德投资管理有限公司</w:t>
            </w:r>
          </w:p>
        </w:tc>
        <w:tc>
          <w:tcPr>
            <w:tcW w:w="3779" w:type="dxa"/>
            <w:vAlign w:val="center"/>
          </w:tcPr>
          <w:p w:rsidR="00AB4D21" w:rsidRDefault="00345560">
            <w:pPr>
              <w:jc w:val="center"/>
            </w:pPr>
            <w:r>
              <w:rPr>
                <w:color w:val="000000"/>
                <w:sz w:val="24"/>
              </w:rPr>
              <w:t>基金管理人的股东</w:t>
            </w:r>
          </w:p>
        </w:tc>
      </w:tr>
      <w:tr w:rsidR="00AB4D21">
        <w:tc>
          <w:tcPr>
            <w:tcW w:w="5219" w:type="dxa"/>
            <w:vAlign w:val="center"/>
          </w:tcPr>
          <w:p w:rsidR="00AB4D21" w:rsidRDefault="0034556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AB4D21" w:rsidRDefault="00345560">
            <w:pPr>
              <w:jc w:val="center"/>
            </w:pPr>
            <w:r>
              <w:rPr>
                <w:color w:val="000000"/>
                <w:sz w:val="24"/>
              </w:rPr>
              <w:t>基金管理人的股东</w:t>
            </w:r>
          </w:p>
        </w:tc>
      </w:tr>
      <w:tr w:rsidR="00AB4D21">
        <w:tc>
          <w:tcPr>
            <w:tcW w:w="5219" w:type="dxa"/>
            <w:vAlign w:val="center"/>
          </w:tcPr>
          <w:p w:rsidR="00AB4D21" w:rsidRDefault="00345560">
            <w:pPr>
              <w:jc w:val="left"/>
            </w:pPr>
            <w:r>
              <w:rPr>
                <w:color w:val="000000"/>
                <w:sz w:val="24"/>
              </w:rPr>
              <w:t>交银施罗德资产管理有限公司</w:t>
            </w:r>
          </w:p>
        </w:tc>
        <w:tc>
          <w:tcPr>
            <w:tcW w:w="3779" w:type="dxa"/>
            <w:vAlign w:val="center"/>
          </w:tcPr>
          <w:p w:rsidR="00AB4D21" w:rsidRDefault="00345560">
            <w:pPr>
              <w:jc w:val="center"/>
            </w:pPr>
            <w:r>
              <w:rPr>
                <w:color w:val="000000"/>
                <w:sz w:val="24"/>
              </w:rPr>
              <w:t>基金管理人的子公司</w:t>
            </w:r>
          </w:p>
        </w:tc>
      </w:tr>
      <w:tr w:rsidR="00AB4D21">
        <w:tc>
          <w:tcPr>
            <w:tcW w:w="5219" w:type="dxa"/>
            <w:vAlign w:val="center"/>
          </w:tcPr>
          <w:p w:rsidR="00AB4D21" w:rsidRDefault="00345560">
            <w:pPr>
              <w:jc w:val="left"/>
            </w:pPr>
            <w:r>
              <w:rPr>
                <w:color w:val="000000"/>
                <w:sz w:val="24"/>
              </w:rPr>
              <w:t>上海直源投资管理有限公司</w:t>
            </w:r>
          </w:p>
        </w:tc>
        <w:tc>
          <w:tcPr>
            <w:tcW w:w="3779" w:type="dxa"/>
            <w:vAlign w:val="center"/>
          </w:tcPr>
          <w:p w:rsidR="00AB4D21" w:rsidRDefault="00345560">
            <w:pPr>
              <w:jc w:val="center"/>
            </w:pPr>
            <w:r>
              <w:rPr>
                <w:color w:val="000000"/>
                <w:sz w:val="24"/>
              </w:rPr>
              <w:t>受基金管理人控制的公司</w:t>
            </w:r>
          </w:p>
        </w:tc>
      </w:tr>
      <w:tr w:rsidR="00AB4D21">
        <w:tc>
          <w:tcPr>
            <w:tcW w:w="5219" w:type="dxa"/>
            <w:vAlign w:val="center"/>
          </w:tcPr>
          <w:p w:rsidR="00AB4D21" w:rsidRDefault="00345560">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AB4D21" w:rsidRDefault="00345560">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本基金本报告期内及上年度可比期间无通过关联方交易单元进行的交易。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1,238,206.43</w:t>
            </w:r>
          </w:p>
        </w:tc>
        <w:tc>
          <w:tcPr>
            <w:tcW w:w="2657" w:type="dxa"/>
            <w:vAlign w:val="center"/>
          </w:tcPr>
          <w:p w:rsidR="001A59F9" w:rsidRPr="00817316" w:rsidRDefault="001A59F9" w:rsidP="00817316">
            <w:pPr>
              <w:spacing w:before="29" w:line="288" w:lineRule="auto"/>
              <w:jc w:val="right"/>
              <w:rPr>
                <w:sz w:val="24"/>
              </w:rPr>
            </w:pPr>
            <w:r w:rsidRPr="00817316">
              <w:rPr>
                <w:sz w:val="24"/>
              </w:rPr>
              <w:t>2,431,207.59</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92,986.94</w:t>
            </w:r>
          </w:p>
        </w:tc>
        <w:tc>
          <w:tcPr>
            <w:tcW w:w="2657" w:type="dxa"/>
            <w:vAlign w:val="center"/>
          </w:tcPr>
          <w:p w:rsidR="001A59F9" w:rsidRPr="00817316" w:rsidRDefault="001A59F9" w:rsidP="00817316">
            <w:pPr>
              <w:spacing w:before="29" w:line="288" w:lineRule="auto"/>
              <w:jc w:val="right"/>
              <w:rPr>
                <w:sz w:val="24"/>
              </w:rPr>
            </w:pPr>
            <w:r w:rsidRPr="00817316">
              <w:rPr>
                <w:sz w:val="24"/>
              </w:rPr>
              <w:t>779,278.45</w:t>
            </w:r>
          </w:p>
        </w:tc>
      </w:tr>
    </w:tbl>
    <w:p w:rsidR="00AB4D21" w:rsidRDefault="00345560">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4</w:t>
      </w:r>
      <w:r>
        <w:rPr>
          <w:kern w:val="0"/>
          <w:sz w:val="24"/>
        </w:rPr>
        <w:t>月</w:t>
      </w:r>
      <w:r>
        <w:rPr>
          <w:kern w:val="0"/>
          <w:sz w:val="24"/>
        </w:rPr>
        <w:t>25</w:t>
      </w:r>
      <w:r>
        <w:rPr>
          <w:kern w:val="0"/>
          <w:sz w:val="24"/>
        </w:rPr>
        <w:t>日，支付基金管理人交银施罗德基金公司的管理人报酬按前一日基金资产净值</w:t>
      </w:r>
      <w:r>
        <w:rPr>
          <w:kern w:val="0"/>
          <w:sz w:val="24"/>
        </w:rPr>
        <w:t>0.80%</w:t>
      </w:r>
      <w:r>
        <w:rPr>
          <w:kern w:val="0"/>
          <w:sz w:val="24"/>
        </w:rPr>
        <w:t>的年费率计提，逐日累计至每月月底，按月支付。其计算公式为：</w:t>
      </w:r>
    </w:p>
    <w:p w:rsidR="00AB4D21" w:rsidRDefault="00345560">
      <w:pPr>
        <w:tabs>
          <w:tab w:val="left" w:pos="426"/>
        </w:tabs>
        <w:spacing w:before="29" w:line="288" w:lineRule="auto"/>
        <w:jc w:val="left"/>
        <w:rPr>
          <w:kern w:val="0"/>
          <w:sz w:val="24"/>
        </w:rPr>
      </w:pPr>
      <w:r>
        <w:rPr>
          <w:kern w:val="0"/>
          <w:sz w:val="24"/>
        </w:rPr>
        <w:t>日管理人报酬＝前一日基金资产净值</w:t>
      </w:r>
      <w:r>
        <w:rPr>
          <w:kern w:val="0"/>
          <w:sz w:val="24"/>
        </w:rPr>
        <w:t xml:space="preserve"> × 0.80%/ </w:t>
      </w:r>
      <w:r>
        <w:rPr>
          <w:kern w:val="0"/>
          <w:sz w:val="24"/>
        </w:rPr>
        <w:t>当年天数。</w:t>
      </w:r>
    </w:p>
    <w:p w:rsidR="00AB4D21" w:rsidRDefault="00345560">
      <w:pPr>
        <w:tabs>
          <w:tab w:val="left" w:pos="426"/>
        </w:tabs>
        <w:spacing w:before="29" w:line="288" w:lineRule="auto"/>
        <w:jc w:val="left"/>
        <w:rPr>
          <w:kern w:val="0"/>
          <w:sz w:val="24"/>
        </w:rPr>
      </w:pPr>
      <w:r>
        <w:rPr>
          <w:kern w:val="0"/>
          <w:sz w:val="24"/>
        </w:rPr>
        <w:t>根据基金份额持有人大会表决通过的《关于交银施罗德丰享收益债券型证券投资基金调整管理费率、托管费率、</w:t>
      </w:r>
      <w:r>
        <w:rPr>
          <w:kern w:val="0"/>
          <w:sz w:val="24"/>
        </w:rPr>
        <w:t>A</w:t>
      </w:r>
      <w:r>
        <w:rPr>
          <w:kern w:val="0"/>
          <w:sz w:val="24"/>
        </w:rPr>
        <w:t>类基金份额的赎回费率及基金合同修改有关事项的议案》，自</w:t>
      </w:r>
      <w:r>
        <w:rPr>
          <w:kern w:val="0"/>
          <w:sz w:val="24"/>
        </w:rPr>
        <w:t>2017</w:t>
      </w:r>
      <w:r>
        <w:rPr>
          <w:kern w:val="0"/>
          <w:sz w:val="24"/>
        </w:rPr>
        <w:t>年</w:t>
      </w:r>
      <w:r>
        <w:rPr>
          <w:kern w:val="0"/>
          <w:sz w:val="24"/>
        </w:rPr>
        <w:t>4</w:t>
      </w:r>
      <w:r>
        <w:rPr>
          <w:kern w:val="0"/>
          <w:sz w:val="24"/>
        </w:rPr>
        <w:t>月</w:t>
      </w:r>
      <w:r>
        <w:rPr>
          <w:kern w:val="0"/>
          <w:sz w:val="24"/>
        </w:rPr>
        <w:t>26</w:t>
      </w:r>
      <w:r>
        <w:rPr>
          <w:kern w:val="0"/>
          <w:sz w:val="24"/>
        </w:rPr>
        <w:t>日起，支付基金管理人交银施罗德基金公司的管理人报酬按前一日基金资产净值</w:t>
      </w:r>
      <w:r>
        <w:rPr>
          <w:kern w:val="0"/>
          <w:sz w:val="24"/>
        </w:rPr>
        <w:t>0.50%</w:t>
      </w:r>
      <w:r>
        <w:rPr>
          <w:kern w:val="0"/>
          <w:sz w:val="24"/>
        </w:rPr>
        <w:t>的年费率计提，逐日累计至每月月底，按月支付。其计算公式为：</w:t>
      </w:r>
    </w:p>
    <w:p w:rsidR="00AB4D21" w:rsidRDefault="00345560">
      <w:pPr>
        <w:tabs>
          <w:tab w:val="left" w:pos="426"/>
        </w:tabs>
        <w:spacing w:before="29" w:line="288" w:lineRule="auto"/>
        <w:jc w:val="left"/>
        <w:rPr>
          <w:kern w:val="0"/>
          <w:sz w:val="24"/>
        </w:rPr>
      </w:pPr>
      <w:r>
        <w:rPr>
          <w:kern w:val="0"/>
          <w:sz w:val="24"/>
        </w:rPr>
        <w:t>日管理人报酬＝前一日基金资产净值</w:t>
      </w:r>
      <w:r>
        <w:rPr>
          <w:kern w:val="0"/>
          <w:sz w:val="24"/>
        </w:rPr>
        <w:t xml:space="preserve"> × 0.50%/ </w:t>
      </w:r>
      <w:r>
        <w:rPr>
          <w:kern w:val="0"/>
          <w:sz w:val="24"/>
        </w:rPr>
        <w:t>当年天数。</w:t>
      </w:r>
    </w:p>
    <w:p w:rsidR="00AB4D21" w:rsidRDefault="00345560">
      <w:pPr>
        <w:tabs>
          <w:tab w:val="left" w:pos="426"/>
        </w:tabs>
        <w:spacing w:before="29" w:line="288" w:lineRule="auto"/>
        <w:jc w:val="left"/>
        <w:rPr>
          <w:kern w:val="0"/>
          <w:sz w:val="24"/>
        </w:rPr>
      </w:pPr>
      <w:r>
        <w:rPr>
          <w:kern w:val="0"/>
          <w:sz w:val="24"/>
        </w:rPr>
        <w:t>根据基金份额持有人大会表决通过的《关于交银施罗德丰享收益债券型证券投资基金调整管理费率及基金合同修改有关事项的议案》，自</w:t>
      </w:r>
      <w:r>
        <w:rPr>
          <w:kern w:val="0"/>
          <w:sz w:val="24"/>
        </w:rPr>
        <w:t>2017</w:t>
      </w:r>
      <w:r>
        <w:rPr>
          <w:kern w:val="0"/>
          <w:sz w:val="24"/>
        </w:rPr>
        <w:t>年</w:t>
      </w:r>
      <w:r>
        <w:rPr>
          <w:kern w:val="0"/>
          <w:sz w:val="24"/>
        </w:rPr>
        <w:t>11</w:t>
      </w:r>
      <w:r>
        <w:rPr>
          <w:kern w:val="0"/>
          <w:sz w:val="24"/>
        </w:rPr>
        <w:t>月</w:t>
      </w:r>
      <w:r>
        <w:rPr>
          <w:kern w:val="0"/>
          <w:sz w:val="24"/>
        </w:rPr>
        <w:t>22</w:t>
      </w:r>
      <w:r>
        <w:rPr>
          <w:kern w:val="0"/>
          <w:sz w:val="24"/>
        </w:rPr>
        <w:t>日起，支付基金管理人交银施罗德基金公司的管理人报酬按前一日基金资产净值</w:t>
      </w:r>
      <w:r>
        <w:rPr>
          <w:kern w:val="0"/>
          <w:sz w:val="24"/>
        </w:rPr>
        <w:t>0.30%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 xml:space="preserve"> × 0.30%/ </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412,735.47</w:t>
            </w:r>
          </w:p>
        </w:tc>
        <w:tc>
          <w:tcPr>
            <w:tcW w:w="2657" w:type="dxa"/>
            <w:vAlign w:val="center"/>
          </w:tcPr>
          <w:p w:rsidR="001A59F9" w:rsidRPr="00817316" w:rsidRDefault="001A59F9" w:rsidP="00817316">
            <w:pPr>
              <w:spacing w:before="29" w:line="288" w:lineRule="auto"/>
              <w:jc w:val="right"/>
              <w:rPr>
                <w:sz w:val="24"/>
              </w:rPr>
            </w:pPr>
            <w:r w:rsidRPr="00817316">
              <w:rPr>
                <w:sz w:val="24"/>
              </w:rPr>
              <w:t>497,046.54</w:t>
            </w:r>
          </w:p>
        </w:tc>
      </w:tr>
    </w:tbl>
    <w:p w:rsidR="00AB4D21" w:rsidRDefault="00345560">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4</w:t>
      </w:r>
      <w:r>
        <w:rPr>
          <w:kern w:val="0"/>
          <w:sz w:val="24"/>
        </w:rPr>
        <w:t>月</w:t>
      </w:r>
      <w:r>
        <w:rPr>
          <w:kern w:val="0"/>
          <w:sz w:val="24"/>
        </w:rPr>
        <w:t>25</w:t>
      </w:r>
      <w:r>
        <w:rPr>
          <w:kern w:val="0"/>
          <w:sz w:val="24"/>
        </w:rPr>
        <w:t>日，支付基金托管人中信银行的托管费按前一日基金资产净值</w:t>
      </w:r>
      <w:r>
        <w:rPr>
          <w:kern w:val="0"/>
          <w:sz w:val="24"/>
        </w:rPr>
        <w:t>0.15%</w:t>
      </w:r>
      <w:r>
        <w:rPr>
          <w:kern w:val="0"/>
          <w:sz w:val="24"/>
        </w:rPr>
        <w:t>的年费率计提，逐日累计至每月月底，按月支付。其计算公式为：</w:t>
      </w:r>
    </w:p>
    <w:p w:rsidR="00AB4D21" w:rsidRDefault="00345560">
      <w:pPr>
        <w:tabs>
          <w:tab w:val="left" w:pos="426"/>
        </w:tabs>
        <w:spacing w:before="29" w:line="288" w:lineRule="auto"/>
        <w:jc w:val="left"/>
        <w:rPr>
          <w:kern w:val="0"/>
          <w:sz w:val="24"/>
        </w:rPr>
      </w:pPr>
      <w:r>
        <w:rPr>
          <w:kern w:val="0"/>
          <w:sz w:val="24"/>
        </w:rPr>
        <w:t>日托管费＝前一日基金资产净值</w:t>
      </w:r>
      <w:r>
        <w:rPr>
          <w:kern w:val="0"/>
          <w:sz w:val="24"/>
        </w:rPr>
        <w:t xml:space="preserve"> × 0.15%/ </w:t>
      </w:r>
      <w:r>
        <w:rPr>
          <w:kern w:val="0"/>
          <w:sz w:val="24"/>
        </w:rPr>
        <w:t>当年天数。</w:t>
      </w:r>
    </w:p>
    <w:p w:rsidR="00AB4D21" w:rsidRDefault="00345560">
      <w:pPr>
        <w:tabs>
          <w:tab w:val="left" w:pos="426"/>
        </w:tabs>
        <w:spacing w:before="29" w:line="288" w:lineRule="auto"/>
        <w:jc w:val="left"/>
        <w:rPr>
          <w:kern w:val="0"/>
          <w:sz w:val="24"/>
        </w:rPr>
      </w:pPr>
      <w:r>
        <w:rPr>
          <w:kern w:val="0"/>
          <w:sz w:val="24"/>
        </w:rPr>
        <w:t>根据基金份额持有人大会表决通过的《关于交银施罗德丰享收益债券型证券投资基金调整管理费率、托管费率、</w:t>
      </w:r>
      <w:r>
        <w:rPr>
          <w:kern w:val="0"/>
          <w:sz w:val="24"/>
        </w:rPr>
        <w:t>A</w:t>
      </w:r>
      <w:r>
        <w:rPr>
          <w:kern w:val="0"/>
          <w:sz w:val="24"/>
        </w:rPr>
        <w:t>类基金份额的赎回费率及基金合同修改有关事项的议案》，自</w:t>
      </w:r>
      <w:r>
        <w:rPr>
          <w:kern w:val="0"/>
          <w:sz w:val="24"/>
        </w:rPr>
        <w:t>2017</w:t>
      </w:r>
      <w:r>
        <w:rPr>
          <w:kern w:val="0"/>
          <w:sz w:val="24"/>
        </w:rPr>
        <w:t>年</w:t>
      </w:r>
      <w:r>
        <w:rPr>
          <w:kern w:val="0"/>
          <w:sz w:val="24"/>
        </w:rPr>
        <w:t>4</w:t>
      </w:r>
      <w:r>
        <w:rPr>
          <w:kern w:val="0"/>
          <w:sz w:val="24"/>
        </w:rPr>
        <w:t>月</w:t>
      </w:r>
      <w:r>
        <w:rPr>
          <w:kern w:val="0"/>
          <w:sz w:val="24"/>
        </w:rPr>
        <w:t>26</w:t>
      </w:r>
      <w:r>
        <w:rPr>
          <w:kern w:val="0"/>
          <w:sz w:val="24"/>
        </w:rPr>
        <w:t>日起，支付基金托管人中信银行的托管费按前一日基金资产净值</w:t>
      </w:r>
      <w:r>
        <w:rPr>
          <w:kern w:val="0"/>
          <w:sz w:val="24"/>
        </w:rPr>
        <w:t>0.10%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 xml:space="preserve"> × 0.10%/ </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AB4D21">
        <w:tc>
          <w:tcPr>
            <w:tcW w:w="2045" w:type="dxa"/>
            <w:vAlign w:val="center"/>
          </w:tcPr>
          <w:p w:rsidR="00AB4D21" w:rsidRDefault="00345560">
            <w:pPr>
              <w:jc w:val="left"/>
            </w:pPr>
            <w:r>
              <w:rPr>
                <w:sz w:val="24"/>
              </w:rPr>
              <w:t>中信银行</w:t>
            </w:r>
          </w:p>
        </w:tc>
        <w:tc>
          <w:tcPr>
            <w:tcW w:w="2455" w:type="dxa"/>
            <w:vAlign w:val="center"/>
          </w:tcPr>
          <w:p w:rsidR="00AB4D21" w:rsidRDefault="00345560">
            <w:pPr>
              <w:jc w:val="right"/>
            </w:pPr>
            <w:r>
              <w:rPr>
                <w:sz w:val="24"/>
              </w:rPr>
              <w:t>-</w:t>
            </w:r>
          </w:p>
        </w:tc>
        <w:tc>
          <w:tcPr>
            <w:tcW w:w="2609" w:type="dxa"/>
            <w:vAlign w:val="center"/>
          </w:tcPr>
          <w:p w:rsidR="00AB4D21" w:rsidRDefault="00345560">
            <w:pPr>
              <w:jc w:val="right"/>
            </w:pPr>
            <w:r>
              <w:rPr>
                <w:sz w:val="24"/>
              </w:rPr>
              <w:t>4,480.40</w:t>
            </w:r>
          </w:p>
        </w:tc>
        <w:tc>
          <w:tcPr>
            <w:tcW w:w="1889" w:type="dxa"/>
            <w:vAlign w:val="center"/>
          </w:tcPr>
          <w:p w:rsidR="00AB4D21" w:rsidRDefault="00345560">
            <w:pPr>
              <w:jc w:val="right"/>
            </w:pPr>
            <w:r>
              <w:rPr>
                <w:sz w:val="24"/>
              </w:rPr>
              <w:t>4,480.40</w:t>
            </w:r>
          </w:p>
        </w:tc>
      </w:tr>
      <w:tr w:rsidR="00AB4D21">
        <w:tc>
          <w:tcPr>
            <w:tcW w:w="2045" w:type="dxa"/>
            <w:vAlign w:val="center"/>
          </w:tcPr>
          <w:p w:rsidR="00AB4D21" w:rsidRDefault="00345560">
            <w:pPr>
              <w:jc w:val="left"/>
            </w:pPr>
            <w:r>
              <w:rPr>
                <w:sz w:val="24"/>
              </w:rPr>
              <w:t>交通银行</w:t>
            </w:r>
          </w:p>
        </w:tc>
        <w:tc>
          <w:tcPr>
            <w:tcW w:w="2455" w:type="dxa"/>
            <w:vAlign w:val="center"/>
          </w:tcPr>
          <w:p w:rsidR="00AB4D21" w:rsidRDefault="00345560">
            <w:pPr>
              <w:jc w:val="right"/>
            </w:pPr>
            <w:r>
              <w:rPr>
                <w:sz w:val="24"/>
              </w:rPr>
              <w:t>-</w:t>
            </w:r>
          </w:p>
        </w:tc>
        <w:tc>
          <w:tcPr>
            <w:tcW w:w="2609" w:type="dxa"/>
            <w:vAlign w:val="center"/>
          </w:tcPr>
          <w:p w:rsidR="00AB4D21" w:rsidRDefault="00345560">
            <w:pPr>
              <w:jc w:val="right"/>
            </w:pPr>
            <w:r>
              <w:rPr>
                <w:sz w:val="24"/>
              </w:rPr>
              <w:t>3,123.82</w:t>
            </w:r>
          </w:p>
        </w:tc>
        <w:tc>
          <w:tcPr>
            <w:tcW w:w="1889" w:type="dxa"/>
            <w:vAlign w:val="center"/>
          </w:tcPr>
          <w:p w:rsidR="00AB4D21" w:rsidRDefault="00345560">
            <w:pPr>
              <w:jc w:val="right"/>
            </w:pPr>
            <w:r>
              <w:rPr>
                <w:sz w:val="24"/>
              </w:rPr>
              <w:t>3,123.82</w:t>
            </w:r>
          </w:p>
        </w:tc>
      </w:tr>
      <w:tr w:rsidR="00AB4D21">
        <w:tc>
          <w:tcPr>
            <w:tcW w:w="2045" w:type="dxa"/>
            <w:vAlign w:val="center"/>
          </w:tcPr>
          <w:p w:rsidR="00AB4D21" w:rsidRDefault="00345560">
            <w:pPr>
              <w:jc w:val="left"/>
            </w:pPr>
            <w:r>
              <w:rPr>
                <w:sz w:val="24"/>
              </w:rPr>
              <w:t>交银施罗德基金公司</w:t>
            </w:r>
          </w:p>
        </w:tc>
        <w:tc>
          <w:tcPr>
            <w:tcW w:w="2455" w:type="dxa"/>
            <w:vAlign w:val="center"/>
          </w:tcPr>
          <w:p w:rsidR="00AB4D21" w:rsidRDefault="00345560">
            <w:pPr>
              <w:jc w:val="right"/>
            </w:pPr>
            <w:r>
              <w:rPr>
                <w:sz w:val="24"/>
              </w:rPr>
              <w:t>-</w:t>
            </w:r>
          </w:p>
        </w:tc>
        <w:tc>
          <w:tcPr>
            <w:tcW w:w="2609" w:type="dxa"/>
            <w:vAlign w:val="center"/>
          </w:tcPr>
          <w:p w:rsidR="00AB4D21" w:rsidRDefault="00345560">
            <w:pPr>
              <w:jc w:val="right"/>
            </w:pPr>
            <w:r>
              <w:rPr>
                <w:sz w:val="24"/>
              </w:rPr>
              <w:t>115.06</w:t>
            </w:r>
          </w:p>
        </w:tc>
        <w:tc>
          <w:tcPr>
            <w:tcW w:w="1889" w:type="dxa"/>
            <w:vAlign w:val="center"/>
          </w:tcPr>
          <w:p w:rsidR="00AB4D21" w:rsidRDefault="00345560">
            <w:pPr>
              <w:jc w:val="right"/>
            </w:pPr>
            <w:r>
              <w:rPr>
                <w:sz w:val="24"/>
              </w:rPr>
              <w:t>115.06</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7,719.28</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7,719.28</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AB4D21">
        <w:tc>
          <w:tcPr>
            <w:tcW w:w="2045" w:type="dxa"/>
            <w:vAlign w:val="center"/>
          </w:tcPr>
          <w:p w:rsidR="00AB4D21" w:rsidRDefault="00345560">
            <w:pPr>
              <w:jc w:val="left"/>
            </w:pPr>
            <w:r>
              <w:rPr>
                <w:sz w:val="24"/>
              </w:rPr>
              <w:t>中信银行</w:t>
            </w:r>
          </w:p>
        </w:tc>
        <w:tc>
          <w:tcPr>
            <w:tcW w:w="2455" w:type="dxa"/>
            <w:vAlign w:val="center"/>
          </w:tcPr>
          <w:p w:rsidR="00AB4D21" w:rsidRDefault="00345560">
            <w:pPr>
              <w:jc w:val="right"/>
            </w:pPr>
            <w:r>
              <w:rPr>
                <w:sz w:val="24"/>
              </w:rPr>
              <w:t>-</w:t>
            </w:r>
          </w:p>
        </w:tc>
        <w:tc>
          <w:tcPr>
            <w:tcW w:w="2609" w:type="dxa"/>
            <w:vAlign w:val="center"/>
          </w:tcPr>
          <w:p w:rsidR="00AB4D21" w:rsidRDefault="00345560">
            <w:pPr>
              <w:jc w:val="right"/>
            </w:pPr>
            <w:r>
              <w:rPr>
                <w:sz w:val="24"/>
              </w:rPr>
              <w:t>21,323.14</w:t>
            </w:r>
          </w:p>
        </w:tc>
        <w:tc>
          <w:tcPr>
            <w:tcW w:w="1889" w:type="dxa"/>
            <w:vAlign w:val="center"/>
          </w:tcPr>
          <w:p w:rsidR="00AB4D21" w:rsidRDefault="00345560">
            <w:pPr>
              <w:jc w:val="right"/>
            </w:pPr>
            <w:r>
              <w:rPr>
                <w:sz w:val="24"/>
              </w:rPr>
              <w:t>21,323.14</w:t>
            </w:r>
          </w:p>
        </w:tc>
      </w:tr>
      <w:tr w:rsidR="00AB4D21">
        <w:tc>
          <w:tcPr>
            <w:tcW w:w="2045" w:type="dxa"/>
            <w:vAlign w:val="center"/>
          </w:tcPr>
          <w:p w:rsidR="00AB4D21" w:rsidRDefault="00345560">
            <w:pPr>
              <w:jc w:val="left"/>
            </w:pPr>
            <w:r>
              <w:rPr>
                <w:sz w:val="24"/>
              </w:rPr>
              <w:t>交通银行</w:t>
            </w:r>
          </w:p>
        </w:tc>
        <w:tc>
          <w:tcPr>
            <w:tcW w:w="2455" w:type="dxa"/>
            <w:vAlign w:val="center"/>
          </w:tcPr>
          <w:p w:rsidR="00AB4D21" w:rsidRDefault="00345560">
            <w:pPr>
              <w:jc w:val="right"/>
            </w:pPr>
            <w:r>
              <w:rPr>
                <w:sz w:val="24"/>
              </w:rPr>
              <w:t>-</w:t>
            </w:r>
          </w:p>
        </w:tc>
        <w:tc>
          <w:tcPr>
            <w:tcW w:w="2609" w:type="dxa"/>
            <w:vAlign w:val="center"/>
          </w:tcPr>
          <w:p w:rsidR="00AB4D21" w:rsidRDefault="00345560">
            <w:pPr>
              <w:jc w:val="right"/>
            </w:pPr>
            <w:r>
              <w:rPr>
                <w:sz w:val="24"/>
              </w:rPr>
              <w:t>8,688.72</w:t>
            </w:r>
          </w:p>
        </w:tc>
        <w:tc>
          <w:tcPr>
            <w:tcW w:w="1889" w:type="dxa"/>
            <w:vAlign w:val="center"/>
          </w:tcPr>
          <w:p w:rsidR="00AB4D21" w:rsidRDefault="00345560">
            <w:pPr>
              <w:jc w:val="right"/>
            </w:pPr>
            <w:r>
              <w:rPr>
                <w:sz w:val="24"/>
              </w:rPr>
              <w:t>8,688.72</w:t>
            </w:r>
          </w:p>
        </w:tc>
      </w:tr>
      <w:tr w:rsidR="00AB4D21">
        <w:tc>
          <w:tcPr>
            <w:tcW w:w="2045" w:type="dxa"/>
            <w:vAlign w:val="center"/>
          </w:tcPr>
          <w:p w:rsidR="00AB4D21" w:rsidRDefault="00345560">
            <w:pPr>
              <w:jc w:val="left"/>
            </w:pPr>
            <w:r>
              <w:rPr>
                <w:sz w:val="24"/>
              </w:rPr>
              <w:t>交银施罗德基金公司</w:t>
            </w:r>
          </w:p>
        </w:tc>
        <w:tc>
          <w:tcPr>
            <w:tcW w:w="2455" w:type="dxa"/>
            <w:vAlign w:val="center"/>
          </w:tcPr>
          <w:p w:rsidR="00AB4D21" w:rsidRDefault="00345560">
            <w:pPr>
              <w:jc w:val="right"/>
            </w:pPr>
            <w:r>
              <w:rPr>
                <w:sz w:val="24"/>
              </w:rPr>
              <w:t>-</w:t>
            </w:r>
          </w:p>
        </w:tc>
        <w:tc>
          <w:tcPr>
            <w:tcW w:w="2609" w:type="dxa"/>
            <w:vAlign w:val="center"/>
          </w:tcPr>
          <w:p w:rsidR="00AB4D21" w:rsidRDefault="00345560">
            <w:pPr>
              <w:jc w:val="right"/>
            </w:pPr>
            <w:r>
              <w:rPr>
                <w:sz w:val="24"/>
              </w:rPr>
              <w:t>38,835.46</w:t>
            </w:r>
          </w:p>
        </w:tc>
        <w:tc>
          <w:tcPr>
            <w:tcW w:w="1889" w:type="dxa"/>
            <w:vAlign w:val="center"/>
          </w:tcPr>
          <w:p w:rsidR="00AB4D21" w:rsidRDefault="00345560">
            <w:pPr>
              <w:jc w:val="right"/>
            </w:pPr>
            <w:r>
              <w:rPr>
                <w:sz w:val="24"/>
              </w:rPr>
              <w:t>38,835.46</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68,847.32</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68,847.32</w:t>
            </w:r>
          </w:p>
        </w:tc>
      </w:tr>
    </w:tbl>
    <w:p w:rsidR="00AB4D21" w:rsidRDefault="00345560">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1</w:t>
      </w:r>
      <w:r>
        <w:rPr>
          <w:kern w:val="0"/>
          <w:sz w:val="24"/>
        </w:rPr>
        <w:t>月</w:t>
      </w:r>
      <w:r>
        <w:rPr>
          <w:kern w:val="0"/>
          <w:sz w:val="24"/>
        </w:rPr>
        <w:t>20</w:t>
      </w:r>
      <w:r>
        <w:rPr>
          <w:kern w:val="0"/>
          <w:sz w:val="24"/>
        </w:rPr>
        <w:t>日，支付基金销售机构的基金销售服务费按前一日</w:t>
      </w:r>
      <w:r>
        <w:rPr>
          <w:kern w:val="0"/>
          <w:sz w:val="24"/>
        </w:rPr>
        <w:t>C</w:t>
      </w:r>
      <w:r>
        <w:rPr>
          <w:kern w:val="0"/>
          <w:sz w:val="24"/>
        </w:rPr>
        <w:t>类基金份额对应的基金资产净值</w:t>
      </w:r>
      <w:r>
        <w:rPr>
          <w:kern w:val="0"/>
          <w:sz w:val="24"/>
        </w:rPr>
        <w:t>0.60%</w:t>
      </w:r>
      <w:r>
        <w:rPr>
          <w:kern w:val="0"/>
          <w:sz w:val="24"/>
        </w:rPr>
        <w:t>的年费率计提，逐日累计至每月月底，按月支付给基金管理人，再由基金管理人计算并支付给各基金销售机构。其计算公式为：</w:t>
      </w:r>
    </w:p>
    <w:p w:rsidR="00AB4D21" w:rsidRDefault="00345560">
      <w:pPr>
        <w:tabs>
          <w:tab w:val="left" w:pos="426"/>
        </w:tabs>
        <w:spacing w:before="29" w:line="288" w:lineRule="auto"/>
        <w:jc w:val="left"/>
        <w:rPr>
          <w:kern w:val="0"/>
          <w:sz w:val="24"/>
        </w:rPr>
      </w:pPr>
      <w:r>
        <w:rPr>
          <w:kern w:val="0"/>
          <w:sz w:val="24"/>
        </w:rPr>
        <w:t>日基金销售服务费＝前一日</w:t>
      </w:r>
      <w:r>
        <w:rPr>
          <w:kern w:val="0"/>
          <w:sz w:val="24"/>
        </w:rPr>
        <w:t>C</w:t>
      </w:r>
      <w:r>
        <w:rPr>
          <w:kern w:val="0"/>
          <w:sz w:val="24"/>
        </w:rPr>
        <w:t>类基金份额对应的资产净值</w:t>
      </w:r>
      <w:r>
        <w:rPr>
          <w:kern w:val="0"/>
          <w:sz w:val="24"/>
        </w:rPr>
        <w:t xml:space="preserve">×0.60%÷ </w:t>
      </w:r>
      <w:r>
        <w:rPr>
          <w:kern w:val="0"/>
          <w:sz w:val="24"/>
        </w:rPr>
        <w:t>当年天数。</w:t>
      </w:r>
    </w:p>
    <w:p w:rsidR="00AB4D21" w:rsidRDefault="00345560">
      <w:pPr>
        <w:tabs>
          <w:tab w:val="left" w:pos="426"/>
        </w:tabs>
        <w:spacing w:before="29" w:line="288" w:lineRule="auto"/>
        <w:jc w:val="left"/>
        <w:rPr>
          <w:kern w:val="0"/>
          <w:sz w:val="24"/>
        </w:rPr>
      </w:pPr>
      <w:r>
        <w:rPr>
          <w:kern w:val="0"/>
          <w:sz w:val="24"/>
        </w:rPr>
        <w:t>2017</w:t>
      </w:r>
      <w:r>
        <w:rPr>
          <w:kern w:val="0"/>
          <w:sz w:val="24"/>
        </w:rPr>
        <w:t>年</w:t>
      </w:r>
      <w:r>
        <w:rPr>
          <w:kern w:val="0"/>
          <w:sz w:val="24"/>
        </w:rPr>
        <w:t>1</w:t>
      </w:r>
      <w:r>
        <w:rPr>
          <w:kern w:val="0"/>
          <w:sz w:val="24"/>
        </w:rPr>
        <w:t>月</w:t>
      </w:r>
      <w:r>
        <w:rPr>
          <w:kern w:val="0"/>
          <w:sz w:val="24"/>
        </w:rPr>
        <w:t>20</w:t>
      </w:r>
      <w:r>
        <w:rPr>
          <w:kern w:val="0"/>
          <w:sz w:val="24"/>
        </w:rPr>
        <w:t>日起转为开放式运作起，支付基金销售机构的基金销售服务费按前一日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×0.40%÷ </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报告期内基金管理人运用固有资金投资本基金的情况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本基金的基金管理人于本基金本报告期内及上年度可比期间未运用固有资金投资本基金。</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Pr="00E25C2A" w:rsidRDefault="00825DBA" w:rsidP="00E25C2A">
      <w:pPr>
        <w:tabs>
          <w:tab w:val="left" w:pos="426"/>
        </w:tabs>
        <w:spacing w:before="29" w:line="288" w:lineRule="auto"/>
        <w:jc w:val="left"/>
        <w:rPr>
          <w:kern w:val="0"/>
          <w:sz w:val="24"/>
        </w:rPr>
      </w:pPr>
      <w:r w:rsidRPr="009E3E5B">
        <w:rPr>
          <w:kern w:val="0"/>
          <w:sz w:val="24"/>
        </w:rPr>
        <w:t>本报告期末及上年度末除基金管理人以外的其他关联方未投资本基金。</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2018</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2018</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AB4D21">
        <w:tc>
          <w:tcPr>
            <w:tcW w:w="2266" w:type="dxa"/>
            <w:vAlign w:val="center"/>
          </w:tcPr>
          <w:p w:rsidR="00AB4D21" w:rsidRDefault="00345560">
            <w:pPr>
              <w:jc w:val="left"/>
            </w:pPr>
            <w:r>
              <w:rPr>
                <w:szCs w:val="21"/>
              </w:rPr>
              <w:t>中信银行</w:t>
            </w:r>
          </w:p>
        </w:tc>
        <w:tc>
          <w:tcPr>
            <w:tcW w:w="1683" w:type="dxa"/>
            <w:vAlign w:val="center"/>
          </w:tcPr>
          <w:p w:rsidR="00AB4D21" w:rsidRDefault="00345560">
            <w:pPr>
              <w:jc w:val="right"/>
            </w:pPr>
            <w:r>
              <w:rPr>
                <w:szCs w:val="21"/>
              </w:rPr>
              <w:t>777,476.45</w:t>
            </w:r>
          </w:p>
        </w:tc>
        <w:tc>
          <w:tcPr>
            <w:tcW w:w="1683" w:type="dxa"/>
            <w:vAlign w:val="center"/>
          </w:tcPr>
          <w:p w:rsidR="00AB4D21" w:rsidRDefault="00345560">
            <w:pPr>
              <w:jc w:val="right"/>
            </w:pPr>
            <w:r>
              <w:rPr>
                <w:szCs w:val="21"/>
              </w:rPr>
              <w:t>258,834.98</w:t>
            </w:r>
          </w:p>
        </w:tc>
        <w:tc>
          <w:tcPr>
            <w:tcW w:w="1683" w:type="dxa"/>
            <w:vAlign w:val="center"/>
          </w:tcPr>
          <w:p w:rsidR="00AB4D21" w:rsidRDefault="00345560">
            <w:pPr>
              <w:jc w:val="right"/>
            </w:pPr>
            <w:r>
              <w:rPr>
                <w:szCs w:val="21"/>
              </w:rPr>
              <w:t>287,954.04</w:t>
            </w:r>
          </w:p>
        </w:tc>
        <w:tc>
          <w:tcPr>
            <w:tcW w:w="1683" w:type="dxa"/>
            <w:vAlign w:val="center"/>
          </w:tcPr>
          <w:p w:rsidR="00AB4D21" w:rsidRDefault="00345560">
            <w:pPr>
              <w:jc w:val="right"/>
            </w:pPr>
            <w:r>
              <w:rPr>
                <w:szCs w:val="21"/>
              </w:rPr>
              <w:t>149,267.79</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本基金本报告期内及上年度可比期间未在承销期内参与关联方承销的证券。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本基金本报告期及上年度可比期间无须作说明的其他关联交易事项。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2018</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本基金本期末无因认购新发</w:t>
      </w:r>
      <w:r w:rsidRPr="00E25C2A">
        <w:rPr>
          <w:kern w:val="0"/>
          <w:sz w:val="24"/>
        </w:rPr>
        <w:t>/</w:t>
      </w:r>
      <w:r w:rsidRPr="00E25C2A">
        <w:rPr>
          <w:kern w:val="0"/>
          <w:sz w:val="24"/>
        </w:rPr>
        <w:t>增发证券而于期末持有的流通受限证券。</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AA721C" w:rsidRDefault="001A59F9" w:rsidP="00AA721C">
      <w:pPr>
        <w:spacing w:before="29" w:line="288" w:lineRule="auto"/>
        <w:ind w:firstLineChars="200" w:firstLine="480"/>
        <w:rPr>
          <w:color w:val="000000"/>
          <w:sz w:val="24"/>
        </w:rPr>
      </w:pPr>
      <w:r w:rsidRPr="00AA721C">
        <w:rPr>
          <w:color w:val="000000"/>
          <w:sz w:val="24"/>
        </w:rPr>
        <w:t>本基金本报告期末无从事债券正回购交易形成的卖出回购证券款余额。</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AB4D21" w:rsidRDefault="00345560">
      <w:pPr>
        <w:spacing w:before="29" w:line="288" w:lineRule="auto"/>
        <w:ind w:firstLineChars="200" w:firstLine="480"/>
        <w:rPr>
          <w:color w:val="000000"/>
          <w:sz w:val="24"/>
        </w:rPr>
      </w:pPr>
      <w:r>
        <w:rPr>
          <w:color w:val="000000"/>
          <w:sz w:val="24"/>
        </w:rPr>
        <w:t>(1)</w:t>
      </w:r>
      <w:r>
        <w:rPr>
          <w:color w:val="000000"/>
          <w:sz w:val="24"/>
        </w:rPr>
        <w:t>公允价值</w:t>
      </w:r>
    </w:p>
    <w:p w:rsidR="00AB4D21" w:rsidRDefault="00345560">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AB4D21" w:rsidRDefault="00345560">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AB4D21" w:rsidRDefault="00345560">
      <w:pPr>
        <w:spacing w:before="29" w:line="288" w:lineRule="auto"/>
        <w:ind w:firstLineChars="200" w:firstLine="480"/>
        <w:rPr>
          <w:color w:val="000000"/>
          <w:sz w:val="24"/>
        </w:rPr>
      </w:pPr>
      <w:r>
        <w:rPr>
          <w:color w:val="000000"/>
          <w:sz w:val="24"/>
        </w:rPr>
        <w:t>第一层次：相同资产或负债在活跃市场上未经调整的报价。</w:t>
      </w:r>
    </w:p>
    <w:p w:rsidR="00AB4D21" w:rsidRDefault="00345560">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AB4D21" w:rsidRDefault="00345560">
      <w:pPr>
        <w:spacing w:before="29" w:line="288" w:lineRule="auto"/>
        <w:ind w:firstLineChars="200" w:firstLine="480"/>
        <w:rPr>
          <w:color w:val="000000"/>
          <w:sz w:val="24"/>
        </w:rPr>
      </w:pPr>
      <w:r>
        <w:rPr>
          <w:color w:val="000000"/>
          <w:sz w:val="24"/>
        </w:rPr>
        <w:t>第三层次：相关资产或负债的不可观察输入值。</w:t>
      </w:r>
    </w:p>
    <w:p w:rsidR="00AB4D21" w:rsidRDefault="00345560">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AB4D21" w:rsidRDefault="00345560">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AB4D21" w:rsidRDefault="00345560">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40,128,000.00</w:t>
      </w:r>
      <w:r>
        <w:rPr>
          <w:color w:val="000000"/>
          <w:sz w:val="24"/>
        </w:rPr>
        <w:t>元，无属于第一或第三层次的余额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日：第二层次</w:t>
      </w:r>
      <w:r>
        <w:rPr>
          <w:color w:val="000000"/>
          <w:sz w:val="24"/>
        </w:rPr>
        <w:t>640,745,500.00</w:t>
      </w:r>
      <w:r>
        <w:rPr>
          <w:color w:val="000000"/>
          <w:sz w:val="24"/>
        </w:rPr>
        <w:t>元，无第一或第三层次</w:t>
      </w:r>
      <w:r>
        <w:rPr>
          <w:color w:val="000000"/>
          <w:sz w:val="24"/>
        </w:rPr>
        <w:t>)</w:t>
      </w:r>
      <w:r>
        <w:rPr>
          <w:color w:val="000000"/>
          <w:sz w:val="24"/>
        </w:rPr>
        <w:t>。</w:t>
      </w:r>
    </w:p>
    <w:p w:rsidR="00AB4D21" w:rsidRDefault="00345560">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AB4D21" w:rsidRDefault="00345560">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AB4D21" w:rsidRDefault="00345560">
      <w:pPr>
        <w:spacing w:before="29" w:line="288" w:lineRule="auto"/>
        <w:ind w:firstLineChars="200" w:firstLine="480"/>
        <w:rPr>
          <w:color w:val="000000"/>
          <w:sz w:val="24"/>
        </w:rPr>
      </w:pPr>
      <w:r>
        <w:rPr>
          <w:color w:val="000000"/>
          <w:sz w:val="24"/>
        </w:rPr>
        <w:t>本基金本期及上年度可比期间持有的以公允价值计量的金融工具的公允价值所属层次未发生重大变动。</w:t>
      </w:r>
    </w:p>
    <w:p w:rsidR="00AB4D21" w:rsidRDefault="00345560">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AB4D21" w:rsidRDefault="00345560">
      <w:pPr>
        <w:spacing w:before="29" w:line="288" w:lineRule="auto"/>
        <w:ind w:firstLineChars="200" w:firstLine="480"/>
        <w:rPr>
          <w:color w:val="000000"/>
          <w:sz w:val="24"/>
        </w:rPr>
      </w:pPr>
      <w:r>
        <w:rPr>
          <w:color w:val="000000"/>
          <w:sz w:val="24"/>
        </w:rPr>
        <w:t>无。</w:t>
      </w:r>
    </w:p>
    <w:p w:rsidR="00AB4D21" w:rsidRDefault="00345560">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AB4D21" w:rsidRDefault="00345560">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AB4D21" w:rsidRDefault="00345560">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AB4D21" w:rsidRDefault="00345560">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AB4D21" w:rsidRDefault="00345560">
      <w:pPr>
        <w:spacing w:before="29" w:line="288" w:lineRule="auto"/>
        <w:ind w:firstLineChars="200" w:firstLine="480"/>
        <w:rPr>
          <w:color w:val="000000"/>
          <w:sz w:val="24"/>
        </w:rPr>
      </w:pPr>
      <w:r>
        <w:rPr>
          <w:color w:val="000000"/>
          <w:sz w:val="24"/>
        </w:rPr>
        <w:t>(2)</w:t>
      </w:r>
      <w:r>
        <w:rPr>
          <w:color w:val="000000"/>
          <w:sz w:val="24"/>
        </w:rPr>
        <w:t>其他</w:t>
      </w:r>
    </w:p>
    <w:p w:rsidR="001A59F9" w:rsidRDefault="001A59F9" w:rsidP="00D92A8E">
      <w:pPr>
        <w:spacing w:before="29" w:line="288" w:lineRule="auto"/>
        <w:ind w:firstLineChars="200" w:firstLine="480"/>
        <w:rPr>
          <w:color w:val="000000"/>
          <w:sz w:val="24"/>
        </w:rPr>
      </w:pPr>
      <w:r w:rsidRPr="00D92A8E">
        <w:rPr>
          <w:color w:val="000000"/>
          <w:sz w:val="24"/>
        </w:rPr>
        <w:t>除公允价值外，截至资产负债表日本基金无需要说明的其他重要事项。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40,128,000.00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96.51</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40,128,000.00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96.51</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金融衍生品投资</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777,476.45</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1.87</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673,540.28</w:t>
            </w:r>
          </w:p>
        </w:tc>
        <w:tc>
          <w:tcPr>
            <w:tcW w:w="1980" w:type="dxa"/>
            <w:vAlign w:val="center"/>
          </w:tcPr>
          <w:p w:rsidR="001E6CEE" w:rsidRPr="000008D1" w:rsidRDefault="001E6CEE" w:rsidP="00026C9C">
            <w:pPr>
              <w:spacing w:line="360" w:lineRule="auto"/>
              <w:jc w:val="right"/>
              <w:rPr>
                <w:sz w:val="24"/>
              </w:rPr>
            </w:pPr>
            <w:r w:rsidRPr="000008D1">
              <w:rPr>
                <w:sz w:val="24"/>
              </w:rPr>
              <w:t>1.62</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41,579,016.73</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本基金本报告期末未持有通过沪港通投资的股票。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1A59F9" w:rsidRPr="00C2179A" w:rsidRDefault="001A59F9" w:rsidP="00C2179A">
      <w:pPr>
        <w:pStyle w:val="20"/>
        <w:spacing w:before="29" w:after="0" w:line="288" w:lineRule="auto"/>
        <w:rPr>
          <w:rFonts w:ascii="Times New Roman" w:hAnsi="Times New Roman"/>
          <w:kern w:val="0"/>
          <w:szCs w:val="24"/>
        </w:rPr>
      </w:pPr>
      <w:bookmarkStart w:id="68" w:name="_Toc361324882"/>
      <w:r w:rsidRPr="00C2179A">
        <w:rPr>
          <w:rFonts w:ascii="Times New Roman" w:hAnsi="Times New Roman"/>
          <w:kern w:val="0"/>
          <w:szCs w:val="24"/>
        </w:rPr>
        <w:t>8.4</w:t>
      </w:r>
      <w:bookmarkStart w:id="69"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8"/>
      <w:bookmarkEnd w:id="6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本基金本报告期内未持有股票。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697181" w:rsidRDefault="001A59F9" w:rsidP="00697181">
      <w:pPr>
        <w:tabs>
          <w:tab w:val="left" w:pos="426"/>
        </w:tabs>
        <w:spacing w:before="29" w:line="288" w:lineRule="auto"/>
        <w:jc w:val="left"/>
        <w:rPr>
          <w:kern w:val="0"/>
          <w:sz w:val="24"/>
        </w:rPr>
      </w:pPr>
      <w:r w:rsidRPr="00697181">
        <w:rPr>
          <w:kern w:val="0"/>
          <w:sz w:val="24"/>
        </w:rPr>
        <w:t>本基金本报告期内未持有股票。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本基金本报告期内未持有股票。</w:t>
      </w: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40,128,000.00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96.92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40,128,000.00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96.92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r w:rsidR="0043264B" w:rsidRPr="006E14CE">
              <w:rPr>
                <w:rFonts w:hint="eastAsia"/>
                <w:color w:val="000000"/>
                <w:sz w:val="24"/>
              </w:rPr>
              <w:t>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40,128,000.00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96.92</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8.6</w:t>
      </w:r>
      <w:bookmarkStart w:id="73"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AB4D21">
        <w:tc>
          <w:tcPr>
            <w:tcW w:w="1320" w:type="dxa"/>
            <w:vAlign w:val="center"/>
          </w:tcPr>
          <w:p w:rsidR="00AB4D21" w:rsidRDefault="00345560">
            <w:pPr>
              <w:jc w:val="center"/>
            </w:pPr>
            <w:r>
              <w:rPr>
                <w:color w:val="000000"/>
                <w:sz w:val="24"/>
              </w:rPr>
              <w:t>1</w:t>
            </w:r>
          </w:p>
        </w:tc>
        <w:tc>
          <w:tcPr>
            <w:tcW w:w="1382" w:type="dxa"/>
            <w:vAlign w:val="center"/>
          </w:tcPr>
          <w:p w:rsidR="00AB4D21" w:rsidRDefault="00345560">
            <w:pPr>
              <w:jc w:val="center"/>
            </w:pPr>
            <w:r>
              <w:rPr>
                <w:color w:val="000000"/>
                <w:sz w:val="24"/>
              </w:rPr>
              <w:t>180209</w:t>
            </w:r>
          </w:p>
        </w:tc>
        <w:tc>
          <w:tcPr>
            <w:tcW w:w="1353" w:type="dxa"/>
            <w:vAlign w:val="center"/>
          </w:tcPr>
          <w:p w:rsidR="00AB4D21" w:rsidRDefault="00345560">
            <w:pPr>
              <w:jc w:val="center"/>
            </w:pPr>
            <w:r>
              <w:rPr>
                <w:color w:val="000000"/>
                <w:sz w:val="24"/>
              </w:rPr>
              <w:t>18</w:t>
            </w:r>
            <w:r>
              <w:rPr>
                <w:color w:val="000000"/>
                <w:sz w:val="24"/>
              </w:rPr>
              <w:t>国开</w:t>
            </w:r>
            <w:r>
              <w:rPr>
                <w:color w:val="000000"/>
                <w:sz w:val="24"/>
              </w:rPr>
              <w:t>09</w:t>
            </w:r>
          </w:p>
        </w:tc>
        <w:tc>
          <w:tcPr>
            <w:tcW w:w="1505" w:type="dxa"/>
            <w:vAlign w:val="center"/>
          </w:tcPr>
          <w:p w:rsidR="00AB4D21" w:rsidRDefault="00345560">
            <w:pPr>
              <w:jc w:val="right"/>
            </w:pPr>
            <w:r>
              <w:rPr>
                <w:color w:val="000000"/>
                <w:sz w:val="24"/>
              </w:rPr>
              <w:t>400,000</w:t>
            </w:r>
          </w:p>
        </w:tc>
        <w:tc>
          <w:tcPr>
            <w:tcW w:w="1737" w:type="dxa"/>
            <w:vAlign w:val="center"/>
          </w:tcPr>
          <w:p w:rsidR="00AB4D21" w:rsidRDefault="00345560">
            <w:pPr>
              <w:jc w:val="right"/>
            </w:pPr>
            <w:r>
              <w:rPr>
                <w:color w:val="000000"/>
                <w:sz w:val="24"/>
              </w:rPr>
              <w:t>40,128,000.00</w:t>
            </w:r>
          </w:p>
        </w:tc>
        <w:tc>
          <w:tcPr>
            <w:tcW w:w="1701" w:type="dxa"/>
            <w:vAlign w:val="center"/>
          </w:tcPr>
          <w:p w:rsidR="00AB4D21" w:rsidRDefault="00345560">
            <w:pPr>
              <w:jc w:val="right"/>
            </w:pPr>
            <w:r>
              <w:rPr>
                <w:color w:val="000000"/>
                <w:sz w:val="24"/>
              </w:rPr>
              <w:t>96.92</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6,546.48</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636,888.86</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30,104.94</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673,540.28</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期末前十名股票中存在流通受限情况的说明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本基金本报告期末未持有股票。</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持有人结构</w:t>
            </w:r>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交银丰享收益债券</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3,451</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3,979.71</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13,733,982.68</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交银丰享收益债券</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246</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53,045.30</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13,049,142.86</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3,697</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7,244.56</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26,783,125.54</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交银丰享收益债券</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30.13</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交银丰享收益债券</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30.13</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0.00%</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交银丰享收益债券</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交银丰享收益债券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交银丰享收益债券</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交银丰享收益债券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交银丰享收益债券</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交银丰享收益债券</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2015</w:t>
            </w:r>
            <w:r w:rsidRPr="009440E4">
              <w:rPr>
                <w:sz w:val="24"/>
              </w:rPr>
              <w:t>年</w:t>
            </w:r>
            <w:r w:rsidRPr="009440E4">
              <w:rPr>
                <w:sz w:val="24"/>
              </w:rPr>
              <w:t>1</w:t>
            </w:r>
            <w:r w:rsidRPr="009440E4">
              <w:rPr>
                <w:sz w:val="24"/>
              </w:rPr>
              <w:t>月</w:t>
            </w:r>
            <w:r w:rsidRPr="009440E4">
              <w:rPr>
                <w:sz w:val="24"/>
              </w:rPr>
              <w:t>19</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w:t>
            </w:r>
          </w:p>
        </w:tc>
        <w:tc>
          <w:tcPr>
            <w:tcW w:w="1615" w:type="pct"/>
            <w:vAlign w:val="center"/>
          </w:tcPr>
          <w:p w:rsidR="00703495" w:rsidRPr="009440E4" w:rsidRDefault="00703495" w:rsidP="009440E4">
            <w:pPr>
              <w:spacing w:before="29" w:line="288" w:lineRule="auto"/>
              <w:jc w:val="center"/>
              <w:rPr>
                <w:sz w:val="24"/>
              </w:rPr>
            </w:pPr>
            <w:r w:rsidRPr="009440E4">
              <w:rPr>
                <w:sz w:val="24"/>
              </w:rPr>
              <w:t>259,386,490.95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本报告期期初基金份额总额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260,425,742.53</w:t>
            </w:r>
          </w:p>
        </w:tc>
        <w:tc>
          <w:tcPr>
            <w:tcW w:w="1615" w:type="pct"/>
            <w:vAlign w:val="bottom"/>
          </w:tcPr>
          <w:p w:rsidR="00703495" w:rsidRPr="009440E4" w:rsidRDefault="00703495" w:rsidP="009440E4">
            <w:pPr>
              <w:spacing w:before="29" w:line="288" w:lineRule="auto"/>
              <w:jc w:val="center"/>
              <w:rPr>
                <w:sz w:val="24"/>
              </w:rPr>
            </w:pPr>
            <w:r w:rsidRPr="009440E4">
              <w:rPr>
                <w:sz w:val="24"/>
              </w:rPr>
              <w:t>26,983,659.35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28,432,098.14</w:t>
            </w:r>
          </w:p>
        </w:tc>
        <w:tc>
          <w:tcPr>
            <w:tcW w:w="1615" w:type="pct"/>
            <w:vAlign w:val="bottom"/>
          </w:tcPr>
          <w:p w:rsidR="00703495" w:rsidRPr="009440E4" w:rsidRDefault="00703495" w:rsidP="009440E4">
            <w:pPr>
              <w:spacing w:before="29" w:line="288" w:lineRule="auto"/>
              <w:jc w:val="center"/>
              <w:rPr>
                <w:sz w:val="24"/>
              </w:rPr>
            </w:pPr>
            <w:r w:rsidRPr="009440E4">
              <w:rPr>
                <w:sz w:val="24"/>
              </w:rPr>
              <w:t>2,255,118.50</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本报告期</w:t>
            </w:r>
            <w:r w:rsidRPr="009440E4">
              <w:rPr>
                <w:rFonts w:hint="eastAsia"/>
                <w:sz w:val="24"/>
              </w:rPr>
              <w:t>基金总赎回份额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275,123,857.99</w:t>
            </w:r>
          </w:p>
        </w:tc>
        <w:tc>
          <w:tcPr>
            <w:tcW w:w="1615" w:type="pct"/>
            <w:vAlign w:val="bottom"/>
          </w:tcPr>
          <w:p w:rsidR="00703495" w:rsidRPr="009440E4" w:rsidRDefault="00703495" w:rsidP="009440E4">
            <w:pPr>
              <w:spacing w:before="29" w:line="288" w:lineRule="auto"/>
              <w:jc w:val="center"/>
              <w:rPr>
                <w:sz w:val="24"/>
              </w:rPr>
            </w:pPr>
            <w:r w:rsidRPr="009440E4">
              <w:rPr>
                <w:sz w:val="24"/>
              </w:rPr>
              <w:t>16,189,634.99</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13,733,982.68</w:t>
            </w:r>
          </w:p>
        </w:tc>
        <w:tc>
          <w:tcPr>
            <w:tcW w:w="1615" w:type="pct"/>
            <w:vAlign w:val="center"/>
          </w:tcPr>
          <w:p w:rsidR="00703495" w:rsidRPr="009440E4" w:rsidRDefault="00703495" w:rsidP="009440E4">
            <w:pPr>
              <w:spacing w:before="29" w:line="288" w:lineRule="auto"/>
              <w:jc w:val="center"/>
              <w:rPr>
                <w:sz w:val="24"/>
              </w:rPr>
            </w:pPr>
            <w:r w:rsidRPr="009440E4">
              <w:rPr>
                <w:sz w:val="24"/>
              </w:rPr>
              <w:t>13,049,142.86</w:t>
            </w:r>
          </w:p>
        </w:tc>
      </w:tr>
    </w:tbl>
    <w:p w:rsidR="00AB4D21" w:rsidRDefault="0034556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C51A5D">
      <w:pPr>
        <w:tabs>
          <w:tab w:val="left" w:pos="426"/>
        </w:tabs>
        <w:spacing w:before="29" w:line="288" w:lineRule="auto"/>
        <w:jc w:val="left"/>
        <w:rPr>
          <w:kern w:val="0"/>
          <w:sz w:val="24"/>
        </w:rPr>
      </w:pPr>
      <w:r w:rsidRPr="00C51A5D">
        <w:rPr>
          <w:kern w:val="0"/>
          <w:sz w:val="24"/>
        </w:rPr>
        <w:t>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本基金管理人于</w:t>
      </w:r>
      <w:r w:rsidRPr="00FF415B">
        <w:rPr>
          <w:color w:val="000000"/>
          <w:sz w:val="24"/>
        </w:rPr>
        <w:t>2018</w:t>
      </w:r>
      <w:r w:rsidRPr="00FF415B">
        <w:rPr>
          <w:color w:val="000000"/>
          <w:sz w:val="24"/>
        </w:rPr>
        <w:t>年</w:t>
      </w:r>
      <w:r w:rsidRPr="00FF415B">
        <w:rPr>
          <w:color w:val="000000"/>
          <w:sz w:val="24"/>
        </w:rPr>
        <w:t>7</w:t>
      </w:r>
      <w:r w:rsidRPr="00FF415B">
        <w:rPr>
          <w:color w:val="000000"/>
          <w:sz w:val="24"/>
        </w:rPr>
        <w:t>月</w:t>
      </w:r>
      <w:r w:rsidRPr="00FF415B">
        <w:rPr>
          <w:color w:val="000000"/>
          <w:sz w:val="24"/>
        </w:rPr>
        <w:t>2</w:t>
      </w:r>
      <w:r w:rsidRPr="00FF415B">
        <w:rPr>
          <w:color w:val="000000"/>
          <w:sz w:val="24"/>
        </w:rPr>
        <w:t>日起至</w:t>
      </w:r>
      <w:r w:rsidRPr="00FF415B">
        <w:rPr>
          <w:color w:val="000000"/>
          <w:sz w:val="24"/>
        </w:rPr>
        <w:t>2018</w:t>
      </w:r>
      <w:r w:rsidRPr="00FF415B">
        <w:rPr>
          <w:color w:val="000000"/>
          <w:sz w:val="24"/>
        </w:rPr>
        <w:t>年</w:t>
      </w:r>
      <w:r w:rsidRPr="00FF415B">
        <w:rPr>
          <w:color w:val="000000"/>
          <w:sz w:val="24"/>
        </w:rPr>
        <w:t>8</w:t>
      </w:r>
      <w:r w:rsidRPr="00FF415B">
        <w:rPr>
          <w:color w:val="000000"/>
          <w:sz w:val="24"/>
        </w:rPr>
        <w:t>月</w:t>
      </w:r>
      <w:r w:rsidRPr="00FF415B">
        <w:rPr>
          <w:color w:val="000000"/>
          <w:sz w:val="24"/>
        </w:rPr>
        <w:t>1</w:t>
      </w:r>
      <w:r w:rsidRPr="00FF415B">
        <w:rPr>
          <w:color w:val="000000"/>
          <w:sz w:val="24"/>
        </w:rPr>
        <w:t>日</w:t>
      </w:r>
      <w:r w:rsidRPr="00FF415B">
        <w:rPr>
          <w:color w:val="000000"/>
          <w:sz w:val="24"/>
        </w:rPr>
        <w:t>17</w:t>
      </w:r>
      <w:r w:rsidRPr="00FF415B">
        <w:rPr>
          <w:color w:val="000000"/>
          <w:sz w:val="24"/>
        </w:rPr>
        <w:t>：</w:t>
      </w:r>
      <w:r w:rsidRPr="00FF415B">
        <w:rPr>
          <w:color w:val="000000"/>
          <w:sz w:val="24"/>
        </w:rPr>
        <w:t>00</w:t>
      </w:r>
      <w:r w:rsidRPr="00FF415B">
        <w:rPr>
          <w:color w:val="000000"/>
          <w:sz w:val="24"/>
        </w:rPr>
        <w:t>止以通讯方式召开本基金的基金份额持有人大会，就本基金基金合同修改有关事项的议案进行表决。根据基金份额持有人大会的决议，本基金管理人修改了本基金的收益分配原则，并相应修改基金合同和托管协议。本基金管理人将在更新基金招募说明书时，对上述相关内容进行相应修订。本次基金份额持有人大会决议于</w:t>
      </w:r>
      <w:r w:rsidRPr="00FF415B">
        <w:rPr>
          <w:color w:val="000000"/>
          <w:sz w:val="24"/>
        </w:rPr>
        <w:t>2018</w:t>
      </w:r>
      <w:r w:rsidRPr="00FF415B">
        <w:rPr>
          <w:color w:val="000000"/>
          <w:sz w:val="24"/>
        </w:rPr>
        <w:t>年</w:t>
      </w:r>
      <w:r w:rsidRPr="00FF415B">
        <w:rPr>
          <w:color w:val="000000"/>
          <w:sz w:val="24"/>
        </w:rPr>
        <w:t>8</w:t>
      </w:r>
      <w:r w:rsidRPr="00FF415B">
        <w:rPr>
          <w:color w:val="000000"/>
          <w:sz w:val="24"/>
        </w:rPr>
        <w:t>月</w:t>
      </w:r>
      <w:r w:rsidRPr="00FF415B">
        <w:rPr>
          <w:color w:val="000000"/>
          <w:sz w:val="24"/>
        </w:rPr>
        <w:t>2</w:t>
      </w:r>
      <w:r w:rsidRPr="00FF415B">
        <w:rPr>
          <w:color w:val="000000"/>
          <w:sz w:val="24"/>
        </w:rPr>
        <w:t>日生效，自本次基金份额持有人大会决议公告之日即</w:t>
      </w:r>
      <w:r w:rsidRPr="00FF415B">
        <w:rPr>
          <w:color w:val="000000"/>
          <w:sz w:val="24"/>
        </w:rPr>
        <w:t>2018</w:t>
      </w:r>
      <w:r w:rsidRPr="00FF415B">
        <w:rPr>
          <w:color w:val="000000"/>
          <w:sz w:val="24"/>
        </w:rPr>
        <w:t>年</w:t>
      </w:r>
      <w:r w:rsidRPr="00FF415B">
        <w:rPr>
          <w:color w:val="000000"/>
          <w:sz w:val="24"/>
        </w:rPr>
        <w:t>8</w:t>
      </w:r>
      <w:r w:rsidRPr="00FF415B">
        <w:rPr>
          <w:color w:val="000000"/>
          <w:sz w:val="24"/>
        </w:rPr>
        <w:t>月</w:t>
      </w:r>
      <w:r w:rsidRPr="00FF415B">
        <w:rPr>
          <w:color w:val="000000"/>
          <w:sz w:val="24"/>
        </w:rPr>
        <w:t>3</w:t>
      </w:r>
      <w:r w:rsidRPr="00FF415B">
        <w:rPr>
          <w:color w:val="000000"/>
          <w:sz w:val="24"/>
        </w:rPr>
        <w:t>日起，本基金执行修改后的基金收益分配原则。详情请查阅本基金管理人于</w:t>
      </w:r>
      <w:r w:rsidRPr="00FF415B">
        <w:rPr>
          <w:color w:val="000000"/>
          <w:sz w:val="24"/>
        </w:rPr>
        <w:t>2018</w:t>
      </w:r>
      <w:r w:rsidRPr="00FF415B">
        <w:rPr>
          <w:color w:val="000000"/>
          <w:sz w:val="24"/>
        </w:rPr>
        <w:t>年</w:t>
      </w:r>
      <w:r w:rsidRPr="00FF415B">
        <w:rPr>
          <w:color w:val="000000"/>
          <w:sz w:val="24"/>
        </w:rPr>
        <w:t>8</w:t>
      </w:r>
      <w:r w:rsidRPr="00FF415B">
        <w:rPr>
          <w:color w:val="000000"/>
          <w:sz w:val="24"/>
        </w:rPr>
        <w:t>月</w:t>
      </w:r>
      <w:r w:rsidRPr="00FF415B">
        <w:rPr>
          <w:color w:val="000000"/>
          <w:sz w:val="24"/>
        </w:rPr>
        <w:t>3</w:t>
      </w:r>
      <w:r w:rsidRPr="00FF415B">
        <w:rPr>
          <w:color w:val="000000"/>
          <w:sz w:val="24"/>
        </w:rPr>
        <w:t>日发布的《交银施罗德基金管理有限公司关于交银施罗德丰享收益债券型证券投资基金基金份额持有人大会表决结果暨决议生效的公告》。</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AB4D21" w:rsidRDefault="00345560">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AB4D21" w:rsidRDefault="00345560">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AB4D21" w:rsidRDefault="00345560">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日发布公告，经公司第五届董事会第五次会议审议通过，选举谢卫先生担任公司总经理，阮红女士不再担任公司总经理。期后变动敬请关注基金管理人发布的相关公告。</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11.5</w:t>
      </w:r>
      <w:bookmarkEnd w:id="90"/>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60,000</w:t>
      </w:r>
      <w:r w:rsidRPr="00FF415B">
        <w:rPr>
          <w:color w:val="000000"/>
          <w:sz w:val="24"/>
        </w:rPr>
        <w:t>元。自本基金基金合同生效以来，本基金未改聘为其审计的会计师事务所。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2"/>
    </w:p>
    <w:p w:rsidR="00AB4D21" w:rsidRDefault="00345560">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AB4D21" w:rsidRDefault="00345560">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AB4D21" w:rsidRDefault="00345560">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AB4D21">
        <w:tc>
          <w:tcPr>
            <w:tcW w:w="1559" w:type="dxa"/>
            <w:vAlign w:val="center"/>
          </w:tcPr>
          <w:p w:rsidR="00AB4D21" w:rsidRDefault="00345560">
            <w:pPr>
              <w:jc w:val="left"/>
            </w:pPr>
            <w:r>
              <w:rPr>
                <w:color w:val="000000"/>
                <w:szCs w:val="21"/>
              </w:rPr>
              <w:t>安信证券股份有限公司</w:t>
            </w:r>
          </w:p>
        </w:tc>
        <w:tc>
          <w:tcPr>
            <w:tcW w:w="779" w:type="dxa"/>
            <w:vAlign w:val="center"/>
          </w:tcPr>
          <w:p w:rsidR="00AB4D21" w:rsidRDefault="00345560">
            <w:pPr>
              <w:jc w:val="right"/>
            </w:pPr>
            <w:r>
              <w:rPr>
                <w:color w:val="000000"/>
                <w:szCs w:val="21"/>
              </w:rPr>
              <w:t>2</w:t>
            </w:r>
          </w:p>
        </w:tc>
        <w:tc>
          <w:tcPr>
            <w:tcW w:w="180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62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080" w:type="dxa"/>
            <w:vAlign w:val="center"/>
          </w:tcPr>
          <w:p w:rsidR="00AB4D21" w:rsidRDefault="00345560">
            <w:pPr>
              <w:jc w:val="left"/>
            </w:pPr>
            <w:r>
              <w:rPr>
                <w:color w:val="000000"/>
                <w:szCs w:val="21"/>
              </w:rPr>
              <w:t>-</w:t>
            </w:r>
          </w:p>
        </w:tc>
      </w:tr>
      <w:tr w:rsidR="00AB4D21">
        <w:tc>
          <w:tcPr>
            <w:tcW w:w="1559" w:type="dxa"/>
            <w:vAlign w:val="center"/>
          </w:tcPr>
          <w:p w:rsidR="00AB4D21" w:rsidRDefault="00345560">
            <w:pPr>
              <w:jc w:val="left"/>
            </w:pPr>
            <w:r>
              <w:rPr>
                <w:color w:val="000000"/>
                <w:szCs w:val="21"/>
              </w:rPr>
              <w:t>中信证券股份有限公司</w:t>
            </w:r>
          </w:p>
        </w:tc>
        <w:tc>
          <w:tcPr>
            <w:tcW w:w="779" w:type="dxa"/>
            <w:vAlign w:val="center"/>
          </w:tcPr>
          <w:p w:rsidR="00AB4D21" w:rsidRDefault="00345560">
            <w:pPr>
              <w:jc w:val="right"/>
            </w:pPr>
            <w:r>
              <w:rPr>
                <w:color w:val="000000"/>
                <w:szCs w:val="21"/>
              </w:rPr>
              <w:t>1</w:t>
            </w:r>
          </w:p>
        </w:tc>
        <w:tc>
          <w:tcPr>
            <w:tcW w:w="180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62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080" w:type="dxa"/>
            <w:vAlign w:val="center"/>
          </w:tcPr>
          <w:p w:rsidR="00AB4D21" w:rsidRDefault="00345560">
            <w:pPr>
              <w:jc w:val="left"/>
            </w:pPr>
            <w:r>
              <w:rPr>
                <w:color w:val="000000"/>
                <w:szCs w:val="21"/>
              </w:rPr>
              <w:t>-</w:t>
            </w:r>
          </w:p>
        </w:tc>
      </w:tr>
      <w:tr w:rsidR="00AB4D21">
        <w:tc>
          <w:tcPr>
            <w:tcW w:w="1559" w:type="dxa"/>
            <w:vAlign w:val="center"/>
          </w:tcPr>
          <w:p w:rsidR="00AB4D21" w:rsidRDefault="00345560">
            <w:pPr>
              <w:jc w:val="left"/>
            </w:pPr>
            <w:r>
              <w:rPr>
                <w:color w:val="000000"/>
                <w:szCs w:val="21"/>
              </w:rPr>
              <w:t>国金证券股份有限公司</w:t>
            </w:r>
          </w:p>
        </w:tc>
        <w:tc>
          <w:tcPr>
            <w:tcW w:w="779" w:type="dxa"/>
            <w:vAlign w:val="center"/>
          </w:tcPr>
          <w:p w:rsidR="00AB4D21" w:rsidRDefault="00345560">
            <w:pPr>
              <w:jc w:val="right"/>
            </w:pPr>
            <w:r>
              <w:rPr>
                <w:color w:val="000000"/>
                <w:szCs w:val="21"/>
              </w:rPr>
              <w:t>2</w:t>
            </w:r>
          </w:p>
        </w:tc>
        <w:tc>
          <w:tcPr>
            <w:tcW w:w="180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62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080" w:type="dxa"/>
            <w:vAlign w:val="center"/>
          </w:tcPr>
          <w:p w:rsidR="00AB4D21" w:rsidRDefault="00345560">
            <w:pPr>
              <w:jc w:val="left"/>
            </w:pPr>
            <w:r>
              <w:rPr>
                <w:color w:val="000000"/>
                <w:szCs w:val="21"/>
              </w:rPr>
              <w:t>-</w:t>
            </w:r>
          </w:p>
        </w:tc>
      </w:tr>
      <w:tr w:rsidR="00AB4D21">
        <w:tc>
          <w:tcPr>
            <w:tcW w:w="1559" w:type="dxa"/>
            <w:vAlign w:val="center"/>
          </w:tcPr>
          <w:p w:rsidR="00AB4D21" w:rsidRDefault="00345560">
            <w:pPr>
              <w:jc w:val="left"/>
            </w:pPr>
            <w:r>
              <w:rPr>
                <w:color w:val="000000"/>
                <w:szCs w:val="21"/>
              </w:rPr>
              <w:t>中泰证券股份有限公司</w:t>
            </w:r>
          </w:p>
        </w:tc>
        <w:tc>
          <w:tcPr>
            <w:tcW w:w="779" w:type="dxa"/>
            <w:vAlign w:val="center"/>
          </w:tcPr>
          <w:p w:rsidR="00AB4D21" w:rsidRDefault="00345560">
            <w:pPr>
              <w:jc w:val="right"/>
            </w:pPr>
            <w:r>
              <w:rPr>
                <w:color w:val="000000"/>
                <w:szCs w:val="21"/>
              </w:rPr>
              <w:t>2</w:t>
            </w:r>
          </w:p>
        </w:tc>
        <w:tc>
          <w:tcPr>
            <w:tcW w:w="180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62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080" w:type="dxa"/>
            <w:vAlign w:val="center"/>
          </w:tcPr>
          <w:p w:rsidR="00AB4D21" w:rsidRDefault="00345560">
            <w:pPr>
              <w:jc w:val="left"/>
            </w:pPr>
            <w:r>
              <w:rPr>
                <w:color w:val="000000"/>
                <w:szCs w:val="21"/>
              </w:rPr>
              <w:t>-</w:t>
            </w:r>
          </w:p>
        </w:tc>
      </w:tr>
      <w:tr w:rsidR="00AB4D21">
        <w:tc>
          <w:tcPr>
            <w:tcW w:w="1559" w:type="dxa"/>
            <w:vAlign w:val="center"/>
          </w:tcPr>
          <w:p w:rsidR="00AB4D21" w:rsidRDefault="00345560">
            <w:pPr>
              <w:jc w:val="left"/>
            </w:pPr>
            <w:r>
              <w:rPr>
                <w:color w:val="000000"/>
                <w:szCs w:val="21"/>
              </w:rPr>
              <w:t>新时代证券股份有限公司</w:t>
            </w:r>
          </w:p>
        </w:tc>
        <w:tc>
          <w:tcPr>
            <w:tcW w:w="779" w:type="dxa"/>
            <w:vAlign w:val="center"/>
          </w:tcPr>
          <w:p w:rsidR="00AB4D21" w:rsidRDefault="00345560">
            <w:pPr>
              <w:jc w:val="right"/>
            </w:pPr>
            <w:r>
              <w:rPr>
                <w:color w:val="000000"/>
                <w:szCs w:val="21"/>
              </w:rPr>
              <w:t>1</w:t>
            </w:r>
          </w:p>
        </w:tc>
        <w:tc>
          <w:tcPr>
            <w:tcW w:w="180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620" w:type="dxa"/>
            <w:vAlign w:val="center"/>
          </w:tcPr>
          <w:p w:rsidR="00AB4D21" w:rsidRDefault="00345560">
            <w:pPr>
              <w:jc w:val="right"/>
            </w:pPr>
            <w:r>
              <w:rPr>
                <w:color w:val="000000"/>
                <w:szCs w:val="21"/>
              </w:rPr>
              <w:t>-</w:t>
            </w:r>
          </w:p>
        </w:tc>
        <w:tc>
          <w:tcPr>
            <w:tcW w:w="1080" w:type="dxa"/>
            <w:vAlign w:val="center"/>
          </w:tcPr>
          <w:p w:rsidR="00AB4D21" w:rsidRDefault="00345560">
            <w:pPr>
              <w:jc w:val="right"/>
            </w:pPr>
            <w:r>
              <w:rPr>
                <w:color w:val="000000"/>
                <w:szCs w:val="21"/>
              </w:rPr>
              <w:t>-</w:t>
            </w:r>
          </w:p>
        </w:tc>
        <w:tc>
          <w:tcPr>
            <w:tcW w:w="1080" w:type="dxa"/>
            <w:vAlign w:val="center"/>
          </w:tcPr>
          <w:p w:rsidR="00AB4D21" w:rsidRDefault="00345560">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占当期权证成交总额的比例</w:t>
            </w:r>
          </w:p>
        </w:tc>
      </w:tr>
      <w:tr w:rsidR="00AB4D21">
        <w:tc>
          <w:tcPr>
            <w:tcW w:w="1559" w:type="dxa"/>
            <w:vAlign w:val="center"/>
          </w:tcPr>
          <w:p w:rsidR="00AB4D21" w:rsidRDefault="00345560">
            <w:pPr>
              <w:jc w:val="left"/>
            </w:pPr>
            <w:r>
              <w:rPr>
                <w:szCs w:val="21"/>
              </w:rPr>
              <w:t>安信证券股份有限公司</w:t>
            </w:r>
          </w:p>
        </w:tc>
        <w:tc>
          <w:tcPr>
            <w:tcW w:w="1319" w:type="dxa"/>
            <w:vAlign w:val="center"/>
          </w:tcPr>
          <w:p w:rsidR="00AB4D21" w:rsidRDefault="00345560">
            <w:pPr>
              <w:jc w:val="right"/>
            </w:pPr>
            <w:r>
              <w:rPr>
                <w:szCs w:val="21"/>
              </w:rPr>
              <w:t>-</w:t>
            </w:r>
          </w:p>
        </w:tc>
        <w:tc>
          <w:tcPr>
            <w:tcW w:w="1080" w:type="dxa"/>
            <w:vAlign w:val="center"/>
          </w:tcPr>
          <w:p w:rsidR="00AB4D21" w:rsidRDefault="00345560">
            <w:pPr>
              <w:jc w:val="right"/>
            </w:pPr>
            <w:r>
              <w:rPr>
                <w:szCs w:val="21"/>
              </w:rPr>
              <w:t>-</w:t>
            </w:r>
          </w:p>
        </w:tc>
        <w:tc>
          <w:tcPr>
            <w:tcW w:w="1080" w:type="dxa"/>
            <w:vAlign w:val="center"/>
          </w:tcPr>
          <w:p w:rsidR="00AB4D21" w:rsidRDefault="00345560">
            <w:pPr>
              <w:jc w:val="right"/>
            </w:pPr>
            <w:r>
              <w:rPr>
                <w:szCs w:val="21"/>
              </w:rPr>
              <w:t>108,000,000.00</w:t>
            </w:r>
          </w:p>
        </w:tc>
        <w:tc>
          <w:tcPr>
            <w:tcW w:w="1260" w:type="dxa"/>
            <w:vAlign w:val="center"/>
          </w:tcPr>
          <w:p w:rsidR="00AB4D21" w:rsidRDefault="00345560">
            <w:pPr>
              <w:jc w:val="right"/>
            </w:pPr>
            <w:r>
              <w:rPr>
                <w:szCs w:val="21"/>
              </w:rPr>
              <w:t>100.00%</w:t>
            </w:r>
          </w:p>
        </w:tc>
        <w:tc>
          <w:tcPr>
            <w:tcW w:w="1260" w:type="dxa"/>
            <w:vAlign w:val="center"/>
          </w:tcPr>
          <w:p w:rsidR="00AB4D21" w:rsidRDefault="00345560">
            <w:pPr>
              <w:jc w:val="right"/>
            </w:pPr>
            <w:r>
              <w:rPr>
                <w:szCs w:val="21"/>
              </w:rPr>
              <w:t>-</w:t>
            </w:r>
          </w:p>
        </w:tc>
        <w:tc>
          <w:tcPr>
            <w:tcW w:w="1440" w:type="dxa"/>
            <w:vAlign w:val="center"/>
          </w:tcPr>
          <w:p w:rsidR="00AB4D21" w:rsidRDefault="00345560">
            <w:pPr>
              <w:jc w:val="right"/>
            </w:pPr>
            <w:r>
              <w:rPr>
                <w:szCs w:val="21"/>
              </w:rPr>
              <w:t>-</w:t>
            </w:r>
          </w:p>
        </w:tc>
      </w:tr>
    </w:tbl>
    <w:p w:rsidR="00AB4D21" w:rsidRDefault="00345560">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、报告期内，本基金新增加新时代证券股份有限公司、中信证券股份有限公司，其它交易单元未发生变化；</w:t>
      </w:r>
      <w:r>
        <w:rPr>
          <w:kern w:val="0"/>
          <w:sz w:val="24"/>
        </w:rPr>
        <w:t xml:space="preserve">   </w:t>
      </w:r>
    </w:p>
    <w:p w:rsidR="00AB4D21" w:rsidRDefault="00345560">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、租用证券公司交易单元的程序：首先根据租用证券公司交易单元的选择标准进行综合评价，然后根据评价选择基金交易单元。研究部提交方案，并上报公司批准。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723729" w:rsidRDefault="00A25C9D" w:rsidP="00FB2916">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B4D21">
        <w:tc>
          <w:tcPr>
            <w:tcW w:w="993" w:type="dxa"/>
            <w:vMerge w:val="restart"/>
          </w:tcPr>
          <w:p w:rsidR="00AB4D21" w:rsidRDefault="00AB4D21"/>
          <w:p w:rsidR="00AB4D21" w:rsidRDefault="00345560">
            <w:r>
              <w:rPr>
                <w:rFonts w:ascii="宋体" w:hAnsi="宋体" w:hint="eastAsia"/>
                <w:bCs/>
                <w:color w:val="000000"/>
                <w:kern w:val="0"/>
                <w:szCs w:val="21"/>
              </w:rPr>
              <w:t>机构</w:t>
            </w:r>
          </w:p>
        </w:tc>
        <w:tc>
          <w:tcPr>
            <w:tcW w:w="992" w:type="dxa"/>
            <w:vAlign w:val="center"/>
          </w:tcPr>
          <w:p w:rsidR="00AB4D21" w:rsidRDefault="00345560">
            <w:pPr>
              <w:jc w:val="center"/>
            </w:pPr>
            <w:r>
              <w:rPr>
                <w:rFonts w:ascii="宋体" w:hAnsi="宋体"/>
                <w:color w:val="000000"/>
                <w:kern w:val="0"/>
                <w:szCs w:val="21"/>
              </w:rPr>
              <w:t>1</w:t>
            </w:r>
          </w:p>
        </w:tc>
        <w:tc>
          <w:tcPr>
            <w:tcW w:w="1843" w:type="dxa"/>
            <w:vAlign w:val="center"/>
          </w:tcPr>
          <w:p w:rsidR="00AB4D21" w:rsidRDefault="00345560">
            <w:pPr>
              <w:jc w:val="center"/>
            </w:pPr>
            <w:r>
              <w:rPr>
                <w:rFonts w:ascii="宋体" w:hAnsi="宋体"/>
                <w:color w:val="000000"/>
                <w:kern w:val="0"/>
                <w:szCs w:val="21"/>
              </w:rPr>
              <w:t>2018/1/1-2018/12/31</w:t>
            </w:r>
          </w:p>
        </w:tc>
        <w:tc>
          <w:tcPr>
            <w:tcW w:w="851" w:type="dxa"/>
            <w:vAlign w:val="center"/>
          </w:tcPr>
          <w:p w:rsidR="00AB4D21" w:rsidRDefault="00345560">
            <w:pPr>
              <w:jc w:val="center"/>
            </w:pPr>
            <w:r>
              <w:rPr>
                <w:rFonts w:ascii="宋体" w:hAnsi="宋体"/>
                <w:color w:val="000000"/>
                <w:kern w:val="0"/>
                <w:szCs w:val="21"/>
              </w:rPr>
              <w:t>251,888,664.99</w:t>
            </w:r>
          </w:p>
        </w:tc>
        <w:tc>
          <w:tcPr>
            <w:tcW w:w="850" w:type="dxa"/>
            <w:vAlign w:val="center"/>
          </w:tcPr>
          <w:p w:rsidR="00AB4D21" w:rsidRDefault="00345560">
            <w:pPr>
              <w:jc w:val="center"/>
            </w:pPr>
            <w:r>
              <w:rPr>
                <w:rFonts w:ascii="宋体" w:hAnsi="宋体"/>
                <w:color w:val="000000"/>
                <w:kern w:val="0"/>
                <w:szCs w:val="21"/>
              </w:rPr>
              <w:t>-</w:t>
            </w:r>
          </w:p>
        </w:tc>
        <w:tc>
          <w:tcPr>
            <w:tcW w:w="1134" w:type="dxa"/>
            <w:vAlign w:val="center"/>
          </w:tcPr>
          <w:p w:rsidR="00AB4D21" w:rsidRDefault="00345560">
            <w:pPr>
              <w:jc w:val="center"/>
            </w:pPr>
            <w:r>
              <w:rPr>
                <w:rFonts w:ascii="宋体" w:hAnsi="宋体"/>
                <w:color w:val="000000"/>
                <w:kern w:val="0"/>
                <w:szCs w:val="21"/>
              </w:rPr>
              <w:t>251,888,664.99</w:t>
            </w:r>
          </w:p>
        </w:tc>
        <w:tc>
          <w:tcPr>
            <w:tcW w:w="1419" w:type="dxa"/>
            <w:vAlign w:val="center"/>
          </w:tcPr>
          <w:p w:rsidR="00AB4D21" w:rsidRDefault="00345560">
            <w:pPr>
              <w:jc w:val="center"/>
            </w:pPr>
            <w:r>
              <w:rPr>
                <w:rFonts w:ascii="宋体" w:hAnsi="宋体"/>
                <w:color w:val="000000"/>
                <w:kern w:val="0"/>
                <w:szCs w:val="21"/>
              </w:rPr>
              <w:t>-</w:t>
            </w:r>
          </w:p>
        </w:tc>
        <w:tc>
          <w:tcPr>
            <w:tcW w:w="1130" w:type="dxa"/>
            <w:vAlign w:val="center"/>
          </w:tcPr>
          <w:p w:rsidR="00AB4D21" w:rsidRDefault="00345560">
            <w:pPr>
              <w:jc w:val="center"/>
            </w:pPr>
            <w:r>
              <w:rPr>
                <w:rFonts w:ascii="宋体" w:hAnsi="宋体"/>
                <w:color w:val="000000"/>
                <w:kern w:val="0"/>
                <w:szCs w:val="21"/>
              </w:rPr>
              <w:t>-</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AB4D21" w:rsidRDefault="00345560">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AB4D21" w:rsidRDefault="00345560">
      <w:pPr>
        <w:spacing w:line="360" w:lineRule="auto"/>
        <w:ind w:firstLineChars="200" w:firstLine="420"/>
        <w:rPr>
          <w:rFonts w:ascii="宋体" w:hAnsi="宋体"/>
          <w:color w:val="000000"/>
          <w:szCs w:val="21"/>
        </w:rPr>
      </w:pPr>
      <w:r>
        <w:rPr>
          <w:rFonts w:ascii="宋体" w:hAnsi="宋体"/>
          <w:color w:val="000000"/>
          <w:szCs w:val="21"/>
        </w:rPr>
        <w:t xml:space="preserve">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 </w:t>
      </w:r>
    </w:p>
    <w:p w:rsidR="00A25C9D" w:rsidRPr="004F0662" w:rsidRDefault="00A25C9D" w:rsidP="00A25C9D">
      <w:pPr>
        <w:spacing w:line="360" w:lineRule="auto"/>
        <w:ind w:firstLineChars="200" w:firstLine="420"/>
        <w:rPr>
          <w:rFonts w:ascii="宋体" w:hAnsi="宋体"/>
          <w:color w:val="000000"/>
          <w:szCs w:val="21"/>
        </w:rPr>
      </w:pPr>
      <w:r w:rsidRPr="004F0662">
        <w:rPr>
          <w:rFonts w:ascii="宋体" w:hAnsi="宋体"/>
          <w:color w:val="000000"/>
          <w:szCs w:val="21"/>
        </w:rPr>
        <w:t>3、本基金管理人于2018年7月2日起至2018年8月1日17：00止以通讯方式召开本基金的基金份额持有人大会，就本基金基金合同修改有关事项的议案进行表决。根据基金份额持有人大会的决议，本基金管理人修改了本基金的收益分配原则，并相应修改基金合同和托管协议。本基金管理人将在更新基金招募说明书时，对上述相关内容进行相应修订。本次基金份额持有人大会决议于2018年8月2日生效，自本次基金份额持有人大会决议公告之日即2018年8月3日起，本基金执行修改后的基金收益分配原则。详情请查阅本基金管理人于2018年8月3日发布的《交银施罗德基金管理有限公司关于交银施罗德丰享收益债券型证券投资基金基金份额持有人大会表决结果暨决议生效的公告》。</w:t>
      </w: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二〇一九年三月二十七日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7"/>
      <w:footerReference w:type="default" r:id="rId18"/>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6D" w:rsidRDefault="00BD486D">
      <w:r>
        <w:separator/>
      </w:r>
    </w:p>
  </w:endnote>
  <w:endnote w:type="continuationSeparator" w:id="0">
    <w:p w:rsidR="00BD486D" w:rsidRDefault="00B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8353F3"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8353F3">
      <w:rPr>
        <w:kern w:val="0"/>
        <w:szCs w:val="21"/>
      </w:rPr>
      <w:fldChar w:fldCharType="begin"/>
    </w:r>
    <w:r>
      <w:rPr>
        <w:kern w:val="0"/>
        <w:szCs w:val="21"/>
      </w:rPr>
      <w:instrText xml:space="preserve"> PAGE </w:instrText>
    </w:r>
    <w:r w:rsidR="008353F3">
      <w:rPr>
        <w:kern w:val="0"/>
        <w:szCs w:val="21"/>
      </w:rPr>
      <w:fldChar w:fldCharType="separate"/>
    </w:r>
    <w:r w:rsidR="00024D28">
      <w:rPr>
        <w:noProof/>
        <w:kern w:val="0"/>
        <w:szCs w:val="21"/>
      </w:rPr>
      <w:t>13</w:t>
    </w:r>
    <w:r w:rsidR="008353F3">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8353F3">
      <w:rPr>
        <w:kern w:val="0"/>
        <w:szCs w:val="21"/>
      </w:rPr>
      <w:fldChar w:fldCharType="begin"/>
    </w:r>
    <w:r>
      <w:rPr>
        <w:kern w:val="0"/>
        <w:szCs w:val="21"/>
      </w:rPr>
      <w:instrText xml:space="preserve"> NUMPAGES </w:instrText>
    </w:r>
    <w:r w:rsidR="008353F3">
      <w:rPr>
        <w:kern w:val="0"/>
        <w:szCs w:val="21"/>
      </w:rPr>
      <w:fldChar w:fldCharType="separate"/>
    </w:r>
    <w:r w:rsidR="00024D28">
      <w:rPr>
        <w:noProof/>
        <w:kern w:val="0"/>
        <w:szCs w:val="21"/>
      </w:rPr>
      <w:t>33</w:t>
    </w:r>
    <w:r w:rsidR="008353F3">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6D" w:rsidRDefault="00BD486D">
      <w:r>
        <w:separator/>
      </w:r>
    </w:p>
  </w:footnote>
  <w:footnote w:type="continuationSeparator" w:id="0">
    <w:p w:rsidR="00BD486D" w:rsidRDefault="00BD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FB2916" w:rsidRDefault="00FB2916" w:rsidP="00C2542B">
    <w:pPr>
      <w:pStyle w:val="aa"/>
      <w:pBdr>
        <w:bottom w:val="single" w:sz="6" w:space="0" w:color="auto"/>
      </w:pBdr>
      <w:jc w:val="right"/>
      <w:rPr>
        <w:sz w:val="24"/>
        <w:szCs w:val="24"/>
      </w:rPr>
    </w:pPr>
    <w:r w:rsidRPr="00FB2916">
      <w:rPr>
        <w:sz w:val="24"/>
        <w:szCs w:val="24"/>
      </w:rPr>
      <w:t>交银施罗德丰享收益债券型证券投资基金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4D28"/>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5560"/>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3F3"/>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D2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86D"/>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916"/>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CAA87D5-DDB4-4DD7-88B0-372A4A10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33</Pages>
  <Words>3648</Words>
  <Characters>20798</Characters>
  <Application>Microsoft Office Word</Application>
  <DocSecurity>0</DocSecurity>
  <Lines>173</Lines>
  <Paragraphs>48</Paragraphs>
  <ScaleCrop>false</ScaleCrop>
  <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张婉婧</cp:lastModifiedBy>
  <cp:revision>627</cp:revision>
  <cp:lastPrinted>2007-07-19T00:46:00Z</cp:lastPrinted>
  <dcterms:created xsi:type="dcterms:W3CDTF">2013-08-19T02:39:00Z</dcterms:created>
  <dcterms:modified xsi:type="dcterms:W3CDTF">2019-03-25T05:11:00Z</dcterms:modified>
</cp:coreProperties>
</file>