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交银施罗德丰享收益债券型证券投资基金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交银丰享收益债券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519748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契约型，本基金在基金合同生效之日起两年（含两年）的期间内封闭式运作（按照基金合同的约定提前转换基金运作方式的除外），封闭期结束后转为开放式运作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1</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26,783,125.54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交银丰享收益债券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交银丰享收益债券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519746</w:t>
            </w:r>
          </w:p>
        </w:tc>
        <w:tc>
          <w:tcPr>
            <w:tcW w:w="2902" w:type="dxa"/>
            <w:vAlign w:val="center"/>
          </w:tcPr>
          <w:p w:rsidR="009511B7" w:rsidRPr="000E4C40" w:rsidRDefault="009511B7" w:rsidP="00C57BBB">
            <w:pPr>
              <w:spacing w:before="29" w:line="288" w:lineRule="auto"/>
              <w:jc w:val="left"/>
              <w:rPr>
                <w:sz w:val="24"/>
              </w:rPr>
            </w:pPr>
            <w:r w:rsidRPr="000E4C40">
              <w:rPr>
                <w:sz w:val="24"/>
              </w:rPr>
              <w:t>519748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13,733,982.68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13,049,142.86</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20</w:t>
      </w:r>
      <w:r w:rsidRPr="00E25C2A">
        <w:rPr>
          <w:kern w:val="0"/>
          <w:sz w:val="24"/>
        </w:rPr>
        <w:t>日起转为开放式运作，并增加开通</w:t>
      </w:r>
      <w:r w:rsidRPr="00E25C2A">
        <w:rPr>
          <w:kern w:val="0"/>
          <w:sz w:val="24"/>
        </w:rPr>
        <w:t>A</w:t>
      </w:r>
      <w:r w:rsidRPr="00E25C2A">
        <w:rPr>
          <w:kern w:val="0"/>
          <w:sz w:val="24"/>
        </w:rPr>
        <w:t>类基金份额。</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在严格控制风险和追求资产稳健增值的基础上</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AB4D21" w:rsidRDefault="00345560">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B4D21" w:rsidRDefault="00AB4D21">
            <w:pPr>
              <w:spacing w:before="29" w:line="288" w:lineRule="auto"/>
              <w:rPr>
                <w:sz w:val="24"/>
              </w:rPr>
            </w:pP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w:t>
            </w:r>
            <w:r w:rsidRPr="00CF0C3D">
              <w:rPr>
                <w:sz w:val="24"/>
              </w:rPr>
              <w:lastRenderedPageBreak/>
              <w:t>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AB4D21" w:rsidRDefault="00345560">
            <w:pPr>
              <w:spacing w:before="29" w:line="288" w:lineRule="auto"/>
              <w:rPr>
                <w:sz w:val="24"/>
              </w:rPr>
            </w:pPr>
            <w:r>
              <w:rPr>
                <w:sz w:val="24"/>
              </w:rPr>
              <w:t>封闭期内业绩比较基准：两年期银行定期存款税后收益率</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交银丰享收益债券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16,996,176.84</w:t>
            </w:r>
          </w:p>
        </w:tc>
        <w:tc>
          <w:tcPr>
            <w:tcW w:w="688" w:type="pct"/>
            <w:vAlign w:val="center"/>
          </w:tcPr>
          <w:p w:rsidR="00B44DBC" w:rsidRPr="00A942AC" w:rsidRDefault="00B44DBC" w:rsidP="00674CBD">
            <w:pPr>
              <w:spacing w:before="29" w:line="288" w:lineRule="auto"/>
              <w:jc w:val="right"/>
              <w:rPr>
                <w:szCs w:val="21"/>
              </w:rPr>
            </w:pPr>
            <w:r w:rsidRPr="00A942AC">
              <w:rPr>
                <w:szCs w:val="21"/>
              </w:rPr>
              <w:t>900,768.48</w:t>
            </w:r>
          </w:p>
        </w:tc>
        <w:tc>
          <w:tcPr>
            <w:tcW w:w="687" w:type="pct"/>
            <w:vAlign w:val="center"/>
          </w:tcPr>
          <w:p w:rsidR="00B44DBC" w:rsidRPr="00A942AC" w:rsidRDefault="00B44DBC" w:rsidP="00674CBD">
            <w:pPr>
              <w:spacing w:before="29" w:line="288" w:lineRule="auto"/>
              <w:jc w:val="right"/>
              <w:rPr>
                <w:szCs w:val="21"/>
              </w:rPr>
            </w:pPr>
            <w:r w:rsidRPr="00A942AC">
              <w:rPr>
                <w:szCs w:val="21"/>
              </w:rPr>
              <w:t>8,084,958.99</w:t>
            </w:r>
          </w:p>
        </w:tc>
        <w:tc>
          <w:tcPr>
            <w:tcW w:w="688" w:type="pct"/>
            <w:vAlign w:val="center"/>
          </w:tcPr>
          <w:p w:rsidR="00B44DBC" w:rsidRPr="00A942AC" w:rsidRDefault="00B44DBC" w:rsidP="00674CBD">
            <w:pPr>
              <w:spacing w:before="29" w:line="288" w:lineRule="auto"/>
              <w:jc w:val="right"/>
              <w:rPr>
                <w:szCs w:val="21"/>
              </w:rPr>
            </w:pPr>
            <w:r w:rsidRPr="00A942AC">
              <w:rPr>
                <w:szCs w:val="21"/>
              </w:rPr>
              <w:t>1,006,093.38</w:t>
            </w:r>
          </w:p>
        </w:tc>
        <w:tc>
          <w:tcPr>
            <w:tcW w:w="762" w:type="pct"/>
            <w:vAlign w:val="center"/>
          </w:tcPr>
          <w:p w:rsidR="00B44DBC" w:rsidRPr="00A942AC" w:rsidRDefault="00B44DBC" w:rsidP="00674CBD">
            <w:pPr>
              <w:spacing w:before="29" w:line="288" w:lineRule="auto"/>
              <w:jc w:val="right"/>
              <w:rPr>
                <w:szCs w:val="21"/>
              </w:rPr>
            </w:pPr>
            <w:r w:rsidRPr="00A942AC">
              <w:rPr>
                <w:szCs w:val="21"/>
              </w:rPr>
              <w:t>-</w:t>
            </w:r>
          </w:p>
        </w:tc>
        <w:tc>
          <w:tcPr>
            <w:tcW w:w="666" w:type="pct"/>
            <w:vAlign w:val="center"/>
          </w:tcPr>
          <w:p w:rsidR="00B44DBC" w:rsidRPr="00A942AC" w:rsidRDefault="00B44DBC" w:rsidP="00674CBD">
            <w:pPr>
              <w:spacing w:before="29" w:line="288" w:lineRule="auto"/>
              <w:jc w:val="right"/>
              <w:rPr>
                <w:szCs w:val="21"/>
              </w:rPr>
            </w:pPr>
            <w:r w:rsidRPr="00A942AC">
              <w:rPr>
                <w:szCs w:val="21"/>
              </w:rPr>
              <w:t>15,304,125.81</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17,389,202.00</w:t>
            </w:r>
          </w:p>
        </w:tc>
        <w:tc>
          <w:tcPr>
            <w:tcW w:w="688" w:type="pct"/>
            <w:vAlign w:val="center"/>
          </w:tcPr>
          <w:p w:rsidR="00B44DBC" w:rsidRPr="00A942AC" w:rsidRDefault="00B44DBC" w:rsidP="00674CBD">
            <w:pPr>
              <w:spacing w:before="29" w:line="288" w:lineRule="auto"/>
              <w:jc w:val="right"/>
              <w:rPr>
                <w:szCs w:val="21"/>
              </w:rPr>
            </w:pPr>
            <w:r w:rsidRPr="00A942AC">
              <w:rPr>
                <w:szCs w:val="21"/>
              </w:rPr>
              <w:t>689,109.35</w:t>
            </w:r>
          </w:p>
        </w:tc>
        <w:tc>
          <w:tcPr>
            <w:tcW w:w="687" w:type="pct"/>
            <w:vAlign w:val="center"/>
          </w:tcPr>
          <w:p w:rsidR="00B44DBC" w:rsidRPr="00A942AC" w:rsidRDefault="00B44DBC" w:rsidP="00674CBD">
            <w:pPr>
              <w:spacing w:before="29" w:line="288" w:lineRule="auto"/>
              <w:jc w:val="right"/>
              <w:rPr>
                <w:szCs w:val="21"/>
              </w:rPr>
            </w:pPr>
            <w:r w:rsidRPr="00A942AC">
              <w:rPr>
                <w:szCs w:val="21"/>
              </w:rPr>
              <w:t>7,638,456.88</w:t>
            </w:r>
          </w:p>
        </w:tc>
        <w:tc>
          <w:tcPr>
            <w:tcW w:w="688" w:type="pct"/>
            <w:vAlign w:val="center"/>
          </w:tcPr>
          <w:p w:rsidR="00B44DBC" w:rsidRPr="00A942AC" w:rsidRDefault="00B44DBC" w:rsidP="00674CBD">
            <w:pPr>
              <w:spacing w:before="29" w:line="288" w:lineRule="auto"/>
              <w:jc w:val="right"/>
              <w:rPr>
                <w:szCs w:val="21"/>
              </w:rPr>
            </w:pPr>
            <w:r w:rsidRPr="00A942AC">
              <w:rPr>
                <w:szCs w:val="21"/>
              </w:rPr>
              <w:t>1,216,976.38</w:t>
            </w:r>
          </w:p>
        </w:tc>
        <w:tc>
          <w:tcPr>
            <w:tcW w:w="762" w:type="pct"/>
            <w:vAlign w:val="center"/>
          </w:tcPr>
          <w:p w:rsidR="00B44DBC" w:rsidRPr="00A942AC" w:rsidRDefault="00B44DBC" w:rsidP="00674CBD">
            <w:pPr>
              <w:spacing w:before="29" w:line="288" w:lineRule="auto"/>
              <w:jc w:val="right"/>
              <w:rPr>
                <w:szCs w:val="21"/>
              </w:rPr>
            </w:pPr>
            <w:r w:rsidRPr="00A942AC">
              <w:rPr>
                <w:szCs w:val="21"/>
              </w:rPr>
              <w:t>-</w:t>
            </w:r>
          </w:p>
        </w:tc>
        <w:tc>
          <w:tcPr>
            <w:tcW w:w="666" w:type="pct"/>
            <w:vAlign w:val="center"/>
          </w:tcPr>
          <w:p w:rsidR="00B44DBC" w:rsidRPr="00A942AC" w:rsidRDefault="00B44DBC" w:rsidP="00674CBD">
            <w:pPr>
              <w:spacing w:before="29" w:line="288" w:lineRule="auto"/>
              <w:jc w:val="right"/>
              <w:rPr>
                <w:szCs w:val="21"/>
              </w:rPr>
            </w:pPr>
            <w:r w:rsidRPr="00A942AC">
              <w:rPr>
                <w:szCs w:val="21"/>
              </w:rPr>
              <w:t>6,634,285.44</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0.0895</w:t>
            </w:r>
          </w:p>
        </w:tc>
        <w:tc>
          <w:tcPr>
            <w:tcW w:w="688" w:type="pct"/>
            <w:vAlign w:val="center"/>
          </w:tcPr>
          <w:p w:rsidR="008C42FD" w:rsidRPr="00E52F9F" w:rsidRDefault="008C42FD" w:rsidP="00AF7CB5">
            <w:pPr>
              <w:spacing w:before="29" w:line="288" w:lineRule="auto"/>
              <w:jc w:val="right"/>
              <w:rPr>
                <w:szCs w:val="21"/>
              </w:rPr>
            </w:pPr>
            <w:r w:rsidRPr="00E52F9F">
              <w:rPr>
                <w:szCs w:val="21"/>
              </w:rPr>
              <w:t>0.0415</w:t>
            </w:r>
          </w:p>
        </w:tc>
        <w:tc>
          <w:tcPr>
            <w:tcW w:w="687" w:type="pct"/>
            <w:vAlign w:val="center"/>
          </w:tcPr>
          <w:p w:rsidR="008C42FD" w:rsidRPr="00E52F9F" w:rsidRDefault="008C42FD" w:rsidP="00AF7CB5">
            <w:pPr>
              <w:spacing w:before="29" w:line="288" w:lineRule="auto"/>
              <w:jc w:val="right"/>
              <w:rPr>
                <w:szCs w:val="21"/>
              </w:rPr>
            </w:pPr>
            <w:r w:rsidRPr="00E52F9F">
              <w:rPr>
                <w:szCs w:val="21"/>
              </w:rPr>
              <w:t>0.0282</w:t>
            </w:r>
          </w:p>
        </w:tc>
        <w:tc>
          <w:tcPr>
            <w:tcW w:w="688" w:type="pct"/>
            <w:vAlign w:val="center"/>
          </w:tcPr>
          <w:p w:rsidR="008C42FD" w:rsidRPr="00E52F9F" w:rsidRDefault="008C42FD" w:rsidP="00AF7CB5">
            <w:pPr>
              <w:spacing w:before="29" w:line="288" w:lineRule="auto"/>
              <w:jc w:val="right"/>
              <w:rPr>
                <w:szCs w:val="21"/>
              </w:rPr>
            </w:pPr>
            <w:r w:rsidRPr="00E52F9F">
              <w:rPr>
                <w:szCs w:val="21"/>
              </w:rPr>
              <w:t>0.0175</w:t>
            </w:r>
          </w:p>
        </w:tc>
        <w:tc>
          <w:tcPr>
            <w:tcW w:w="762" w:type="pct"/>
            <w:vAlign w:val="center"/>
          </w:tcPr>
          <w:p w:rsidR="008C42FD" w:rsidRPr="00E52F9F" w:rsidRDefault="008C42FD" w:rsidP="00AF7CB5">
            <w:pPr>
              <w:spacing w:before="29" w:line="288" w:lineRule="auto"/>
              <w:jc w:val="right"/>
              <w:rPr>
                <w:szCs w:val="21"/>
              </w:rPr>
            </w:pPr>
            <w:r w:rsidRPr="00E52F9F">
              <w:rPr>
                <w:szCs w:val="21"/>
              </w:rPr>
              <w:t>-</w:t>
            </w:r>
          </w:p>
        </w:tc>
        <w:tc>
          <w:tcPr>
            <w:tcW w:w="666" w:type="pct"/>
            <w:vAlign w:val="center"/>
          </w:tcPr>
          <w:p w:rsidR="008C42FD" w:rsidRPr="00E52F9F" w:rsidRDefault="008C42FD" w:rsidP="00AF7CB5">
            <w:pPr>
              <w:spacing w:before="29" w:line="288" w:lineRule="auto"/>
              <w:jc w:val="right"/>
              <w:rPr>
                <w:szCs w:val="21"/>
              </w:rPr>
            </w:pPr>
            <w:r w:rsidRPr="00E52F9F">
              <w:rPr>
                <w:szCs w:val="21"/>
              </w:rPr>
              <w:t>0.0256</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4.38%</w:t>
            </w:r>
          </w:p>
        </w:tc>
        <w:tc>
          <w:tcPr>
            <w:tcW w:w="688" w:type="pct"/>
            <w:vAlign w:val="center"/>
          </w:tcPr>
          <w:p w:rsidR="00A62AD8" w:rsidRPr="00A942AC" w:rsidRDefault="00A62AD8" w:rsidP="00674CBD">
            <w:pPr>
              <w:spacing w:before="29" w:line="288" w:lineRule="auto"/>
              <w:jc w:val="right"/>
              <w:rPr>
                <w:szCs w:val="21"/>
              </w:rPr>
            </w:pPr>
            <w:r w:rsidRPr="00A942AC">
              <w:rPr>
                <w:szCs w:val="21"/>
              </w:rPr>
              <w:t>4.03%</w:t>
            </w:r>
          </w:p>
        </w:tc>
        <w:tc>
          <w:tcPr>
            <w:tcW w:w="687" w:type="pct"/>
            <w:vAlign w:val="center"/>
          </w:tcPr>
          <w:p w:rsidR="00A62AD8" w:rsidRPr="00A942AC" w:rsidRDefault="00A62AD8" w:rsidP="00674CBD">
            <w:pPr>
              <w:spacing w:before="29" w:line="288" w:lineRule="auto"/>
              <w:jc w:val="right"/>
              <w:rPr>
                <w:szCs w:val="21"/>
              </w:rPr>
            </w:pPr>
            <w:r w:rsidRPr="00A942AC">
              <w:rPr>
                <w:szCs w:val="21"/>
              </w:rPr>
              <w:t>101.09%</w:t>
            </w:r>
          </w:p>
        </w:tc>
        <w:tc>
          <w:tcPr>
            <w:tcW w:w="688" w:type="pct"/>
            <w:vAlign w:val="center"/>
          </w:tcPr>
          <w:p w:rsidR="00A62AD8" w:rsidRPr="00A942AC" w:rsidRDefault="00A62AD8" w:rsidP="00674CBD">
            <w:pPr>
              <w:spacing w:before="29" w:line="288" w:lineRule="auto"/>
              <w:jc w:val="right"/>
              <w:rPr>
                <w:szCs w:val="21"/>
              </w:rPr>
            </w:pPr>
            <w:r w:rsidRPr="00A942AC">
              <w:rPr>
                <w:szCs w:val="21"/>
              </w:rPr>
              <w:t>2.20%</w:t>
            </w:r>
          </w:p>
        </w:tc>
        <w:tc>
          <w:tcPr>
            <w:tcW w:w="762" w:type="pct"/>
            <w:vAlign w:val="center"/>
          </w:tcPr>
          <w:p w:rsidR="00A62AD8" w:rsidRPr="00A942AC" w:rsidRDefault="00A62AD8" w:rsidP="00674CBD">
            <w:pPr>
              <w:spacing w:before="29" w:line="288" w:lineRule="auto"/>
              <w:jc w:val="right"/>
              <w:rPr>
                <w:szCs w:val="21"/>
              </w:rPr>
            </w:pPr>
            <w:r w:rsidRPr="00A942AC">
              <w:rPr>
                <w:szCs w:val="21"/>
              </w:rPr>
              <w:t>-</w:t>
            </w:r>
          </w:p>
        </w:tc>
        <w:tc>
          <w:tcPr>
            <w:tcW w:w="666" w:type="pct"/>
            <w:vAlign w:val="center"/>
          </w:tcPr>
          <w:p w:rsidR="00A62AD8" w:rsidRPr="00A942AC" w:rsidRDefault="00A62AD8" w:rsidP="00674CBD">
            <w:pPr>
              <w:spacing w:before="29" w:line="288" w:lineRule="auto"/>
              <w:jc w:val="right"/>
              <w:rPr>
                <w:szCs w:val="21"/>
              </w:rPr>
            </w:pPr>
            <w:r w:rsidRPr="00A942AC">
              <w:rPr>
                <w:szCs w:val="21"/>
              </w:rPr>
              <w:t>2.46%</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交银丰享收益债券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1.016</w:t>
            </w:r>
          </w:p>
        </w:tc>
        <w:tc>
          <w:tcPr>
            <w:tcW w:w="687" w:type="pct"/>
            <w:vAlign w:val="center"/>
          </w:tcPr>
          <w:p w:rsidR="00B44DBC" w:rsidRPr="00A942AC" w:rsidRDefault="00B44DBC" w:rsidP="00674CBD">
            <w:pPr>
              <w:spacing w:before="29" w:line="288" w:lineRule="auto"/>
              <w:jc w:val="right"/>
              <w:rPr>
                <w:szCs w:val="21"/>
              </w:rPr>
            </w:pPr>
            <w:r w:rsidRPr="00A942AC">
              <w:rPr>
                <w:szCs w:val="21"/>
              </w:rPr>
              <w:t>0.052</w:t>
            </w:r>
          </w:p>
        </w:tc>
        <w:tc>
          <w:tcPr>
            <w:tcW w:w="687" w:type="pct"/>
            <w:vAlign w:val="center"/>
          </w:tcPr>
          <w:p w:rsidR="00B44DBC" w:rsidRPr="00A942AC" w:rsidRDefault="00B44DBC" w:rsidP="00674CBD">
            <w:pPr>
              <w:spacing w:before="29" w:line="288" w:lineRule="auto"/>
              <w:jc w:val="right"/>
              <w:rPr>
                <w:szCs w:val="21"/>
              </w:rPr>
            </w:pPr>
            <w:r w:rsidRPr="00A942AC">
              <w:rPr>
                <w:szCs w:val="21"/>
              </w:rPr>
              <w:t>1.002</w:t>
            </w:r>
          </w:p>
        </w:tc>
        <w:tc>
          <w:tcPr>
            <w:tcW w:w="687" w:type="pct"/>
            <w:vAlign w:val="center"/>
          </w:tcPr>
          <w:p w:rsidR="00B44DBC" w:rsidRPr="00A942AC" w:rsidRDefault="00B44DBC" w:rsidP="00674CBD">
            <w:pPr>
              <w:spacing w:before="29" w:line="288" w:lineRule="auto"/>
              <w:jc w:val="right"/>
              <w:rPr>
                <w:szCs w:val="21"/>
              </w:rPr>
            </w:pPr>
            <w:r w:rsidRPr="00A942AC">
              <w:rPr>
                <w:szCs w:val="21"/>
              </w:rPr>
              <w:t>0.017</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0.007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27,682,006.47</w:t>
            </w:r>
          </w:p>
        </w:tc>
        <w:tc>
          <w:tcPr>
            <w:tcW w:w="687" w:type="pct"/>
            <w:vAlign w:val="center"/>
          </w:tcPr>
          <w:p w:rsidR="00B44DBC" w:rsidRPr="00A942AC" w:rsidRDefault="00B44DBC" w:rsidP="00674CBD">
            <w:pPr>
              <w:spacing w:before="29" w:line="288" w:lineRule="auto"/>
              <w:jc w:val="right"/>
              <w:rPr>
                <w:szCs w:val="21"/>
              </w:rPr>
            </w:pPr>
            <w:r w:rsidRPr="00A942AC">
              <w:rPr>
                <w:szCs w:val="21"/>
              </w:rPr>
              <w:t>13,722,566.24</w:t>
            </w:r>
          </w:p>
        </w:tc>
        <w:tc>
          <w:tcPr>
            <w:tcW w:w="687" w:type="pct"/>
            <w:vAlign w:val="center"/>
          </w:tcPr>
          <w:p w:rsidR="00B44DBC" w:rsidRPr="00A942AC" w:rsidRDefault="00B44DBC" w:rsidP="00674CBD">
            <w:pPr>
              <w:spacing w:before="29" w:line="288" w:lineRule="auto"/>
              <w:jc w:val="right"/>
              <w:rPr>
                <w:szCs w:val="21"/>
              </w:rPr>
            </w:pPr>
            <w:r w:rsidRPr="00A942AC">
              <w:rPr>
                <w:szCs w:val="21"/>
              </w:rPr>
              <w:t>523,127,548.32</w:t>
            </w:r>
          </w:p>
        </w:tc>
        <w:tc>
          <w:tcPr>
            <w:tcW w:w="687" w:type="pct"/>
            <w:vAlign w:val="center"/>
          </w:tcPr>
          <w:p w:rsidR="00B44DBC" w:rsidRPr="00A942AC" w:rsidRDefault="00B44DBC" w:rsidP="00674CBD">
            <w:pPr>
              <w:spacing w:before="29" w:line="288" w:lineRule="auto"/>
              <w:jc w:val="right"/>
              <w:rPr>
                <w:szCs w:val="21"/>
              </w:rPr>
            </w:pPr>
            <w:r w:rsidRPr="00A942AC">
              <w:rPr>
                <w:szCs w:val="21"/>
              </w:rPr>
              <w:t>27,557,300.93</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261,424,852.85</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2.016</w:t>
            </w:r>
          </w:p>
        </w:tc>
        <w:tc>
          <w:tcPr>
            <w:tcW w:w="687" w:type="pct"/>
            <w:vAlign w:val="center"/>
          </w:tcPr>
          <w:p w:rsidR="00B44DBC" w:rsidRPr="00A942AC" w:rsidRDefault="00B44DBC" w:rsidP="00674CBD">
            <w:pPr>
              <w:spacing w:before="29" w:line="288" w:lineRule="auto"/>
              <w:jc w:val="right"/>
              <w:rPr>
                <w:szCs w:val="21"/>
              </w:rPr>
            </w:pPr>
            <w:r w:rsidRPr="00A942AC">
              <w:rPr>
                <w:szCs w:val="21"/>
              </w:rPr>
              <w:t>1.052</w:t>
            </w:r>
          </w:p>
        </w:tc>
        <w:tc>
          <w:tcPr>
            <w:tcW w:w="687" w:type="pct"/>
            <w:vAlign w:val="center"/>
          </w:tcPr>
          <w:p w:rsidR="00B44DBC" w:rsidRPr="00A942AC" w:rsidRDefault="00B44DBC" w:rsidP="00674CBD">
            <w:pPr>
              <w:spacing w:before="29" w:line="288" w:lineRule="auto"/>
              <w:jc w:val="right"/>
              <w:rPr>
                <w:szCs w:val="21"/>
              </w:rPr>
            </w:pPr>
            <w:r w:rsidRPr="00A942AC">
              <w:rPr>
                <w:szCs w:val="21"/>
              </w:rPr>
              <w:t>2.009</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c>
          <w:tcPr>
            <w:tcW w:w="764" w:type="pct"/>
            <w:vAlign w:val="center"/>
          </w:tcPr>
          <w:p w:rsidR="00B44DBC" w:rsidRPr="00A942AC" w:rsidRDefault="00B44DBC" w:rsidP="00674CBD">
            <w:pPr>
              <w:spacing w:before="29" w:line="288" w:lineRule="auto"/>
              <w:jc w:val="right"/>
              <w:rPr>
                <w:szCs w:val="21"/>
              </w:rPr>
            </w:pPr>
            <w:r w:rsidRPr="00A942AC">
              <w:rPr>
                <w:szCs w:val="21"/>
              </w:rPr>
              <w:t>-</w:t>
            </w:r>
          </w:p>
        </w:tc>
        <w:tc>
          <w:tcPr>
            <w:tcW w:w="667" w:type="pct"/>
            <w:vAlign w:val="center"/>
          </w:tcPr>
          <w:p w:rsidR="00B44DBC" w:rsidRPr="00A942AC" w:rsidRDefault="00B44DBC" w:rsidP="00674CBD">
            <w:pPr>
              <w:spacing w:before="29" w:line="288" w:lineRule="auto"/>
              <w:jc w:val="right"/>
              <w:rPr>
                <w:szCs w:val="21"/>
              </w:rPr>
            </w:pPr>
            <w:r w:rsidRPr="00A942AC">
              <w:rPr>
                <w:szCs w:val="21"/>
              </w:rPr>
              <w:t>1.008</w:t>
            </w:r>
          </w:p>
        </w:tc>
      </w:tr>
    </w:tbl>
    <w:p w:rsidR="00AB4D21" w:rsidRDefault="0034556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AB4D21" w:rsidRDefault="0034556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交银丰享收益债券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AB4D21">
        <w:tc>
          <w:tcPr>
            <w:tcW w:w="1286" w:type="dxa"/>
            <w:vAlign w:val="center"/>
          </w:tcPr>
          <w:p w:rsidR="00AB4D21" w:rsidRDefault="00345560">
            <w:pPr>
              <w:jc w:val="left"/>
            </w:pPr>
            <w:r>
              <w:rPr>
                <w:color w:val="000000"/>
                <w:sz w:val="24"/>
              </w:rPr>
              <w:t>过去三个月</w:t>
            </w:r>
          </w:p>
        </w:tc>
        <w:tc>
          <w:tcPr>
            <w:tcW w:w="1286" w:type="dxa"/>
            <w:vAlign w:val="center"/>
          </w:tcPr>
          <w:p w:rsidR="00AB4D21" w:rsidRDefault="00345560">
            <w:pPr>
              <w:jc w:val="center"/>
            </w:pPr>
            <w:r>
              <w:rPr>
                <w:color w:val="000000"/>
                <w:sz w:val="24"/>
              </w:rPr>
              <w:t>1.05%</w:t>
            </w:r>
          </w:p>
        </w:tc>
        <w:tc>
          <w:tcPr>
            <w:tcW w:w="1286" w:type="dxa"/>
            <w:vAlign w:val="center"/>
          </w:tcPr>
          <w:p w:rsidR="00AB4D21" w:rsidRDefault="00345560">
            <w:pPr>
              <w:jc w:val="center"/>
            </w:pPr>
            <w:r>
              <w:rPr>
                <w:color w:val="000000"/>
                <w:sz w:val="24"/>
              </w:rPr>
              <w:t>0.04%</w:t>
            </w:r>
          </w:p>
        </w:tc>
        <w:tc>
          <w:tcPr>
            <w:tcW w:w="1285" w:type="dxa"/>
            <w:vAlign w:val="center"/>
          </w:tcPr>
          <w:p w:rsidR="00AB4D21" w:rsidRDefault="00345560">
            <w:pPr>
              <w:jc w:val="center"/>
            </w:pPr>
            <w:r>
              <w:rPr>
                <w:color w:val="000000"/>
                <w:sz w:val="24"/>
              </w:rPr>
              <w:t>1.99%</w:t>
            </w:r>
          </w:p>
        </w:tc>
        <w:tc>
          <w:tcPr>
            <w:tcW w:w="1285"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-0.94%</w:t>
            </w:r>
          </w:p>
        </w:tc>
        <w:tc>
          <w:tcPr>
            <w:tcW w:w="1285" w:type="dxa"/>
            <w:vAlign w:val="center"/>
          </w:tcPr>
          <w:p w:rsidR="00AB4D21" w:rsidRDefault="00345560">
            <w:pPr>
              <w:jc w:val="center"/>
            </w:pPr>
            <w:r>
              <w:rPr>
                <w:color w:val="000000"/>
                <w:sz w:val="24"/>
              </w:rPr>
              <w:t>-0.01%</w:t>
            </w:r>
          </w:p>
        </w:tc>
      </w:tr>
      <w:tr w:rsidR="00AB4D21">
        <w:tc>
          <w:tcPr>
            <w:tcW w:w="1286" w:type="dxa"/>
            <w:vAlign w:val="center"/>
          </w:tcPr>
          <w:p w:rsidR="00AB4D21" w:rsidRDefault="00345560">
            <w:pPr>
              <w:jc w:val="left"/>
            </w:pPr>
            <w:r>
              <w:rPr>
                <w:color w:val="000000"/>
                <w:sz w:val="24"/>
              </w:rPr>
              <w:t>过去六个月</w:t>
            </w:r>
          </w:p>
        </w:tc>
        <w:tc>
          <w:tcPr>
            <w:tcW w:w="1286" w:type="dxa"/>
            <w:vAlign w:val="center"/>
          </w:tcPr>
          <w:p w:rsidR="00AB4D21" w:rsidRDefault="00345560">
            <w:pPr>
              <w:jc w:val="center"/>
            </w:pPr>
            <w:r>
              <w:rPr>
                <w:color w:val="000000"/>
                <w:sz w:val="24"/>
              </w:rPr>
              <w:t>2.10%</w:t>
            </w:r>
          </w:p>
        </w:tc>
        <w:tc>
          <w:tcPr>
            <w:tcW w:w="1286" w:type="dxa"/>
            <w:vAlign w:val="center"/>
          </w:tcPr>
          <w:p w:rsidR="00AB4D21" w:rsidRDefault="00345560">
            <w:pPr>
              <w:jc w:val="center"/>
            </w:pPr>
            <w:r>
              <w:rPr>
                <w:color w:val="000000"/>
                <w:sz w:val="24"/>
              </w:rPr>
              <w:t>0.03%</w:t>
            </w:r>
          </w:p>
        </w:tc>
        <w:tc>
          <w:tcPr>
            <w:tcW w:w="1285" w:type="dxa"/>
            <w:vAlign w:val="center"/>
          </w:tcPr>
          <w:p w:rsidR="00AB4D21" w:rsidRDefault="00345560">
            <w:pPr>
              <w:jc w:val="center"/>
            </w:pPr>
            <w:r>
              <w:rPr>
                <w:color w:val="000000"/>
                <w:sz w:val="24"/>
              </w:rPr>
              <w:t>2.57%</w:t>
            </w:r>
          </w:p>
        </w:tc>
        <w:tc>
          <w:tcPr>
            <w:tcW w:w="1285" w:type="dxa"/>
            <w:vAlign w:val="center"/>
          </w:tcPr>
          <w:p w:rsidR="00AB4D21" w:rsidRDefault="00345560">
            <w:pPr>
              <w:jc w:val="center"/>
            </w:pPr>
            <w:r>
              <w:rPr>
                <w:color w:val="000000"/>
                <w:sz w:val="24"/>
              </w:rPr>
              <w:t>0.06%</w:t>
            </w:r>
          </w:p>
        </w:tc>
        <w:tc>
          <w:tcPr>
            <w:tcW w:w="1285" w:type="dxa"/>
            <w:vAlign w:val="center"/>
          </w:tcPr>
          <w:p w:rsidR="00AB4D21" w:rsidRDefault="00345560">
            <w:pPr>
              <w:jc w:val="center"/>
            </w:pPr>
            <w:r>
              <w:rPr>
                <w:color w:val="000000"/>
                <w:sz w:val="24"/>
              </w:rPr>
              <w:t>-0.47%</w:t>
            </w:r>
          </w:p>
        </w:tc>
        <w:tc>
          <w:tcPr>
            <w:tcW w:w="1285" w:type="dxa"/>
            <w:vAlign w:val="center"/>
          </w:tcPr>
          <w:p w:rsidR="00AB4D21" w:rsidRDefault="00345560">
            <w:pPr>
              <w:jc w:val="center"/>
            </w:pPr>
            <w:r>
              <w:rPr>
                <w:color w:val="000000"/>
                <w:sz w:val="24"/>
              </w:rPr>
              <w:t>-0.03%</w:t>
            </w:r>
          </w:p>
        </w:tc>
      </w:tr>
      <w:tr w:rsidR="00AB4D21">
        <w:tc>
          <w:tcPr>
            <w:tcW w:w="1286" w:type="dxa"/>
            <w:vAlign w:val="center"/>
          </w:tcPr>
          <w:p w:rsidR="00AB4D21" w:rsidRDefault="00345560">
            <w:pPr>
              <w:jc w:val="left"/>
            </w:pPr>
            <w:r>
              <w:rPr>
                <w:color w:val="000000"/>
                <w:sz w:val="24"/>
              </w:rPr>
              <w:t>过去一年</w:t>
            </w:r>
          </w:p>
        </w:tc>
        <w:tc>
          <w:tcPr>
            <w:tcW w:w="1286" w:type="dxa"/>
            <w:vAlign w:val="center"/>
          </w:tcPr>
          <w:p w:rsidR="00AB4D21" w:rsidRDefault="00345560">
            <w:pPr>
              <w:jc w:val="center"/>
            </w:pPr>
            <w:r>
              <w:rPr>
                <w:color w:val="000000"/>
                <w:sz w:val="24"/>
              </w:rPr>
              <w:t>4.38%</w:t>
            </w:r>
          </w:p>
        </w:tc>
        <w:tc>
          <w:tcPr>
            <w:tcW w:w="1286" w:type="dxa"/>
            <w:vAlign w:val="center"/>
          </w:tcPr>
          <w:p w:rsidR="00AB4D21" w:rsidRDefault="00345560">
            <w:pPr>
              <w:jc w:val="center"/>
            </w:pPr>
            <w:r>
              <w:rPr>
                <w:color w:val="000000"/>
                <w:sz w:val="24"/>
              </w:rPr>
              <w:t>0.03%</w:t>
            </w:r>
          </w:p>
        </w:tc>
        <w:tc>
          <w:tcPr>
            <w:tcW w:w="1285" w:type="dxa"/>
            <w:vAlign w:val="center"/>
          </w:tcPr>
          <w:p w:rsidR="00AB4D21" w:rsidRDefault="00345560">
            <w:pPr>
              <w:jc w:val="center"/>
            </w:pPr>
            <w:r>
              <w:rPr>
                <w:color w:val="000000"/>
                <w:sz w:val="24"/>
              </w:rPr>
              <w:t>4.79%</w:t>
            </w:r>
          </w:p>
        </w:tc>
        <w:tc>
          <w:tcPr>
            <w:tcW w:w="1285" w:type="dxa"/>
            <w:vAlign w:val="center"/>
          </w:tcPr>
          <w:p w:rsidR="00AB4D21" w:rsidRDefault="00345560">
            <w:pPr>
              <w:jc w:val="center"/>
            </w:pPr>
            <w:r>
              <w:rPr>
                <w:color w:val="000000"/>
                <w:sz w:val="24"/>
              </w:rPr>
              <w:t>0.07%</w:t>
            </w:r>
          </w:p>
        </w:tc>
        <w:tc>
          <w:tcPr>
            <w:tcW w:w="1285" w:type="dxa"/>
            <w:vAlign w:val="center"/>
          </w:tcPr>
          <w:p w:rsidR="00AB4D21" w:rsidRDefault="00345560">
            <w:pPr>
              <w:jc w:val="center"/>
            </w:pPr>
            <w:r>
              <w:rPr>
                <w:color w:val="000000"/>
                <w:sz w:val="24"/>
              </w:rPr>
              <w:t>-0.41%</w:t>
            </w:r>
          </w:p>
        </w:tc>
        <w:tc>
          <w:tcPr>
            <w:tcW w:w="1285" w:type="dxa"/>
            <w:vAlign w:val="center"/>
          </w:tcPr>
          <w:p w:rsidR="00AB4D21" w:rsidRDefault="00345560">
            <w:pPr>
              <w:jc w:val="center"/>
            </w:pPr>
            <w:r>
              <w:rPr>
                <w:color w:val="000000"/>
                <w:sz w:val="24"/>
              </w:rPr>
              <w:t>-0.04%</w:t>
            </w:r>
          </w:p>
        </w:tc>
      </w:tr>
      <w:tr w:rsidR="00AB4D21">
        <w:tc>
          <w:tcPr>
            <w:tcW w:w="1286" w:type="dxa"/>
            <w:vAlign w:val="center"/>
          </w:tcPr>
          <w:p w:rsidR="00AB4D21" w:rsidRDefault="00345560">
            <w:pPr>
              <w:jc w:val="left"/>
            </w:pPr>
            <w:r>
              <w:rPr>
                <w:color w:val="000000"/>
                <w:sz w:val="24"/>
              </w:rPr>
              <w:t>自基金合同生效起至今</w:t>
            </w:r>
          </w:p>
        </w:tc>
        <w:tc>
          <w:tcPr>
            <w:tcW w:w="1286" w:type="dxa"/>
            <w:vAlign w:val="center"/>
          </w:tcPr>
          <w:p w:rsidR="00AB4D21" w:rsidRDefault="00345560">
            <w:pPr>
              <w:jc w:val="center"/>
            </w:pPr>
            <w:r>
              <w:rPr>
                <w:color w:val="000000"/>
                <w:sz w:val="24"/>
              </w:rPr>
              <w:t>112.01%</w:t>
            </w:r>
          </w:p>
        </w:tc>
        <w:tc>
          <w:tcPr>
            <w:tcW w:w="1286" w:type="dxa"/>
            <w:vAlign w:val="center"/>
          </w:tcPr>
          <w:p w:rsidR="00AB4D21" w:rsidRDefault="00345560">
            <w:pPr>
              <w:jc w:val="center"/>
            </w:pPr>
            <w:r>
              <w:rPr>
                <w:color w:val="000000"/>
                <w:sz w:val="24"/>
              </w:rPr>
              <w:t>4.46%</w:t>
            </w:r>
          </w:p>
        </w:tc>
        <w:tc>
          <w:tcPr>
            <w:tcW w:w="1285" w:type="dxa"/>
            <w:vAlign w:val="center"/>
          </w:tcPr>
          <w:p w:rsidR="00AB4D21" w:rsidRDefault="00345560">
            <w:pPr>
              <w:jc w:val="center"/>
            </w:pPr>
            <w:r>
              <w:rPr>
                <w:color w:val="000000"/>
                <w:sz w:val="24"/>
              </w:rPr>
              <w:t>1.61%</w:t>
            </w:r>
          </w:p>
        </w:tc>
        <w:tc>
          <w:tcPr>
            <w:tcW w:w="1285" w:type="dxa"/>
            <w:vAlign w:val="center"/>
          </w:tcPr>
          <w:p w:rsidR="00AB4D21" w:rsidRDefault="00345560">
            <w:pPr>
              <w:jc w:val="center"/>
            </w:pPr>
            <w:r>
              <w:rPr>
                <w:color w:val="000000"/>
                <w:sz w:val="24"/>
              </w:rPr>
              <w:t>0.07%</w:t>
            </w:r>
          </w:p>
        </w:tc>
        <w:tc>
          <w:tcPr>
            <w:tcW w:w="1285" w:type="dxa"/>
            <w:vAlign w:val="center"/>
          </w:tcPr>
          <w:p w:rsidR="00AB4D21" w:rsidRDefault="00345560">
            <w:pPr>
              <w:jc w:val="center"/>
            </w:pPr>
            <w:r>
              <w:rPr>
                <w:color w:val="000000"/>
                <w:sz w:val="24"/>
              </w:rPr>
              <w:t>110.40%</w:t>
            </w:r>
          </w:p>
        </w:tc>
        <w:tc>
          <w:tcPr>
            <w:tcW w:w="1285" w:type="dxa"/>
            <w:vAlign w:val="center"/>
          </w:tcPr>
          <w:p w:rsidR="00AB4D21" w:rsidRDefault="00345560">
            <w:pPr>
              <w:jc w:val="center"/>
            </w:pPr>
            <w:r>
              <w:rPr>
                <w:color w:val="000000"/>
                <w:sz w:val="24"/>
              </w:rPr>
              <w:t>4.39%</w:t>
            </w:r>
          </w:p>
        </w:tc>
      </w:tr>
    </w:tbl>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交银丰享收益债券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AB4D21">
        <w:tc>
          <w:tcPr>
            <w:tcW w:w="1286" w:type="dxa"/>
            <w:vAlign w:val="center"/>
          </w:tcPr>
          <w:p w:rsidR="00AB4D21" w:rsidRDefault="00345560">
            <w:pPr>
              <w:jc w:val="left"/>
            </w:pPr>
            <w:r>
              <w:rPr>
                <w:color w:val="000000"/>
                <w:sz w:val="24"/>
              </w:rPr>
              <w:t>过去三个月</w:t>
            </w:r>
          </w:p>
        </w:tc>
        <w:tc>
          <w:tcPr>
            <w:tcW w:w="1286" w:type="dxa"/>
            <w:vAlign w:val="center"/>
          </w:tcPr>
          <w:p w:rsidR="00AB4D21" w:rsidRDefault="00345560">
            <w:pPr>
              <w:jc w:val="center"/>
            </w:pPr>
            <w:r>
              <w:rPr>
                <w:color w:val="000000"/>
                <w:sz w:val="24"/>
              </w:rPr>
              <w:t>0.96%</w:t>
            </w:r>
          </w:p>
        </w:tc>
        <w:tc>
          <w:tcPr>
            <w:tcW w:w="1286"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1.99%</w:t>
            </w:r>
          </w:p>
        </w:tc>
        <w:tc>
          <w:tcPr>
            <w:tcW w:w="1285"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-1.03%</w:t>
            </w:r>
          </w:p>
        </w:tc>
        <w:tc>
          <w:tcPr>
            <w:tcW w:w="1285" w:type="dxa"/>
            <w:vAlign w:val="center"/>
          </w:tcPr>
          <w:p w:rsidR="00AB4D21" w:rsidRDefault="00345560">
            <w:pPr>
              <w:jc w:val="center"/>
            </w:pPr>
            <w:r>
              <w:rPr>
                <w:color w:val="000000"/>
                <w:sz w:val="24"/>
              </w:rPr>
              <w:t>0.00%</w:t>
            </w:r>
          </w:p>
        </w:tc>
      </w:tr>
      <w:tr w:rsidR="00AB4D21">
        <w:tc>
          <w:tcPr>
            <w:tcW w:w="1286" w:type="dxa"/>
            <w:vAlign w:val="center"/>
          </w:tcPr>
          <w:p w:rsidR="00AB4D21" w:rsidRDefault="00345560">
            <w:pPr>
              <w:jc w:val="left"/>
            </w:pPr>
            <w:r>
              <w:rPr>
                <w:color w:val="000000"/>
                <w:sz w:val="24"/>
              </w:rPr>
              <w:t>过去六个月</w:t>
            </w:r>
          </w:p>
        </w:tc>
        <w:tc>
          <w:tcPr>
            <w:tcW w:w="1286" w:type="dxa"/>
            <w:vAlign w:val="center"/>
          </w:tcPr>
          <w:p w:rsidR="00AB4D21" w:rsidRDefault="00345560">
            <w:pPr>
              <w:jc w:val="center"/>
            </w:pPr>
            <w:r>
              <w:rPr>
                <w:color w:val="000000"/>
                <w:sz w:val="24"/>
              </w:rPr>
              <w:t>1.93%</w:t>
            </w:r>
          </w:p>
        </w:tc>
        <w:tc>
          <w:tcPr>
            <w:tcW w:w="1286"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2.57%</w:t>
            </w:r>
          </w:p>
        </w:tc>
        <w:tc>
          <w:tcPr>
            <w:tcW w:w="1285" w:type="dxa"/>
            <w:vAlign w:val="center"/>
          </w:tcPr>
          <w:p w:rsidR="00AB4D21" w:rsidRDefault="00345560">
            <w:pPr>
              <w:jc w:val="center"/>
            </w:pPr>
            <w:r>
              <w:rPr>
                <w:color w:val="000000"/>
                <w:sz w:val="24"/>
              </w:rPr>
              <w:t>0.06%</w:t>
            </w:r>
          </w:p>
        </w:tc>
        <w:tc>
          <w:tcPr>
            <w:tcW w:w="1285" w:type="dxa"/>
            <w:vAlign w:val="center"/>
          </w:tcPr>
          <w:p w:rsidR="00AB4D21" w:rsidRDefault="00345560">
            <w:pPr>
              <w:jc w:val="center"/>
            </w:pPr>
            <w:r>
              <w:rPr>
                <w:color w:val="000000"/>
                <w:sz w:val="24"/>
              </w:rPr>
              <w:t>-0.64%</w:t>
            </w:r>
          </w:p>
        </w:tc>
        <w:tc>
          <w:tcPr>
            <w:tcW w:w="1285" w:type="dxa"/>
            <w:vAlign w:val="center"/>
          </w:tcPr>
          <w:p w:rsidR="00AB4D21" w:rsidRDefault="00345560">
            <w:pPr>
              <w:jc w:val="center"/>
            </w:pPr>
            <w:r>
              <w:rPr>
                <w:color w:val="000000"/>
                <w:sz w:val="24"/>
              </w:rPr>
              <w:t>-0.01%</w:t>
            </w:r>
          </w:p>
        </w:tc>
      </w:tr>
      <w:tr w:rsidR="00AB4D21">
        <w:tc>
          <w:tcPr>
            <w:tcW w:w="1286" w:type="dxa"/>
            <w:vAlign w:val="center"/>
          </w:tcPr>
          <w:p w:rsidR="00AB4D21" w:rsidRDefault="00345560">
            <w:pPr>
              <w:jc w:val="left"/>
            </w:pPr>
            <w:r>
              <w:rPr>
                <w:color w:val="000000"/>
                <w:sz w:val="24"/>
              </w:rPr>
              <w:t>过去一年</w:t>
            </w:r>
          </w:p>
        </w:tc>
        <w:tc>
          <w:tcPr>
            <w:tcW w:w="1286" w:type="dxa"/>
            <w:vAlign w:val="center"/>
          </w:tcPr>
          <w:p w:rsidR="00AB4D21" w:rsidRDefault="00345560">
            <w:pPr>
              <w:jc w:val="center"/>
            </w:pPr>
            <w:r>
              <w:rPr>
                <w:color w:val="000000"/>
                <w:sz w:val="24"/>
              </w:rPr>
              <w:t>4.03%</w:t>
            </w:r>
          </w:p>
        </w:tc>
        <w:tc>
          <w:tcPr>
            <w:tcW w:w="1286"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4.79%</w:t>
            </w:r>
          </w:p>
        </w:tc>
        <w:tc>
          <w:tcPr>
            <w:tcW w:w="1285" w:type="dxa"/>
            <w:vAlign w:val="center"/>
          </w:tcPr>
          <w:p w:rsidR="00AB4D21" w:rsidRDefault="00345560">
            <w:pPr>
              <w:jc w:val="center"/>
            </w:pPr>
            <w:r>
              <w:rPr>
                <w:color w:val="000000"/>
                <w:sz w:val="24"/>
              </w:rPr>
              <w:t>0.07%</w:t>
            </w:r>
          </w:p>
        </w:tc>
        <w:tc>
          <w:tcPr>
            <w:tcW w:w="1285" w:type="dxa"/>
            <w:vAlign w:val="center"/>
          </w:tcPr>
          <w:p w:rsidR="00AB4D21" w:rsidRDefault="00345560">
            <w:pPr>
              <w:jc w:val="center"/>
            </w:pPr>
            <w:r>
              <w:rPr>
                <w:color w:val="000000"/>
                <w:sz w:val="24"/>
              </w:rPr>
              <w:t>-0.76%</w:t>
            </w:r>
          </w:p>
        </w:tc>
        <w:tc>
          <w:tcPr>
            <w:tcW w:w="1285" w:type="dxa"/>
            <w:vAlign w:val="center"/>
          </w:tcPr>
          <w:p w:rsidR="00AB4D21" w:rsidRDefault="00345560">
            <w:pPr>
              <w:jc w:val="center"/>
            </w:pPr>
            <w:r>
              <w:rPr>
                <w:color w:val="000000"/>
                <w:sz w:val="24"/>
              </w:rPr>
              <w:t>-0.02%</w:t>
            </w:r>
          </w:p>
        </w:tc>
      </w:tr>
      <w:tr w:rsidR="00AB4D21">
        <w:tc>
          <w:tcPr>
            <w:tcW w:w="1286" w:type="dxa"/>
            <w:vAlign w:val="center"/>
          </w:tcPr>
          <w:p w:rsidR="00AB4D21" w:rsidRDefault="00345560">
            <w:pPr>
              <w:jc w:val="left"/>
            </w:pPr>
            <w:r>
              <w:rPr>
                <w:color w:val="000000"/>
                <w:sz w:val="24"/>
              </w:rPr>
              <w:t>自基金合同生效起至今</w:t>
            </w:r>
          </w:p>
        </w:tc>
        <w:tc>
          <w:tcPr>
            <w:tcW w:w="1286" w:type="dxa"/>
            <w:vAlign w:val="center"/>
          </w:tcPr>
          <w:p w:rsidR="00AB4D21" w:rsidRDefault="00345560">
            <w:pPr>
              <w:jc w:val="center"/>
            </w:pPr>
            <w:r>
              <w:rPr>
                <w:color w:val="000000"/>
                <w:sz w:val="24"/>
              </w:rPr>
              <w:t>20.37%</w:t>
            </w:r>
          </w:p>
        </w:tc>
        <w:tc>
          <w:tcPr>
            <w:tcW w:w="1286" w:type="dxa"/>
            <w:vAlign w:val="center"/>
          </w:tcPr>
          <w:p w:rsidR="00AB4D21" w:rsidRDefault="00345560">
            <w:pPr>
              <w:jc w:val="center"/>
            </w:pPr>
            <w:r>
              <w:rPr>
                <w:color w:val="000000"/>
                <w:sz w:val="24"/>
              </w:rPr>
              <w:t>0.07%</w:t>
            </w:r>
          </w:p>
        </w:tc>
        <w:tc>
          <w:tcPr>
            <w:tcW w:w="1285" w:type="dxa"/>
            <w:vAlign w:val="center"/>
          </w:tcPr>
          <w:p w:rsidR="00AB4D21" w:rsidRDefault="00345560">
            <w:pPr>
              <w:jc w:val="center"/>
            </w:pPr>
            <w:r>
              <w:rPr>
                <w:color w:val="000000"/>
                <w:sz w:val="24"/>
              </w:rPr>
              <w:t>6.52%</w:t>
            </w:r>
          </w:p>
        </w:tc>
        <w:tc>
          <w:tcPr>
            <w:tcW w:w="1285" w:type="dxa"/>
            <w:vAlign w:val="center"/>
          </w:tcPr>
          <w:p w:rsidR="00AB4D21" w:rsidRDefault="00345560">
            <w:pPr>
              <w:jc w:val="center"/>
            </w:pPr>
            <w:r>
              <w:rPr>
                <w:color w:val="000000"/>
                <w:sz w:val="24"/>
              </w:rPr>
              <w:t>0.05%</w:t>
            </w:r>
          </w:p>
        </w:tc>
        <w:tc>
          <w:tcPr>
            <w:tcW w:w="1285" w:type="dxa"/>
            <w:vAlign w:val="center"/>
          </w:tcPr>
          <w:p w:rsidR="00AB4D21" w:rsidRDefault="00345560">
            <w:pPr>
              <w:jc w:val="center"/>
            </w:pPr>
            <w:r>
              <w:rPr>
                <w:color w:val="000000"/>
                <w:sz w:val="24"/>
              </w:rPr>
              <w:t>13.85%</w:t>
            </w:r>
          </w:p>
        </w:tc>
        <w:tc>
          <w:tcPr>
            <w:tcW w:w="1285" w:type="dxa"/>
            <w:vAlign w:val="center"/>
          </w:tcPr>
          <w:p w:rsidR="00AB4D21" w:rsidRDefault="00345560">
            <w:pPr>
              <w:jc w:val="center"/>
            </w:pPr>
            <w:r>
              <w:rPr>
                <w:color w:val="000000"/>
                <w:sz w:val="24"/>
              </w:rPr>
              <w:t>0.02%</w:t>
            </w:r>
          </w:p>
        </w:tc>
      </w:tr>
    </w:tbl>
    <w:p w:rsidR="001A59F9" w:rsidRPr="00E25C2A" w:rsidRDefault="00345560" w:rsidP="00E25C2A">
      <w:pPr>
        <w:tabs>
          <w:tab w:val="left" w:pos="426"/>
        </w:tabs>
        <w:spacing w:before="29" w:line="288" w:lineRule="auto"/>
        <w:jc w:val="left"/>
        <w:rPr>
          <w:kern w:val="0"/>
          <w:sz w:val="24"/>
        </w:rPr>
      </w:pPr>
      <w:r>
        <w:rPr>
          <w:rFonts w:hint="eastAsia"/>
          <w:kern w:val="0"/>
          <w:sz w:val="24"/>
        </w:rPr>
        <w:t>注</w:t>
      </w:r>
      <w:r>
        <w:rPr>
          <w:kern w:val="0"/>
          <w:sz w:val="24"/>
        </w:rPr>
        <w:t>：</w:t>
      </w:r>
      <w:r w:rsidR="001A59F9" w:rsidRPr="00E25C2A">
        <w:rPr>
          <w:kern w:val="0"/>
          <w:sz w:val="24"/>
        </w:rPr>
        <w:t>本基金自</w:t>
      </w:r>
      <w:r w:rsidR="001A59F9" w:rsidRPr="00E25C2A">
        <w:rPr>
          <w:kern w:val="0"/>
          <w:sz w:val="24"/>
        </w:rPr>
        <w:t>2017</w:t>
      </w:r>
      <w:r w:rsidR="001A59F9" w:rsidRPr="00E25C2A">
        <w:rPr>
          <w:kern w:val="0"/>
          <w:sz w:val="24"/>
        </w:rPr>
        <w:t>年</w:t>
      </w:r>
      <w:r w:rsidR="001A59F9" w:rsidRPr="00E25C2A">
        <w:rPr>
          <w:kern w:val="0"/>
          <w:sz w:val="24"/>
        </w:rPr>
        <w:t>1</w:t>
      </w:r>
      <w:r w:rsidR="001A59F9" w:rsidRPr="00E25C2A">
        <w:rPr>
          <w:kern w:val="0"/>
          <w:sz w:val="24"/>
        </w:rPr>
        <w:t>月</w:t>
      </w:r>
      <w:r w:rsidR="001A59F9" w:rsidRPr="00E25C2A">
        <w:rPr>
          <w:kern w:val="0"/>
          <w:sz w:val="24"/>
        </w:rPr>
        <w:t>20</w:t>
      </w:r>
      <w:r w:rsidR="001A59F9" w:rsidRPr="00E25C2A">
        <w:rPr>
          <w:kern w:val="0"/>
          <w:sz w:val="24"/>
        </w:rPr>
        <w:t>日起转为开放式运作，本基金的业绩比较基准由</w:t>
      </w:r>
      <w:r w:rsidR="001A59F9" w:rsidRPr="00E25C2A">
        <w:rPr>
          <w:kern w:val="0"/>
          <w:sz w:val="24"/>
        </w:rPr>
        <w:t>“</w:t>
      </w:r>
      <w:r w:rsidR="001A59F9" w:rsidRPr="00E25C2A">
        <w:rPr>
          <w:kern w:val="0"/>
          <w:sz w:val="24"/>
        </w:rPr>
        <w:t>两年期银行定期存款税后收益率</w:t>
      </w:r>
      <w:r w:rsidR="001A59F9" w:rsidRPr="00E25C2A">
        <w:rPr>
          <w:kern w:val="0"/>
          <w:sz w:val="24"/>
        </w:rPr>
        <w:t>”</w:t>
      </w:r>
      <w:r w:rsidR="001A59F9" w:rsidRPr="00E25C2A">
        <w:rPr>
          <w:kern w:val="0"/>
          <w:sz w:val="24"/>
        </w:rPr>
        <w:t>变更为</w:t>
      </w:r>
      <w:r w:rsidR="001A59F9" w:rsidRPr="00E25C2A">
        <w:rPr>
          <w:kern w:val="0"/>
          <w:sz w:val="24"/>
        </w:rPr>
        <w:t>“</w:t>
      </w:r>
      <w:r w:rsidR="001A59F9" w:rsidRPr="00E25C2A">
        <w:rPr>
          <w:kern w:val="0"/>
          <w:sz w:val="24"/>
        </w:rPr>
        <w:t>中债综合全价指数</w:t>
      </w:r>
      <w:r w:rsidR="001A59F9" w:rsidRPr="00E25C2A">
        <w:rPr>
          <w:kern w:val="0"/>
          <w:sz w:val="24"/>
        </w:rPr>
        <w:t>”,3.2.2</w:t>
      </w:r>
      <w:r w:rsidR="001A59F9" w:rsidRPr="00E25C2A">
        <w:rPr>
          <w:kern w:val="0"/>
          <w:sz w:val="24"/>
        </w:rPr>
        <w:t>同。</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交银丰享收益债券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20</w:t>
      </w:r>
      <w:r w:rsidRPr="00E25C2A">
        <w:rPr>
          <w:kern w:val="0"/>
          <w:sz w:val="24"/>
        </w:rPr>
        <w:t>日起，开始销售</w:t>
      </w:r>
      <w:r w:rsidRPr="00E25C2A">
        <w:rPr>
          <w:kern w:val="0"/>
          <w:sz w:val="24"/>
        </w:rPr>
        <w:t>A</w:t>
      </w:r>
      <w:r w:rsidRPr="00E25C2A">
        <w:rPr>
          <w:kern w:val="0"/>
          <w:sz w:val="24"/>
        </w:rPr>
        <w:t>类份额，投资者提交的申购申请于</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日被确认并将有效份额登记在册。图示日期为</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交银丰享收益债券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w:t>
      </w:r>
      <w:r w:rsidRPr="00E25C2A">
        <w:rPr>
          <w:kern w:val="0"/>
          <w:sz w:val="24"/>
        </w:rPr>
        <w:t>月</w:t>
      </w:r>
      <w:r w:rsidRPr="00E25C2A">
        <w:rPr>
          <w:kern w:val="0"/>
          <w:sz w:val="24"/>
        </w:rPr>
        <w:t>19</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交银丰享收益债券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1</w:t>
      </w:r>
      <w:r w:rsidRPr="00E25C2A">
        <w:rPr>
          <w:kern w:val="0"/>
          <w:sz w:val="24"/>
        </w:rPr>
        <w:t>月</w:t>
      </w:r>
      <w:r w:rsidRPr="00E25C2A">
        <w:rPr>
          <w:kern w:val="0"/>
          <w:sz w:val="24"/>
        </w:rPr>
        <w:t>25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345560" w:rsidRDefault="00345560" w:rsidP="00345560">
      <w:pPr>
        <w:pStyle w:val="21"/>
        <w:spacing w:before="29" w:line="288" w:lineRule="auto"/>
        <w:ind w:firstLineChars="0" w:firstLine="0"/>
        <w:rPr>
          <w:rFonts w:ascii="Times New Roman" w:hAnsi="Times New Roman"/>
          <w:color w:val="auto"/>
        </w:rPr>
      </w:pPr>
    </w:p>
    <w:p w:rsidR="00345560" w:rsidRPr="00D564C7" w:rsidRDefault="00345560" w:rsidP="00345560">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交银丰享收益债券</w:t>
      </w:r>
      <w:r w:rsidRPr="00E62358">
        <w:rPr>
          <w:rFonts w:ascii="Times New Roman" w:hAnsi="Times New Roman"/>
          <w:color w:val="auto"/>
        </w:rPr>
        <w:t>C</w:t>
      </w:r>
    </w:p>
    <w:p w:rsidR="00345560" w:rsidRPr="00D564C7" w:rsidRDefault="00345560" w:rsidP="00345560">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26B5287" wp14:editId="0A49D10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w:t>
      </w:r>
      <w:r w:rsidRPr="00E25C2A">
        <w:rPr>
          <w:kern w:val="0"/>
          <w:sz w:val="24"/>
        </w:rPr>
        <w:t>月</w:t>
      </w:r>
      <w:r w:rsidRPr="00E25C2A">
        <w:rPr>
          <w:kern w:val="0"/>
          <w:sz w:val="24"/>
        </w:rPr>
        <w:t>19</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345560" w:rsidRPr="00E25C2A" w:rsidRDefault="00345560"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交银丰享收益债券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AB4D21">
        <w:tc>
          <w:tcPr>
            <w:tcW w:w="1276" w:type="dxa"/>
            <w:vAlign w:val="center"/>
          </w:tcPr>
          <w:p w:rsidR="00AB4D21" w:rsidRDefault="00345560">
            <w:pPr>
              <w:jc w:val="center"/>
            </w:pPr>
            <w:r>
              <w:rPr>
                <w:color w:val="000000"/>
                <w:sz w:val="24"/>
              </w:rPr>
              <w:t>2018</w:t>
            </w:r>
            <w:r>
              <w:rPr>
                <w:color w:val="000000"/>
                <w:sz w:val="24"/>
              </w:rPr>
              <w:t>年</w:t>
            </w:r>
          </w:p>
        </w:tc>
        <w:tc>
          <w:tcPr>
            <w:tcW w:w="1701" w:type="dxa"/>
            <w:vAlign w:val="center"/>
          </w:tcPr>
          <w:p w:rsidR="00AB4D21" w:rsidRDefault="00345560">
            <w:pPr>
              <w:jc w:val="right"/>
            </w:pPr>
            <w:r>
              <w:rPr>
                <w:color w:val="000000"/>
                <w:sz w:val="24"/>
              </w:rPr>
              <w:t>0.800</w:t>
            </w:r>
          </w:p>
        </w:tc>
        <w:tc>
          <w:tcPr>
            <w:tcW w:w="1701" w:type="dxa"/>
            <w:vAlign w:val="center"/>
          </w:tcPr>
          <w:p w:rsidR="00AB4D21" w:rsidRDefault="00345560">
            <w:pPr>
              <w:jc w:val="right"/>
            </w:pPr>
            <w:r>
              <w:rPr>
                <w:color w:val="000000"/>
                <w:sz w:val="24"/>
              </w:rPr>
              <w:t>21,250,540.50</w:t>
            </w:r>
          </w:p>
        </w:tc>
        <w:tc>
          <w:tcPr>
            <w:tcW w:w="1701" w:type="dxa"/>
            <w:vAlign w:val="center"/>
          </w:tcPr>
          <w:p w:rsidR="00AB4D21" w:rsidRDefault="00345560">
            <w:pPr>
              <w:jc w:val="right"/>
            </w:pPr>
            <w:r>
              <w:rPr>
                <w:color w:val="000000"/>
                <w:sz w:val="24"/>
              </w:rPr>
              <w:t>237,162.31</w:t>
            </w:r>
          </w:p>
        </w:tc>
        <w:tc>
          <w:tcPr>
            <w:tcW w:w="1559" w:type="dxa"/>
            <w:vAlign w:val="center"/>
          </w:tcPr>
          <w:p w:rsidR="00AB4D21" w:rsidRDefault="00345560">
            <w:pPr>
              <w:jc w:val="right"/>
            </w:pPr>
            <w:r>
              <w:rPr>
                <w:color w:val="000000"/>
                <w:sz w:val="24"/>
              </w:rPr>
              <w:t>21,487,702.81</w:t>
            </w:r>
          </w:p>
        </w:tc>
        <w:tc>
          <w:tcPr>
            <w:tcW w:w="1060" w:type="dxa"/>
            <w:vAlign w:val="center"/>
          </w:tcPr>
          <w:p w:rsidR="00AB4D21" w:rsidRDefault="00345560">
            <w:pPr>
              <w:jc w:val="left"/>
            </w:pPr>
            <w:r>
              <w:rPr>
                <w:color w:val="000000"/>
                <w:sz w:val="24"/>
              </w:rPr>
              <w:t>-</w:t>
            </w:r>
          </w:p>
        </w:tc>
      </w:tr>
      <w:tr w:rsidR="00AB4D21">
        <w:tc>
          <w:tcPr>
            <w:tcW w:w="1276" w:type="dxa"/>
            <w:vAlign w:val="center"/>
          </w:tcPr>
          <w:p w:rsidR="00AB4D21" w:rsidRDefault="00345560">
            <w:pPr>
              <w:jc w:val="center"/>
            </w:pPr>
            <w:r>
              <w:rPr>
                <w:color w:val="000000"/>
                <w:sz w:val="24"/>
              </w:rPr>
              <w:t>2017</w:t>
            </w:r>
            <w:r>
              <w:rPr>
                <w:color w:val="000000"/>
                <w:sz w:val="24"/>
              </w:rPr>
              <w:t>年</w:t>
            </w:r>
          </w:p>
        </w:tc>
        <w:tc>
          <w:tcPr>
            <w:tcW w:w="1701" w:type="dxa"/>
            <w:vAlign w:val="center"/>
          </w:tcPr>
          <w:p w:rsidR="00AB4D21" w:rsidRDefault="00345560">
            <w:pPr>
              <w:jc w:val="right"/>
            </w:pPr>
            <w:r>
              <w:rPr>
                <w:color w:val="000000"/>
                <w:sz w:val="24"/>
              </w:rPr>
              <w:t>0.110</w:t>
            </w:r>
          </w:p>
        </w:tc>
        <w:tc>
          <w:tcPr>
            <w:tcW w:w="1701" w:type="dxa"/>
            <w:vAlign w:val="center"/>
          </w:tcPr>
          <w:p w:rsidR="00AB4D21" w:rsidRDefault="00345560">
            <w:pPr>
              <w:jc w:val="right"/>
            </w:pPr>
            <w:r>
              <w:rPr>
                <w:color w:val="000000"/>
                <w:sz w:val="24"/>
              </w:rPr>
              <w:t>4,358,459.34</w:t>
            </w:r>
          </w:p>
        </w:tc>
        <w:tc>
          <w:tcPr>
            <w:tcW w:w="1701" w:type="dxa"/>
            <w:vAlign w:val="center"/>
          </w:tcPr>
          <w:p w:rsidR="00AB4D21" w:rsidRDefault="00345560">
            <w:pPr>
              <w:jc w:val="right"/>
            </w:pPr>
            <w:r>
              <w:rPr>
                <w:color w:val="000000"/>
                <w:sz w:val="24"/>
              </w:rPr>
              <w:t>108.42</w:t>
            </w:r>
          </w:p>
        </w:tc>
        <w:tc>
          <w:tcPr>
            <w:tcW w:w="1559" w:type="dxa"/>
            <w:vAlign w:val="center"/>
          </w:tcPr>
          <w:p w:rsidR="00AB4D21" w:rsidRDefault="00345560">
            <w:pPr>
              <w:jc w:val="right"/>
            </w:pPr>
            <w:r>
              <w:rPr>
                <w:color w:val="000000"/>
                <w:sz w:val="24"/>
              </w:rPr>
              <w:t>4,358,567.76</w:t>
            </w:r>
          </w:p>
        </w:tc>
        <w:tc>
          <w:tcPr>
            <w:tcW w:w="1060" w:type="dxa"/>
            <w:vAlign w:val="center"/>
          </w:tcPr>
          <w:p w:rsidR="00AB4D21" w:rsidRDefault="00345560">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0.910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25,608,999.84</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237,270.73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25,846,270.57</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交银丰享收益债券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AB4D21">
        <w:tc>
          <w:tcPr>
            <w:tcW w:w="1276" w:type="dxa"/>
            <w:vAlign w:val="center"/>
          </w:tcPr>
          <w:p w:rsidR="00AB4D21" w:rsidRDefault="00345560">
            <w:pPr>
              <w:jc w:val="center"/>
            </w:pPr>
            <w:r>
              <w:rPr>
                <w:color w:val="000000"/>
                <w:sz w:val="24"/>
              </w:rPr>
              <w:t>2018</w:t>
            </w:r>
            <w:r>
              <w:rPr>
                <w:color w:val="000000"/>
                <w:sz w:val="24"/>
              </w:rPr>
              <w:t>年</w:t>
            </w:r>
          </w:p>
        </w:tc>
        <w:tc>
          <w:tcPr>
            <w:tcW w:w="1701" w:type="dxa"/>
            <w:vAlign w:val="center"/>
          </w:tcPr>
          <w:p w:rsidR="00AB4D21" w:rsidRDefault="00345560">
            <w:pPr>
              <w:jc w:val="right"/>
            </w:pPr>
            <w:r>
              <w:rPr>
                <w:color w:val="000000"/>
                <w:sz w:val="24"/>
              </w:rPr>
              <w:t>0.100</w:t>
            </w:r>
          </w:p>
        </w:tc>
        <w:tc>
          <w:tcPr>
            <w:tcW w:w="1701" w:type="dxa"/>
            <w:vAlign w:val="center"/>
          </w:tcPr>
          <w:p w:rsidR="00AB4D21" w:rsidRDefault="00345560">
            <w:pPr>
              <w:jc w:val="right"/>
            </w:pPr>
            <w:r>
              <w:rPr>
                <w:color w:val="000000"/>
                <w:sz w:val="24"/>
              </w:rPr>
              <w:t>165,061.66</w:t>
            </w:r>
          </w:p>
        </w:tc>
        <w:tc>
          <w:tcPr>
            <w:tcW w:w="1701" w:type="dxa"/>
            <w:vAlign w:val="center"/>
          </w:tcPr>
          <w:p w:rsidR="00AB4D21" w:rsidRDefault="00345560">
            <w:pPr>
              <w:jc w:val="right"/>
            </w:pPr>
            <w:r>
              <w:rPr>
                <w:color w:val="000000"/>
                <w:sz w:val="24"/>
              </w:rPr>
              <w:t>4,173.57</w:t>
            </w:r>
          </w:p>
        </w:tc>
        <w:tc>
          <w:tcPr>
            <w:tcW w:w="1559" w:type="dxa"/>
            <w:vAlign w:val="center"/>
          </w:tcPr>
          <w:p w:rsidR="00AB4D21" w:rsidRDefault="00345560">
            <w:pPr>
              <w:jc w:val="right"/>
            </w:pPr>
            <w:r>
              <w:rPr>
                <w:color w:val="000000"/>
                <w:sz w:val="24"/>
              </w:rPr>
              <w:t>169,235.23</w:t>
            </w:r>
          </w:p>
        </w:tc>
        <w:tc>
          <w:tcPr>
            <w:tcW w:w="1060" w:type="dxa"/>
            <w:vAlign w:val="center"/>
          </w:tcPr>
          <w:p w:rsidR="00AB4D21" w:rsidRDefault="00345560">
            <w:pPr>
              <w:jc w:val="left"/>
            </w:pPr>
            <w:r>
              <w:rPr>
                <w:color w:val="000000"/>
                <w:sz w:val="24"/>
              </w:rPr>
              <w:t>-</w:t>
            </w:r>
          </w:p>
        </w:tc>
      </w:tr>
      <w:tr w:rsidR="00AB4D21">
        <w:tc>
          <w:tcPr>
            <w:tcW w:w="1276" w:type="dxa"/>
            <w:vAlign w:val="center"/>
          </w:tcPr>
          <w:p w:rsidR="00AB4D21" w:rsidRDefault="00345560">
            <w:pPr>
              <w:jc w:val="center"/>
            </w:pPr>
            <w:r>
              <w:rPr>
                <w:color w:val="000000"/>
                <w:sz w:val="24"/>
              </w:rPr>
              <w:t>2016</w:t>
            </w:r>
            <w:r>
              <w:rPr>
                <w:color w:val="000000"/>
                <w:sz w:val="24"/>
              </w:rPr>
              <w:t>年</w:t>
            </w:r>
          </w:p>
        </w:tc>
        <w:tc>
          <w:tcPr>
            <w:tcW w:w="1701" w:type="dxa"/>
            <w:vAlign w:val="center"/>
          </w:tcPr>
          <w:p w:rsidR="00AB4D21" w:rsidRDefault="00345560">
            <w:pPr>
              <w:jc w:val="right"/>
            </w:pPr>
            <w:r>
              <w:rPr>
                <w:color w:val="000000"/>
                <w:sz w:val="24"/>
              </w:rPr>
              <w:t>1.230</w:t>
            </w:r>
          </w:p>
        </w:tc>
        <w:tc>
          <w:tcPr>
            <w:tcW w:w="1701" w:type="dxa"/>
            <w:vAlign w:val="center"/>
          </w:tcPr>
          <w:p w:rsidR="00AB4D21" w:rsidRDefault="00345560">
            <w:pPr>
              <w:jc w:val="right"/>
            </w:pPr>
            <w:r>
              <w:rPr>
                <w:color w:val="000000"/>
                <w:sz w:val="24"/>
              </w:rPr>
              <w:t>31,904,540.12</w:t>
            </w:r>
          </w:p>
        </w:tc>
        <w:tc>
          <w:tcPr>
            <w:tcW w:w="1701" w:type="dxa"/>
            <w:vAlign w:val="center"/>
          </w:tcPr>
          <w:p w:rsidR="00AB4D21" w:rsidRDefault="00345560">
            <w:pPr>
              <w:jc w:val="right"/>
            </w:pPr>
            <w:r>
              <w:rPr>
                <w:color w:val="000000"/>
                <w:sz w:val="24"/>
              </w:rPr>
              <w:t>-</w:t>
            </w:r>
          </w:p>
        </w:tc>
        <w:tc>
          <w:tcPr>
            <w:tcW w:w="1559" w:type="dxa"/>
            <w:vAlign w:val="center"/>
          </w:tcPr>
          <w:p w:rsidR="00AB4D21" w:rsidRDefault="00345560">
            <w:pPr>
              <w:jc w:val="right"/>
            </w:pPr>
            <w:r>
              <w:rPr>
                <w:color w:val="000000"/>
                <w:sz w:val="24"/>
              </w:rPr>
              <w:t>31,904,540.12</w:t>
            </w:r>
          </w:p>
        </w:tc>
        <w:tc>
          <w:tcPr>
            <w:tcW w:w="1060" w:type="dxa"/>
            <w:vAlign w:val="center"/>
          </w:tcPr>
          <w:p w:rsidR="00AB4D21" w:rsidRDefault="00345560">
            <w:pPr>
              <w:jc w:val="left"/>
            </w:pPr>
            <w:r>
              <w:rPr>
                <w:color w:val="000000"/>
                <w:sz w:val="24"/>
              </w:rPr>
              <w:t>-</w:t>
            </w:r>
          </w:p>
        </w:tc>
      </w:tr>
      <w:tr w:rsidR="00AB4D21">
        <w:tc>
          <w:tcPr>
            <w:tcW w:w="1276" w:type="dxa"/>
            <w:vAlign w:val="center"/>
          </w:tcPr>
          <w:p w:rsidR="00AB4D21" w:rsidRDefault="00345560">
            <w:pPr>
              <w:jc w:val="center"/>
            </w:pPr>
            <w:r>
              <w:rPr>
                <w:color w:val="000000"/>
                <w:sz w:val="24"/>
              </w:rPr>
              <w:t>2017</w:t>
            </w:r>
            <w:r>
              <w:rPr>
                <w:color w:val="000000"/>
                <w:sz w:val="24"/>
              </w:rPr>
              <w:t>年</w:t>
            </w:r>
          </w:p>
        </w:tc>
        <w:tc>
          <w:tcPr>
            <w:tcW w:w="1701" w:type="dxa"/>
            <w:vAlign w:val="center"/>
          </w:tcPr>
          <w:p w:rsidR="00AB4D21" w:rsidRDefault="00345560">
            <w:pPr>
              <w:jc w:val="right"/>
            </w:pPr>
            <w:r>
              <w:rPr>
                <w:color w:val="000000"/>
                <w:sz w:val="24"/>
              </w:rPr>
              <w:t>0.090</w:t>
            </w:r>
          </w:p>
        </w:tc>
        <w:tc>
          <w:tcPr>
            <w:tcW w:w="1701" w:type="dxa"/>
            <w:vAlign w:val="center"/>
          </w:tcPr>
          <w:p w:rsidR="00AB4D21" w:rsidRDefault="00345560">
            <w:pPr>
              <w:jc w:val="right"/>
            </w:pPr>
            <w:r>
              <w:rPr>
                <w:color w:val="000000"/>
                <w:sz w:val="24"/>
              </w:rPr>
              <w:t>405,769.01</w:t>
            </w:r>
          </w:p>
        </w:tc>
        <w:tc>
          <w:tcPr>
            <w:tcW w:w="1701" w:type="dxa"/>
            <w:vAlign w:val="center"/>
          </w:tcPr>
          <w:p w:rsidR="00AB4D21" w:rsidRDefault="00345560">
            <w:pPr>
              <w:jc w:val="right"/>
            </w:pPr>
            <w:r>
              <w:rPr>
                <w:color w:val="000000"/>
                <w:sz w:val="24"/>
              </w:rPr>
              <w:t>3,748.36</w:t>
            </w:r>
          </w:p>
        </w:tc>
        <w:tc>
          <w:tcPr>
            <w:tcW w:w="1559" w:type="dxa"/>
            <w:vAlign w:val="center"/>
          </w:tcPr>
          <w:p w:rsidR="00AB4D21" w:rsidRDefault="00345560">
            <w:pPr>
              <w:jc w:val="right"/>
            </w:pPr>
            <w:r>
              <w:rPr>
                <w:color w:val="000000"/>
                <w:sz w:val="24"/>
              </w:rPr>
              <w:t>409,517.37</w:t>
            </w:r>
          </w:p>
        </w:tc>
        <w:tc>
          <w:tcPr>
            <w:tcW w:w="1060" w:type="dxa"/>
            <w:vAlign w:val="center"/>
          </w:tcPr>
          <w:p w:rsidR="00AB4D21" w:rsidRDefault="00345560">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1.420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32,475,370.79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7,921.93</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32,483,292.72</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AB4D21" w:rsidRDefault="0034556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AB4D21">
        <w:tc>
          <w:tcPr>
            <w:tcW w:w="1499" w:type="dxa"/>
            <w:vAlign w:val="center"/>
          </w:tcPr>
          <w:p w:rsidR="00AB4D21" w:rsidRDefault="00345560">
            <w:pPr>
              <w:jc w:val="center"/>
            </w:pPr>
            <w:r>
              <w:rPr>
                <w:color w:val="000000"/>
                <w:sz w:val="24"/>
              </w:rPr>
              <w:t>黄莹洁</w:t>
            </w:r>
          </w:p>
        </w:tc>
        <w:tc>
          <w:tcPr>
            <w:tcW w:w="1499" w:type="dxa"/>
            <w:vAlign w:val="center"/>
          </w:tcPr>
          <w:p w:rsidR="00AB4D21" w:rsidRDefault="00345560">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55" w:type="dxa"/>
            <w:vAlign w:val="center"/>
          </w:tcPr>
          <w:p w:rsidR="00AB4D21" w:rsidRDefault="00345560">
            <w:pPr>
              <w:jc w:val="center"/>
            </w:pPr>
            <w:r>
              <w:rPr>
                <w:color w:val="000000"/>
                <w:sz w:val="24"/>
              </w:rPr>
              <w:t>2015-07-25</w:t>
            </w:r>
          </w:p>
        </w:tc>
        <w:tc>
          <w:tcPr>
            <w:tcW w:w="1276" w:type="dxa"/>
            <w:vAlign w:val="center"/>
          </w:tcPr>
          <w:p w:rsidR="00AB4D21" w:rsidRDefault="00345560">
            <w:pPr>
              <w:jc w:val="center"/>
            </w:pPr>
            <w:r>
              <w:rPr>
                <w:color w:val="000000"/>
                <w:sz w:val="24"/>
              </w:rPr>
              <w:t>-</w:t>
            </w:r>
          </w:p>
        </w:tc>
        <w:tc>
          <w:tcPr>
            <w:tcW w:w="992" w:type="dxa"/>
            <w:vAlign w:val="center"/>
          </w:tcPr>
          <w:p w:rsidR="00AB4D21" w:rsidRDefault="00345560">
            <w:pPr>
              <w:jc w:val="center"/>
            </w:pPr>
            <w:r>
              <w:rPr>
                <w:color w:val="000000"/>
                <w:sz w:val="24"/>
              </w:rPr>
              <w:t>10</w:t>
            </w:r>
            <w:r>
              <w:rPr>
                <w:color w:val="000000"/>
                <w:sz w:val="24"/>
              </w:rPr>
              <w:t>年</w:t>
            </w:r>
          </w:p>
        </w:tc>
        <w:tc>
          <w:tcPr>
            <w:tcW w:w="2477" w:type="dxa"/>
            <w:vAlign w:val="center"/>
          </w:tcPr>
          <w:p w:rsidR="00AB4D21" w:rsidRDefault="0034556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AB4D21" w:rsidRDefault="0034556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B4D21" w:rsidRDefault="0034556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AB4D21" w:rsidRDefault="0034556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B4D21" w:rsidRDefault="0034556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B4D21" w:rsidRDefault="0034556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4D21" w:rsidRDefault="0034556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B4D21" w:rsidRDefault="0034556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AB4D21" w:rsidRDefault="0034556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4D21" w:rsidRDefault="0034556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4D21" w:rsidRDefault="0034556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AB4D21" w:rsidRDefault="00345560">
      <w:pPr>
        <w:spacing w:before="29" w:line="288" w:lineRule="auto"/>
        <w:ind w:firstLineChars="200" w:firstLine="480"/>
        <w:rPr>
          <w:color w:val="000000"/>
          <w:sz w:val="24"/>
        </w:rPr>
      </w:pPr>
      <w:r>
        <w:rPr>
          <w:color w:val="000000"/>
          <w:sz w:val="24"/>
        </w:rPr>
        <w:t>本报告期内，在</w:t>
      </w:r>
      <w:r>
        <w:rPr>
          <w:color w:val="000000"/>
          <w:sz w:val="24"/>
        </w:rPr>
        <w:t>“</w:t>
      </w:r>
      <w:r>
        <w:rPr>
          <w:color w:val="000000"/>
          <w:sz w:val="24"/>
        </w:rPr>
        <w:t>宽货币紧信用</w:t>
      </w:r>
      <w:r>
        <w:rPr>
          <w:color w:val="000000"/>
          <w:sz w:val="24"/>
        </w:rPr>
        <w:t>”</w:t>
      </w:r>
      <w:r>
        <w:rPr>
          <w:color w:val="000000"/>
          <w:sz w:val="24"/>
        </w:rPr>
        <w:t>的环境下，</w:t>
      </w:r>
      <w:r>
        <w:rPr>
          <w:color w:val="000000"/>
          <w:sz w:val="24"/>
        </w:rPr>
        <w:t>GDP</w:t>
      </w:r>
      <w:r>
        <w:rPr>
          <w:color w:val="000000"/>
          <w:sz w:val="24"/>
        </w:rPr>
        <w:t>名义增速明显回落，带动国债收益率从</w:t>
      </w:r>
      <w:r>
        <w:rPr>
          <w:color w:val="000000"/>
          <w:sz w:val="24"/>
        </w:rPr>
        <w:t>3.88%</w:t>
      </w:r>
      <w:r>
        <w:rPr>
          <w:color w:val="000000"/>
          <w:sz w:val="24"/>
        </w:rPr>
        <w:t>回落到</w:t>
      </w:r>
      <w:r>
        <w:rPr>
          <w:color w:val="000000"/>
          <w:sz w:val="24"/>
        </w:rPr>
        <w:t>3.22%</w:t>
      </w:r>
      <w:r>
        <w:rPr>
          <w:color w:val="000000"/>
          <w:sz w:val="24"/>
        </w:rPr>
        <w:t>，债券牛市格局确立。经济增长放缓得到确认、通胀预期的消弭、风险资产价格的下行以及全球货币政策偏宽松等因素成为债券市场收益率变动的主要原因。</w:t>
      </w:r>
    </w:p>
    <w:p w:rsidR="00AB4D21" w:rsidRDefault="00345560">
      <w:pPr>
        <w:spacing w:before="29" w:line="288" w:lineRule="auto"/>
        <w:ind w:firstLineChars="200" w:firstLine="480"/>
        <w:rPr>
          <w:color w:val="000000"/>
          <w:sz w:val="24"/>
        </w:rPr>
      </w:pPr>
      <w:r>
        <w:rPr>
          <w:color w:val="000000"/>
          <w:sz w:val="24"/>
        </w:rPr>
        <w:t>流动性方面，</w:t>
      </w:r>
      <w:r>
        <w:rPr>
          <w:color w:val="000000"/>
          <w:sz w:val="24"/>
        </w:rPr>
        <w:t>2018</w:t>
      </w:r>
      <w:r>
        <w:rPr>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color w:val="000000"/>
          <w:sz w:val="24"/>
        </w:rPr>
        <w:t>2015</w:t>
      </w:r>
      <w:r>
        <w:rPr>
          <w:color w:val="000000"/>
          <w:sz w:val="24"/>
        </w:rPr>
        <w:t>年末之后开始使用，且隔夜资金回购利率长期维持在</w:t>
      </w:r>
      <w:r>
        <w:rPr>
          <w:color w:val="000000"/>
          <w:sz w:val="24"/>
        </w:rPr>
        <w:t>2%</w:t>
      </w:r>
      <w:r>
        <w:rPr>
          <w:color w:val="000000"/>
          <w:sz w:val="24"/>
        </w:rPr>
        <w:t>附近，预计本次定调短期不会变化，短端利率将维持低位。</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基金操作方面，由于组合规模较小，投资信用债受到一定的限制，组合以投资中短久期的利率债为主。</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AB4D21" w:rsidRDefault="00345560">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年，我们认为受净出口回落、地产投资下滑影响，经济基本面仍有下行的压力。通胀方面预期在</w:t>
      </w:r>
      <w:r>
        <w:rPr>
          <w:color w:val="000000"/>
          <w:sz w:val="24"/>
        </w:rPr>
        <w:t>2019</w:t>
      </w:r>
      <w:r>
        <w:rPr>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D54B59" w:rsidRPr="001358D2" w:rsidRDefault="00D54B59" w:rsidP="001358D2">
      <w:pPr>
        <w:spacing w:before="29" w:line="288" w:lineRule="auto"/>
        <w:ind w:firstLineChars="200" w:firstLine="480"/>
        <w:rPr>
          <w:color w:val="000000"/>
          <w:sz w:val="24"/>
        </w:rPr>
      </w:pPr>
      <w:r w:rsidRPr="001358D2">
        <w:rPr>
          <w:color w:val="000000"/>
          <w:sz w:val="24"/>
        </w:rPr>
        <w:t>我们将密切关注低评级信用债风险的演化、中美贸易战推进以及境内外货币政策变化等因素对市场的影响。在保持组合流动性的前提下积极关注交易窗口，把握适度久期，同时继续关注信用风险，努力为持有人创造稳健的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AB4D21" w:rsidRDefault="00345560">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B4D21" w:rsidRDefault="00345560">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00024D28">
        <w:rPr>
          <w:rFonts w:hint="eastAsia"/>
          <w:color w:val="000000"/>
          <w:sz w:val="24"/>
        </w:rPr>
        <w:t>年度报告正文</w:t>
      </w:r>
      <w:bookmarkStart w:id="40" w:name="_GoBack"/>
      <w:bookmarkEnd w:id="40"/>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作为本基金的托管人，中信银行严格遵守了《证券投资基金法》及其他有关法律法规、基金合同和托管协议的规定，对交银施罗德丰享收益债券型证券投资基金</w:t>
      </w:r>
      <w:r w:rsidRPr="005A1E76">
        <w:rPr>
          <w:color w:val="000000"/>
          <w:sz w:val="24"/>
        </w:rPr>
        <w:t>2018</w:t>
      </w:r>
      <w:r w:rsidRPr="005A1E76">
        <w:rPr>
          <w:color w:val="000000"/>
          <w:sz w:val="24"/>
        </w:rPr>
        <w:t>年度的投资运作，进行了认真、独立的会计核算和必要的投资监督，履行了托管人的义务，不存在任何损害基金份额持有人利益的行为。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丰享收益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交银施罗德丰享收益债券型证券投资基金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交银施罗德丰享收益债券型证券投资基金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777,476.45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287,954.04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6,546.48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5,628.74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40,128,000.00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640,745,500.00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40,128,000.00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640,745,500.00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636,888.86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10,209,188.48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30,104.94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20,456.70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41,579,016.73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651,268,727.96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99,989,530.01</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3,344.61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136,656.66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10,584.77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140,544.88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3,528.26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46,848.32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4,644.43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9,813.54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3,041.50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8,738.55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61,668.52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149,300.45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190,078.23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174,444.02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100,583,878.71</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26,783,125.54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287,409,401.88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14,621,447.17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263,275,447.37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41,404,572.71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550,684,849.25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41,579,016.73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651,268,727.96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2.016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1.052</w:t>
      </w:r>
      <w:r w:rsidR="001A59F9" w:rsidRPr="00E25C2A">
        <w:rPr>
          <w:kern w:val="0"/>
          <w:sz w:val="24"/>
        </w:rPr>
        <w:t>元，基金份额总额</w:t>
      </w:r>
      <w:r w:rsidR="001A59F9" w:rsidRPr="00E25C2A">
        <w:rPr>
          <w:kern w:val="0"/>
          <w:sz w:val="24"/>
        </w:rPr>
        <w:t>26,783,125.54</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13,733,982.68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13,049,142.86</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交银施罗德丰享收益债券型证券投资基金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20,569,546.39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13,451,660.01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18,446,041.11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18,231,646.17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259,647.56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1,006,207.64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17,422,068.12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16,408,840.27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764,325.43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816,598.26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1,922,513.38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-4,653,146.22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1,922,513.38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-4,653,146.22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181,366.03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-235,619.11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19,625.87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108,779.17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2,491,235.04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4,596,226.75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1,238,206.43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2,431,207.59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412,735.47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497,046.54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69,002.96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310,508.34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10,875.00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16,052.47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462,130.06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1,040,901.71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462,130.06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1,040,901.71</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49,596.36</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248,688.76</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300,510.10</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18,078,311.35</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8,855,433.26</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18,078,311.35</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8,855,433.26</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交银施罗德丰享收益债券型证券投资基金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287,409,401.88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263,275,447.37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550,684,849.25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18,078,311.35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18,078,311.35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-260,626,276.34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-245,075,373.51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-505,701,649.85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30,687,216.64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29,428,771.19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60,115,987.83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-291,313,492.98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-274,504,144.70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-565,817,637.68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-21,656,938.04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-21,656,938.04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26,783,125.54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14,621,447.17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41,404,572.71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259,386,490.95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2,038,361.90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261,424,852.85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8,855,433.26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8,855,433.26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28,022,910.93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257,149,737.34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285,172,648.27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1,176,055,836.74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281,774,771.92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1,457,830,608.66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-1,148,032,925.81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-24,625,034.58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-1,172,657,960.39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-4,768,085.13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-4,768,085.13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287,409,401.88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263,275,447.37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550,684,849.25</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AB4D21" w:rsidRDefault="00345560">
      <w:pPr>
        <w:spacing w:before="29" w:line="288" w:lineRule="auto"/>
        <w:ind w:firstLineChars="200" w:firstLine="480"/>
        <w:rPr>
          <w:color w:val="000000"/>
          <w:sz w:val="24"/>
        </w:rPr>
      </w:pPr>
      <w:r>
        <w:rPr>
          <w:color w:val="000000"/>
          <w:sz w:val="24"/>
        </w:rPr>
        <w:t>交银施罗德丰享收益债券型证券投资基金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份基金份额。本基金的基金管理人为交银施罗德基金管理有限公司，基金托管人为中信银行股份有限公司。</w:t>
      </w:r>
      <w:r>
        <w:rPr>
          <w:color w:val="000000"/>
          <w:sz w:val="24"/>
        </w:rPr>
        <w:t xml:space="preserve"> </w:t>
      </w:r>
    </w:p>
    <w:p w:rsidR="00AB4D21" w:rsidRDefault="00345560">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申购费用、赎回费用、销售服务费收取方式的不同，将基金份额分为不同的类别。在投资人申购时收取前端申购费用、赎回时收取赎回费用的，称为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类基金份额的申购。根据《关于交银施罗德丰享收益债券型证券投资基金封闭期结束转为开放式运作并同时增加开通</w:t>
      </w:r>
      <w:r>
        <w:rPr>
          <w:color w:val="000000"/>
          <w:sz w:val="24"/>
        </w:rPr>
        <w:t>A</w:t>
      </w:r>
      <w:r>
        <w:rPr>
          <w:color w:val="000000"/>
          <w:sz w:val="24"/>
        </w:rPr>
        <w:t>类基金份额暨开放基金日常申购、赎回、定期定额投资业务并参与部分销售机构申购费率优惠活动的公告》的相关规定，本基金封闭期自</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w:t>
      </w:r>
      <w:r>
        <w:rPr>
          <w:color w:val="000000"/>
          <w:sz w:val="24"/>
        </w:rPr>
        <w:t>月</w:t>
      </w:r>
      <w:r>
        <w:rPr>
          <w:color w:val="000000"/>
          <w:sz w:val="24"/>
        </w:rPr>
        <w:t>19</w:t>
      </w:r>
      <w:r>
        <w:rPr>
          <w:color w:val="000000"/>
          <w:sz w:val="24"/>
        </w:rPr>
        <w:t>日止，自</w:t>
      </w:r>
      <w:r>
        <w:rPr>
          <w:color w:val="000000"/>
          <w:sz w:val="24"/>
        </w:rPr>
        <w:t>2017</w:t>
      </w:r>
      <w:r>
        <w:rPr>
          <w:color w:val="000000"/>
          <w:sz w:val="24"/>
        </w:rPr>
        <w:t>年</w:t>
      </w:r>
      <w:r>
        <w:rPr>
          <w:color w:val="000000"/>
          <w:sz w:val="24"/>
        </w:rPr>
        <w:t>1</w:t>
      </w:r>
      <w:r>
        <w:rPr>
          <w:color w:val="000000"/>
          <w:sz w:val="24"/>
        </w:rPr>
        <w:t>月</w:t>
      </w:r>
      <w:r>
        <w:rPr>
          <w:color w:val="000000"/>
          <w:sz w:val="24"/>
        </w:rPr>
        <w:t>20</w:t>
      </w:r>
      <w:r>
        <w:rPr>
          <w:color w:val="000000"/>
          <w:sz w:val="24"/>
        </w:rPr>
        <w:t>日起转为开放式运作，自该日起开始办理日常申购、赎回业务，并同时增加开通</w:t>
      </w:r>
      <w:r>
        <w:rPr>
          <w:color w:val="000000"/>
          <w:sz w:val="24"/>
        </w:rPr>
        <w:t>A</w:t>
      </w:r>
      <w:r>
        <w:rPr>
          <w:color w:val="000000"/>
          <w:sz w:val="24"/>
        </w:rPr>
        <w:t>类基金份额。</w:t>
      </w:r>
      <w:r>
        <w:rPr>
          <w:color w:val="000000"/>
          <w:sz w:val="24"/>
        </w:rPr>
        <w:t xml:space="preserve"> </w:t>
      </w:r>
    </w:p>
    <w:p w:rsidR="00AB4D21" w:rsidRDefault="00345560">
      <w:pPr>
        <w:spacing w:before="29" w:line="288" w:lineRule="auto"/>
        <w:ind w:firstLineChars="200" w:firstLine="480"/>
        <w:rPr>
          <w:color w:val="000000"/>
          <w:sz w:val="24"/>
        </w:rPr>
      </w:pPr>
      <w:r>
        <w:rPr>
          <w:color w:val="00000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color w:val="000000"/>
          <w:sz w:val="24"/>
        </w:rPr>
        <w:t>80%</w:t>
      </w:r>
      <w:r>
        <w:rPr>
          <w:color w:val="000000"/>
          <w:sz w:val="24"/>
        </w:rPr>
        <w:t>，但在封闭期结束转开放的前后三个月内，基金投资不受上述债券资产投资比例限制。本基金在开放期内，现金或到期日在一年以内的政府债券的比例合计不低于基金资产净值的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，其中现金不包括结算备付金，存出保证金及应收申购款等。本基金封闭期内投资的业绩比较基准为两年期银行定期存款税后收益率，转为开放式运作后业绩比较基准为中债综合全价指数。</w:t>
      </w:r>
    </w:p>
    <w:p w:rsidR="00AB4D21" w:rsidRDefault="00AB4D21">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AB4D21" w:rsidRDefault="0034556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颁布的《证券投资基金会计核算业务指引》、《交银施罗德丰享收益债券型证券投资基金基金合同》和在财务报表附注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AB4D21" w:rsidRDefault="0034556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B4D21" w:rsidRDefault="0034556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B4D21" w:rsidRDefault="00345560">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B4D21" w:rsidRDefault="0034556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AB4D21" w:rsidRDefault="0034556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AB4D21">
        <w:tc>
          <w:tcPr>
            <w:tcW w:w="5219" w:type="dxa"/>
            <w:vAlign w:val="center"/>
          </w:tcPr>
          <w:p w:rsidR="00AB4D21" w:rsidRDefault="0034556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B4D21" w:rsidRDefault="00345560">
            <w:pPr>
              <w:jc w:val="center"/>
            </w:pPr>
            <w:r>
              <w:rPr>
                <w:color w:val="000000"/>
                <w:sz w:val="24"/>
              </w:rPr>
              <w:t>基金管理人、基金销售机构</w:t>
            </w:r>
          </w:p>
        </w:tc>
      </w:tr>
      <w:tr w:rsidR="00AB4D21">
        <w:tc>
          <w:tcPr>
            <w:tcW w:w="5219" w:type="dxa"/>
            <w:vAlign w:val="center"/>
          </w:tcPr>
          <w:p w:rsidR="00AB4D21" w:rsidRDefault="0034556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B4D21" w:rsidRDefault="00345560">
            <w:pPr>
              <w:jc w:val="center"/>
            </w:pPr>
            <w:r>
              <w:rPr>
                <w:color w:val="000000"/>
                <w:sz w:val="24"/>
              </w:rPr>
              <w:t>基金托管人、基金销售机构</w:t>
            </w:r>
          </w:p>
        </w:tc>
      </w:tr>
      <w:tr w:rsidR="00AB4D21">
        <w:tc>
          <w:tcPr>
            <w:tcW w:w="5219" w:type="dxa"/>
            <w:vAlign w:val="center"/>
          </w:tcPr>
          <w:p w:rsidR="00AB4D21" w:rsidRDefault="0034556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B4D21" w:rsidRDefault="00345560">
            <w:pPr>
              <w:jc w:val="center"/>
            </w:pPr>
            <w:r>
              <w:rPr>
                <w:color w:val="000000"/>
                <w:sz w:val="24"/>
              </w:rPr>
              <w:t>基金管理人的股东、基金销售机构</w:t>
            </w:r>
          </w:p>
        </w:tc>
      </w:tr>
      <w:tr w:rsidR="00AB4D21">
        <w:tc>
          <w:tcPr>
            <w:tcW w:w="5219" w:type="dxa"/>
            <w:vAlign w:val="center"/>
          </w:tcPr>
          <w:p w:rsidR="00AB4D21" w:rsidRDefault="00345560">
            <w:pPr>
              <w:jc w:val="left"/>
            </w:pPr>
            <w:r>
              <w:rPr>
                <w:color w:val="000000"/>
                <w:sz w:val="24"/>
              </w:rPr>
              <w:t>施罗德投资管理有限公司</w:t>
            </w:r>
          </w:p>
        </w:tc>
        <w:tc>
          <w:tcPr>
            <w:tcW w:w="3779" w:type="dxa"/>
            <w:vAlign w:val="center"/>
          </w:tcPr>
          <w:p w:rsidR="00AB4D21" w:rsidRDefault="00345560">
            <w:pPr>
              <w:jc w:val="center"/>
            </w:pPr>
            <w:r>
              <w:rPr>
                <w:color w:val="000000"/>
                <w:sz w:val="24"/>
              </w:rPr>
              <w:t>基金管理人的股东</w:t>
            </w:r>
          </w:p>
        </w:tc>
      </w:tr>
      <w:tr w:rsidR="00AB4D21">
        <w:tc>
          <w:tcPr>
            <w:tcW w:w="5219" w:type="dxa"/>
            <w:vAlign w:val="center"/>
          </w:tcPr>
          <w:p w:rsidR="00AB4D21" w:rsidRDefault="0034556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AB4D21" w:rsidRDefault="00345560">
            <w:pPr>
              <w:jc w:val="center"/>
            </w:pPr>
            <w:r>
              <w:rPr>
                <w:color w:val="000000"/>
                <w:sz w:val="24"/>
              </w:rPr>
              <w:t>基金管理人的股东</w:t>
            </w:r>
          </w:p>
        </w:tc>
      </w:tr>
      <w:tr w:rsidR="00AB4D21">
        <w:tc>
          <w:tcPr>
            <w:tcW w:w="5219" w:type="dxa"/>
            <w:vAlign w:val="center"/>
          </w:tcPr>
          <w:p w:rsidR="00AB4D21" w:rsidRDefault="00345560">
            <w:pPr>
              <w:jc w:val="left"/>
            </w:pPr>
            <w:r>
              <w:rPr>
                <w:color w:val="000000"/>
                <w:sz w:val="24"/>
              </w:rPr>
              <w:t>交银施罗德资产管理有限公司</w:t>
            </w:r>
          </w:p>
        </w:tc>
        <w:tc>
          <w:tcPr>
            <w:tcW w:w="3779" w:type="dxa"/>
            <w:vAlign w:val="center"/>
          </w:tcPr>
          <w:p w:rsidR="00AB4D21" w:rsidRDefault="00345560">
            <w:pPr>
              <w:jc w:val="center"/>
            </w:pPr>
            <w:r>
              <w:rPr>
                <w:color w:val="000000"/>
                <w:sz w:val="24"/>
              </w:rPr>
              <w:t>基金管理人的子公司</w:t>
            </w:r>
          </w:p>
        </w:tc>
      </w:tr>
      <w:tr w:rsidR="00AB4D21">
        <w:tc>
          <w:tcPr>
            <w:tcW w:w="5219" w:type="dxa"/>
            <w:vAlign w:val="center"/>
          </w:tcPr>
          <w:p w:rsidR="00AB4D21" w:rsidRDefault="00345560">
            <w:pPr>
              <w:jc w:val="left"/>
            </w:pPr>
            <w:r>
              <w:rPr>
                <w:color w:val="000000"/>
                <w:sz w:val="24"/>
              </w:rPr>
              <w:t>上海直源投资管理有限公司</w:t>
            </w:r>
          </w:p>
        </w:tc>
        <w:tc>
          <w:tcPr>
            <w:tcW w:w="3779" w:type="dxa"/>
            <w:vAlign w:val="center"/>
          </w:tcPr>
          <w:p w:rsidR="00AB4D21" w:rsidRDefault="00345560">
            <w:pPr>
              <w:jc w:val="center"/>
            </w:pPr>
            <w:r>
              <w:rPr>
                <w:color w:val="000000"/>
                <w:sz w:val="24"/>
              </w:rPr>
              <w:t>受基金管理人控制的公司</w:t>
            </w:r>
          </w:p>
        </w:tc>
      </w:tr>
      <w:tr w:rsidR="00AB4D21">
        <w:tc>
          <w:tcPr>
            <w:tcW w:w="5219" w:type="dxa"/>
            <w:vAlign w:val="center"/>
          </w:tcPr>
          <w:p w:rsidR="00AB4D21" w:rsidRDefault="0034556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AB4D21" w:rsidRDefault="00345560">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1,238,206.43</w:t>
            </w:r>
          </w:p>
        </w:tc>
        <w:tc>
          <w:tcPr>
            <w:tcW w:w="2657" w:type="dxa"/>
            <w:vAlign w:val="center"/>
          </w:tcPr>
          <w:p w:rsidR="001A59F9" w:rsidRPr="00817316" w:rsidRDefault="001A59F9" w:rsidP="00817316">
            <w:pPr>
              <w:spacing w:before="29" w:line="288" w:lineRule="auto"/>
              <w:jc w:val="right"/>
              <w:rPr>
                <w:sz w:val="24"/>
              </w:rPr>
            </w:pPr>
            <w:r w:rsidRPr="00817316">
              <w:rPr>
                <w:sz w:val="24"/>
              </w:rPr>
              <w:t>2,431,207.59</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92,986.94</w:t>
            </w:r>
          </w:p>
        </w:tc>
        <w:tc>
          <w:tcPr>
            <w:tcW w:w="2657" w:type="dxa"/>
            <w:vAlign w:val="center"/>
          </w:tcPr>
          <w:p w:rsidR="001A59F9" w:rsidRPr="00817316" w:rsidRDefault="001A59F9" w:rsidP="00817316">
            <w:pPr>
              <w:spacing w:before="29" w:line="288" w:lineRule="auto"/>
              <w:jc w:val="right"/>
              <w:rPr>
                <w:sz w:val="24"/>
              </w:rPr>
            </w:pPr>
            <w:r w:rsidRPr="00817316">
              <w:rPr>
                <w:sz w:val="24"/>
              </w:rPr>
              <w:t>779,278.45</w:t>
            </w:r>
          </w:p>
        </w:tc>
      </w:tr>
    </w:tbl>
    <w:p w:rsidR="00AB4D21" w:rsidRDefault="00345560">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日，支付基金管理人交银施罗德基金公司的管理人报酬按前一日基金资产净值</w:t>
      </w:r>
      <w:r>
        <w:rPr>
          <w:kern w:val="0"/>
          <w:sz w:val="24"/>
        </w:rPr>
        <w:t>0.80%</w:t>
      </w:r>
      <w:r>
        <w:rPr>
          <w:kern w:val="0"/>
          <w:sz w:val="24"/>
        </w:rPr>
        <w:t>的年费率计提，逐日累计至每月月底，按月支付。其计算公式为：</w:t>
      </w:r>
    </w:p>
    <w:p w:rsidR="00AB4D21" w:rsidRDefault="00345560">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rsidR="00AB4D21" w:rsidRDefault="00345560">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日起，支付基金管理人交银施罗德基金公司的管理人报酬按前一日基金资产净值</w:t>
      </w:r>
      <w:r>
        <w:rPr>
          <w:kern w:val="0"/>
          <w:sz w:val="24"/>
        </w:rPr>
        <w:t>0.50%</w:t>
      </w:r>
      <w:r>
        <w:rPr>
          <w:kern w:val="0"/>
          <w:sz w:val="24"/>
        </w:rPr>
        <w:t>的年费率计提，逐日累计至每月月底，按月支付。其计算公式为：</w:t>
      </w:r>
    </w:p>
    <w:p w:rsidR="00AB4D21" w:rsidRDefault="00345560">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0.50%/ </w:t>
      </w:r>
      <w:r>
        <w:rPr>
          <w:kern w:val="0"/>
          <w:sz w:val="24"/>
        </w:rPr>
        <w:t>当年天数。</w:t>
      </w:r>
    </w:p>
    <w:p w:rsidR="00AB4D21" w:rsidRDefault="00345560">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根据基金份额持有人大会表决通过的《关于交银施罗德丰享收益债券型证券投资基金调整管理费率及基金合同修改有关事项的议案》，自</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日起，支付基金管理人交银施罗德基金公司的管理人报酬按前一日基金资产净值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412,735.47</w:t>
            </w:r>
          </w:p>
        </w:tc>
        <w:tc>
          <w:tcPr>
            <w:tcW w:w="2657" w:type="dxa"/>
            <w:vAlign w:val="center"/>
          </w:tcPr>
          <w:p w:rsidR="001A59F9" w:rsidRPr="00817316" w:rsidRDefault="001A59F9" w:rsidP="00817316">
            <w:pPr>
              <w:spacing w:before="29" w:line="288" w:lineRule="auto"/>
              <w:jc w:val="right"/>
              <w:rPr>
                <w:sz w:val="24"/>
              </w:rPr>
            </w:pPr>
            <w:r w:rsidRPr="00817316">
              <w:rPr>
                <w:sz w:val="24"/>
              </w:rPr>
              <w:t>497,046.54</w:t>
            </w:r>
          </w:p>
        </w:tc>
      </w:tr>
    </w:tbl>
    <w:p w:rsidR="00AB4D21" w:rsidRDefault="00345560">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4</w:t>
      </w:r>
      <w:r>
        <w:rPr>
          <w:kern w:val="0"/>
          <w:sz w:val="24"/>
        </w:rPr>
        <w:t>月</w:t>
      </w:r>
      <w:r>
        <w:rPr>
          <w:kern w:val="0"/>
          <w:sz w:val="24"/>
        </w:rPr>
        <w:t>25</w:t>
      </w:r>
      <w:r>
        <w:rPr>
          <w:kern w:val="0"/>
          <w:sz w:val="24"/>
        </w:rPr>
        <w:t>日，支付基金托管人中信银行的托管费按前一日基金资产净值</w:t>
      </w:r>
      <w:r>
        <w:rPr>
          <w:kern w:val="0"/>
          <w:sz w:val="24"/>
        </w:rPr>
        <w:t>0.15%</w:t>
      </w:r>
      <w:r>
        <w:rPr>
          <w:kern w:val="0"/>
          <w:sz w:val="24"/>
        </w:rPr>
        <w:t>的年费率计提，逐日累计至每月月底，按月支付。其计算公式为：</w:t>
      </w:r>
    </w:p>
    <w:p w:rsidR="00AB4D21" w:rsidRDefault="00345560">
      <w:pPr>
        <w:tabs>
          <w:tab w:val="left" w:pos="426"/>
        </w:tabs>
        <w:spacing w:before="29" w:line="288" w:lineRule="auto"/>
        <w:jc w:val="left"/>
        <w:rPr>
          <w:kern w:val="0"/>
          <w:sz w:val="24"/>
        </w:rPr>
      </w:pPr>
      <w:r>
        <w:rPr>
          <w:kern w:val="0"/>
          <w:sz w:val="24"/>
        </w:rPr>
        <w:t>日托管费＝前一日基金资产净值</w:t>
      </w:r>
      <w:r>
        <w:rPr>
          <w:kern w:val="0"/>
          <w:sz w:val="24"/>
        </w:rPr>
        <w:t xml:space="preserve"> × 0.15%/ </w:t>
      </w:r>
      <w:r>
        <w:rPr>
          <w:kern w:val="0"/>
          <w:sz w:val="24"/>
        </w:rPr>
        <w:t>当年天数。</w:t>
      </w:r>
    </w:p>
    <w:p w:rsidR="00AB4D21" w:rsidRDefault="00345560">
      <w:pPr>
        <w:tabs>
          <w:tab w:val="left" w:pos="426"/>
        </w:tabs>
        <w:spacing w:before="29" w:line="288" w:lineRule="auto"/>
        <w:jc w:val="left"/>
        <w:rPr>
          <w:kern w:val="0"/>
          <w:sz w:val="24"/>
        </w:rPr>
      </w:pPr>
      <w:r>
        <w:rPr>
          <w:kern w:val="0"/>
          <w:sz w:val="24"/>
        </w:rPr>
        <w:t>根据基金份额持有人大会表决通过的《关于交银施罗德丰享收益债券型证券投资基金调整管理费率、托管费率、</w:t>
      </w:r>
      <w:r>
        <w:rPr>
          <w:kern w:val="0"/>
          <w:sz w:val="24"/>
        </w:rPr>
        <w:t>A</w:t>
      </w:r>
      <w:r>
        <w:rPr>
          <w:kern w:val="0"/>
          <w:sz w:val="24"/>
        </w:rPr>
        <w:t>类基金份额的赎回费率及基金合同修改有关事项的议案》，自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日起，支付基金托管人中信银行的托管费按前一日基金资产净值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0.10%/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B4D21">
        <w:tc>
          <w:tcPr>
            <w:tcW w:w="2045" w:type="dxa"/>
            <w:vAlign w:val="center"/>
          </w:tcPr>
          <w:p w:rsidR="00AB4D21" w:rsidRDefault="00345560">
            <w:pPr>
              <w:jc w:val="left"/>
            </w:pPr>
            <w:r>
              <w:rPr>
                <w:sz w:val="24"/>
              </w:rPr>
              <w:t>中信银行</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4,480.40</w:t>
            </w:r>
          </w:p>
        </w:tc>
        <w:tc>
          <w:tcPr>
            <w:tcW w:w="1889" w:type="dxa"/>
            <w:vAlign w:val="center"/>
          </w:tcPr>
          <w:p w:rsidR="00AB4D21" w:rsidRDefault="00345560">
            <w:pPr>
              <w:jc w:val="right"/>
            </w:pPr>
            <w:r>
              <w:rPr>
                <w:sz w:val="24"/>
              </w:rPr>
              <w:t>4,480.40</w:t>
            </w:r>
          </w:p>
        </w:tc>
      </w:tr>
      <w:tr w:rsidR="00AB4D21">
        <w:tc>
          <w:tcPr>
            <w:tcW w:w="2045" w:type="dxa"/>
            <w:vAlign w:val="center"/>
          </w:tcPr>
          <w:p w:rsidR="00AB4D21" w:rsidRDefault="00345560">
            <w:pPr>
              <w:jc w:val="left"/>
            </w:pPr>
            <w:r>
              <w:rPr>
                <w:sz w:val="24"/>
              </w:rPr>
              <w:t>交通银行</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3,123.82</w:t>
            </w:r>
          </w:p>
        </w:tc>
        <w:tc>
          <w:tcPr>
            <w:tcW w:w="1889" w:type="dxa"/>
            <w:vAlign w:val="center"/>
          </w:tcPr>
          <w:p w:rsidR="00AB4D21" w:rsidRDefault="00345560">
            <w:pPr>
              <w:jc w:val="right"/>
            </w:pPr>
            <w:r>
              <w:rPr>
                <w:sz w:val="24"/>
              </w:rPr>
              <w:t>3,123.82</w:t>
            </w:r>
          </w:p>
        </w:tc>
      </w:tr>
      <w:tr w:rsidR="00AB4D21">
        <w:tc>
          <w:tcPr>
            <w:tcW w:w="2045" w:type="dxa"/>
            <w:vAlign w:val="center"/>
          </w:tcPr>
          <w:p w:rsidR="00AB4D21" w:rsidRDefault="00345560">
            <w:pPr>
              <w:jc w:val="left"/>
            </w:pPr>
            <w:r>
              <w:rPr>
                <w:sz w:val="24"/>
              </w:rPr>
              <w:t>交银施罗德基金公司</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115.06</w:t>
            </w:r>
          </w:p>
        </w:tc>
        <w:tc>
          <w:tcPr>
            <w:tcW w:w="1889" w:type="dxa"/>
            <w:vAlign w:val="center"/>
          </w:tcPr>
          <w:p w:rsidR="00AB4D21" w:rsidRDefault="00345560">
            <w:pPr>
              <w:jc w:val="right"/>
            </w:pPr>
            <w:r>
              <w:rPr>
                <w:sz w:val="24"/>
              </w:rPr>
              <w:t>115.06</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7,719.28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7,719.28</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B4D21">
        <w:tc>
          <w:tcPr>
            <w:tcW w:w="2045" w:type="dxa"/>
            <w:vAlign w:val="center"/>
          </w:tcPr>
          <w:p w:rsidR="00AB4D21" w:rsidRDefault="00345560">
            <w:pPr>
              <w:jc w:val="left"/>
            </w:pPr>
            <w:r>
              <w:rPr>
                <w:sz w:val="24"/>
              </w:rPr>
              <w:t>中信银行</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21,323.14</w:t>
            </w:r>
          </w:p>
        </w:tc>
        <w:tc>
          <w:tcPr>
            <w:tcW w:w="1889" w:type="dxa"/>
            <w:vAlign w:val="center"/>
          </w:tcPr>
          <w:p w:rsidR="00AB4D21" w:rsidRDefault="00345560">
            <w:pPr>
              <w:jc w:val="right"/>
            </w:pPr>
            <w:r>
              <w:rPr>
                <w:sz w:val="24"/>
              </w:rPr>
              <w:t>21,323.14</w:t>
            </w:r>
          </w:p>
        </w:tc>
      </w:tr>
      <w:tr w:rsidR="00AB4D21">
        <w:tc>
          <w:tcPr>
            <w:tcW w:w="2045" w:type="dxa"/>
            <w:vAlign w:val="center"/>
          </w:tcPr>
          <w:p w:rsidR="00AB4D21" w:rsidRDefault="00345560">
            <w:pPr>
              <w:jc w:val="left"/>
            </w:pPr>
            <w:r>
              <w:rPr>
                <w:sz w:val="24"/>
              </w:rPr>
              <w:t>交通银行</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8,688.72</w:t>
            </w:r>
          </w:p>
        </w:tc>
        <w:tc>
          <w:tcPr>
            <w:tcW w:w="1889" w:type="dxa"/>
            <w:vAlign w:val="center"/>
          </w:tcPr>
          <w:p w:rsidR="00AB4D21" w:rsidRDefault="00345560">
            <w:pPr>
              <w:jc w:val="right"/>
            </w:pPr>
            <w:r>
              <w:rPr>
                <w:sz w:val="24"/>
              </w:rPr>
              <w:t>8,688.72</w:t>
            </w:r>
          </w:p>
        </w:tc>
      </w:tr>
      <w:tr w:rsidR="00AB4D21">
        <w:tc>
          <w:tcPr>
            <w:tcW w:w="2045" w:type="dxa"/>
            <w:vAlign w:val="center"/>
          </w:tcPr>
          <w:p w:rsidR="00AB4D21" w:rsidRDefault="00345560">
            <w:pPr>
              <w:jc w:val="left"/>
            </w:pPr>
            <w:r>
              <w:rPr>
                <w:sz w:val="24"/>
              </w:rPr>
              <w:t>交银施罗德基金公司</w:t>
            </w:r>
          </w:p>
        </w:tc>
        <w:tc>
          <w:tcPr>
            <w:tcW w:w="2455" w:type="dxa"/>
            <w:vAlign w:val="center"/>
          </w:tcPr>
          <w:p w:rsidR="00AB4D21" w:rsidRDefault="00345560">
            <w:pPr>
              <w:jc w:val="right"/>
            </w:pPr>
            <w:r>
              <w:rPr>
                <w:sz w:val="24"/>
              </w:rPr>
              <w:t>-</w:t>
            </w:r>
          </w:p>
        </w:tc>
        <w:tc>
          <w:tcPr>
            <w:tcW w:w="2609" w:type="dxa"/>
            <w:vAlign w:val="center"/>
          </w:tcPr>
          <w:p w:rsidR="00AB4D21" w:rsidRDefault="00345560">
            <w:pPr>
              <w:jc w:val="right"/>
            </w:pPr>
            <w:r>
              <w:rPr>
                <w:sz w:val="24"/>
              </w:rPr>
              <w:t>38,835.46</w:t>
            </w:r>
          </w:p>
        </w:tc>
        <w:tc>
          <w:tcPr>
            <w:tcW w:w="1889" w:type="dxa"/>
            <w:vAlign w:val="center"/>
          </w:tcPr>
          <w:p w:rsidR="00AB4D21" w:rsidRDefault="00345560">
            <w:pPr>
              <w:jc w:val="right"/>
            </w:pPr>
            <w:r>
              <w:rPr>
                <w:sz w:val="24"/>
              </w:rPr>
              <w:t>38,835.46</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68,847.32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68,847.32</w:t>
            </w:r>
          </w:p>
        </w:tc>
      </w:tr>
    </w:tbl>
    <w:p w:rsidR="00AB4D21" w:rsidRDefault="00345560">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AB4D21" w:rsidRDefault="00345560">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AB4D21" w:rsidRDefault="00345560">
      <w:pPr>
        <w:tabs>
          <w:tab w:val="left" w:pos="426"/>
        </w:tabs>
        <w:spacing w:before="29" w:line="288" w:lineRule="auto"/>
        <w:jc w:val="left"/>
        <w:rPr>
          <w:kern w:val="0"/>
          <w:sz w:val="24"/>
        </w:rPr>
      </w:pP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本基金的基金管理人于本基金本报告期内及上年度可比期间未运用固有资金投资本基金。</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本报告期末及上年度末除基金管理人以外的其他关联方未投资本基金。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AB4D21">
        <w:tc>
          <w:tcPr>
            <w:tcW w:w="2266" w:type="dxa"/>
            <w:vAlign w:val="center"/>
          </w:tcPr>
          <w:p w:rsidR="00AB4D21" w:rsidRDefault="00345560">
            <w:pPr>
              <w:jc w:val="left"/>
            </w:pPr>
            <w:r>
              <w:rPr>
                <w:szCs w:val="21"/>
              </w:rPr>
              <w:t>中信银行</w:t>
            </w:r>
          </w:p>
        </w:tc>
        <w:tc>
          <w:tcPr>
            <w:tcW w:w="1683" w:type="dxa"/>
            <w:vAlign w:val="center"/>
          </w:tcPr>
          <w:p w:rsidR="00AB4D21" w:rsidRDefault="00345560">
            <w:pPr>
              <w:jc w:val="right"/>
            </w:pPr>
            <w:r>
              <w:rPr>
                <w:szCs w:val="21"/>
              </w:rPr>
              <w:t>777,476.45</w:t>
            </w:r>
          </w:p>
        </w:tc>
        <w:tc>
          <w:tcPr>
            <w:tcW w:w="1683" w:type="dxa"/>
            <w:vAlign w:val="center"/>
          </w:tcPr>
          <w:p w:rsidR="00AB4D21" w:rsidRDefault="00345560">
            <w:pPr>
              <w:jc w:val="right"/>
            </w:pPr>
            <w:r>
              <w:rPr>
                <w:szCs w:val="21"/>
              </w:rPr>
              <w:t>258,834.98</w:t>
            </w:r>
          </w:p>
        </w:tc>
        <w:tc>
          <w:tcPr>
            <w:tcW w:w="1683" w:type="dxa"/>
            <w:vAlign w:val="center"/>
          </w:tcPr>
          <w:p w:rsidR="00AB4D21" w:rsidRDefault="00345560">
            <w:pPr>
              <w:jc w:val="right"/>
            </w:pPr>
            <w:r>
              <w:rPr>
                <w:szCs w:val="21"/>
              </w:rPr>
              <w:t>287,954.04</w:t>
            </w:r>
          </w:p>
        </w:tc>
        <w:tc>
          <w:tcPr>
            <w:tcW w:w="1683" w:type="dxa"/>
            <w:vAlign w:val="center"/>
          </w:tcPr>
          <w:p w:rsidR="00AB4D21" w:rsidRDefault="00345560">
            <w:pPr>
              <w:jc w:val="right"/>
            </w:pPr>
            <w:r>
              <w:rPr>
                <w:szCs w:val="21"/>
              </w:rPr>
              <w:t>149,267.79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本基金本报告期及上年度可比期间无须作说明的其他关联交易事项。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AB4D21" w:rsidRDefault="00345560">
      <w:pPr>
        <w:spacing w:before="29" w:line="288" w:lineRule="auto"/>
        <w:ind w:firstLineChars="200" w:firstLine="480"/>
        <w:rPr>
          <w:color w:val="000000"/>
          <w:sz w:val="24"/>
        </w:rPr>
      </w:pPr>
      <w:r>
        <w:rPr>
          <w:color w:val="000000"/>
          <w:sz w:val="24"/>
        </w:rPr>
        <w:t>(1)</w:t>
      </w:r>
      <w:r>
        <w:rPr>
          <w:color w:val="000000"/>
          <w:sz w:val="24"/>
        </w:rPr>
        <w:t>公允价值</w:t>
      </w:r>
    </w:p>
    <w:p w:rsidR="00AB4D21" w:rsidRDefault="0034556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B4D21" w:rsidRDefault="0034556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B4D21" w:rsidRDefault="00345560">
      <w:pPr>
        <w:spacing w:before="29" w:line="288" w:lineRule="auto"/>
        <w:ind w:firstLineChars="200" w:firstLine="480"/>
        <w:rPr>
          <w:color w:val="000000"/>
          <w:sz w:val="24"/>
        </w:rPr>
      </w:pPr>
      <w:r>
        <w:rPr>
          <w:color w:val="000000"/>
          <w:sz w:val="24"/>
        </w:rPr>
        <w:t>第一层次：相同资产或负债在活跃市场上未经调整的报价。</w:t>
      </w:r>
    </w:p>
    <w:p w:rsidR="00AB4D21" w:rsidRDefault="0034556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B4D21" w:rsidRDefault="00345560">
      <w:pPr>
        <w:spacing w:before="29" w:line="288" w:lineRule="auto"/>
        <w:ind w:firstLineChars="200" w:firstLine="480"/>
        <w:rPr>
          <w:color w:val="000000"/>
          <w:sz w:val="24"/>
        </w:rPr>
      </w:pPr>
      <w:r>
        <w:rPr>
          <w:color w:val="000000"/>
          <w:sz w:val="24"/>
        </w:rPr>
        <w:t>第三层次：相关资产或负债的不可观察输入值。</w:t>
      </w:r>
    </w:p>
    <w:p w:rsidR="00AB4D21" w:rsidRDefault="0034556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B4D21" w:rsidRDefault="0034556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B4D21" w:rsidRDefault="0034556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40,128,000.00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640,745,500.00</w:t>
      </w:r>
      <w:r>
        <w:rPr>
          <w:color w:val="000000"/>
          <w:sz w:val="24"/>
        </w:rPr>
        <w:t>元，无第一或第三层次</w:t>
      </w:r>
      <w:r>
        <w:rPr>
          <w:color w:val="000000"/>
          <w:sz w:val="24"/>
        </w:rPr>
        <w:t>)</w:t>
      </w:r>
      <w:r>
        <w:rPr>
          <w:color w:val="000000"/>
          <w:sz w:val="24"/>
        </w:rPr>
        <w:t>。</w:t>
      </w:r>
    </w:p>
    <w:p w:rsidR="00AB4D21" w:rsidRDefault="0034556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B4D21" w:rsidRDefault="0034556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B4D21" w:rsidRDefault="00345560">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AB4D21" w:rsidRDefault="0034556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B4D21" w:rsidRDefault="00345560">
      <w:pPr>
        <w:spacing w:before="29" w:line="288" w:lineRule="auto"/>
        <w:ind w:firstLineChars="200" w:firstLine="480"/>
        <w:rPr>
          <w:color w:val="000000"/>
          <w:sz w:val="24"/>
        </w:rPr>
      </w:pPr>
      <w:r>
        <w:rPr>
          <w:color w:val="000000"/>
          <w:sz w:val="24"/>
        </w:rPr>
        <w:t>无。</w:t>
      </w:r>
    </w:p>
    <w:p w:rsidR="00AB4D21" w:rsidRDefault="0034556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B4D21" w:rsidRDefault="0034556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B4D21" w:rsidRDefault="0034556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B4D21" w:rsidRDefault="0034556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B4D21" w:rsidRDefault="00345560">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D92A8E">
      <w:pPr>
        <w:spacing w:before="29" w:line="288" w:lineRule="auto"/>
        <w:ind w:firstLineChars="200" w:firstLine="480"/>
        <w:rPr>
          <w:color w:val="000000"/>
          <w:sz w:val="24"/>
        </w:rPr>
      </w:pP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40,128,000.00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96.51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40,128,000.00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96.51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777,476.45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1.87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673,540.28</w:t>
            </w:r>
          </w:p>
        </w:tc>
        <w:tc>
          <w:tcPr>
            <w:tcW w:w="1980" w:type="dxa"/>
            <w:vAlign w:val="center"/>
          </w:tcPr>
          <w:p w:rsidR="001E6CEE" w:rsidRPr="000008D1" w:rsidRDefault="001E6CEE" w:rsidP="00026C9C">
            <w:pPr>
              <w:spacing w:line="360" w:lineRule="auto"/>
              <w:jc w:val="right"/>
              <w:rPr>
                <w:sz w:val="24"/>
              </w:rPr>
            </w:pPr>
            <w:r w:rsidRPr="000008D1">
              <w:rPr>
                <w:sz w:val="24"/>
              </w:rPr>
              <w:t>1.62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41,579,016.73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40,128,000.00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96.92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40,128,000.00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96.92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40,128,000.00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96.92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AB4D21">
        <w:tc>
          <w:tcPr>
            <w:tcW w:w="1320" w:type="dxa"/>
            <w:vAlign w:val="center"/>
          </w:tcPr>
          <w:p w:rsidR="00AB4D21" w:rsidRDefault="00345560">
            <w:pPr>
              <w:jc w:val="center"/>
            </w:pPr>
            <w:r>
              <w:rPr>
                <w:color w:val="000000"/>
                <w:sz w:val="24"/>
              </w:rPr>
              <w:t>1</w:t>
            </w:r>
          </w:p>
        </w:tc>
        <w:tc>
          <w:tcPr>
            <w:tcW w:w="1382" w:type="dxa"/>
            <w:vAlign w:val="center"/>
          </w:tcPr>
          <w:p w:rsidR="00AB4D21" w:rsidRDefault="00345560">
            <w:pPr>
              <w:jc w:val="center"/>
            </w:pPr>
            <w:r>
              <w:rPr>
                <w:color w:val="000000"/>
                <w:sz w:val="24"/>
              </w:rPr>
              <w:t>180209</w:t>
            </w:r>
          </w:p>
        </w:tc>
        <w:tc>
          <w:tcPr>
            <w:tcW w:w="1353" w:type="dxa"/>
            <w:vAlign w:val="center"/>
          </w:tcPr>
          <w:p w:rsidR="00AB4D21" w:rsidRDefault="00345560">
            <w:pPr>
              <w:jc w:val="center"/>
            </w:pPr>
            <w:r>
              <w:rPr>
                <w:color w:val="000000"/>
                <w:sz w:val="24"/>
              </w:rPr>
              <w:t>18</w:t>
            </w:r>
            <w:r>
              <w:rPr>
                <w:color w:val="000000"/>
                <w:sz w:val="24"/>
              </w:rPr>
              <w:t>国开</w:t>
            </w:r>
            <w:r>
              <w:rPr>
                <w:color w:val="000000"/>
                <w:sz w:val="24"/>
              </w:rPr>
              <w:t>09</w:t>
            </w:r>
          </w:p>
        </w:tc>
        <w:tc>
          <w:tcPr>
            <w:tcW w:w="1505" w:type="dxa"/>
            <w:vAlign w:val="center"/>
          </w:tcPr>
          <w:p w:rsidR="00AB4D21" w:rsidRDefault="00345560">
            <w:pPr>
              <w:jc w:val="right"/>
            </w:pPr>
            <w:r>
              <w:rPr>
                <w:color w:val="000000"/>
                <w:sz w:val="24"/>
              </w:rPr>
              <w:t>400,000</w:t>
            </w:r>
          </w:p>
        </w:tc>
        <w:tc>
          <w:tcPr>
            <w:tcW w:w="1737" w:type="dxa"/>
            <w:vAlign w:val="center"/>
          </w:tcPr>
          <w:p w:rsidR="00AB4D21" w:rsidRDefault="00345560">
            <w:pPr>
              <w:jc w:val="right"/>
            </w:pPr>
            <w:r>
              <w:rPr>
                <w:color w:val="000000"/>
                <w:sz w:val="24"/>
              </w:rPr>
              <w:t>40,128,000.00</w:t>
            </w:r>
          </w:p>
        </w:tc>
        <w:tc>
          <w:tcPr>
            <w:tcW w:w="1701" w:type="dxa"/>
            <w:vAlign w:val="center"/>
          </w:tcPr>
          <w:p w:rsidR="00AB4D21" w:rsidRDefault="00345560">
            <w:pPr>
              <w:jc w:val="right"/>
            </w:pPr>
            <w:r>
              <w:rPr>
                <w:color w:val="000000"/>
                <w:sz w:val="24"/>
              </w:rPr>
              <w:t>96.92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6,546.48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636,888.86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30,104.94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673,540.28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交银丰享收益债券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3,451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3,979.71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13,733,982.68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交银丰享收益债券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53,045.30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13,049,142.86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3,697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7,244.56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26,783,125.54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30.13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30.13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交银丰享收益债券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交银丰享收益债券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交银丰享收益债券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1</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w:t>
            </w:r>
          </w:p>
        </w:tc>
        <w:tc>
          <w:tcPr>
            <w:tcW w:w="1615" w:type="pct"/>
            <w:vAlign w:val="center"/>
          </w:tcPr>
          <w:p w:rsidR="00703495" w:rsidRPr="009440E4" w:rsidRDefault="00703495" w:rsidP="009440E4">
            <w:pPr>
              <w:spacing w:before="29" w:line="288" w:lineRule="auto"/>
              <w:jc w:val="center"/>
              <w:rPr>
                <w:sz w:val="24"/>
              </w:rPr>
            </w:pPr>
            <w:r w:rsidRPr="009440E4">
              <w:rPr>
                <w:sz w:val="24"/>
              </w:rPr>
              <w:t>259,386,490.95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260,425,742.53</w:t>
            </w:r>
          </w:p>
        </w:tc>
        <w:tc>
          <w:tcPr>
            <w:tcW w:w="1615" w:type="pct"/>
            <w:vAlign w:val="bottom"/>
          </w:tcPr>
          <w:p w:rsidR="00703495" w:rsidRPr="009440E4" w:rsidRDefault="00703495" w:rsidP="009440E4">
            <w:pPr>
              <w:spacing w:before="29" w:line="288" w:lineRule="auto"/>
              <w:jc w:val="center"/>
              <w:rPr>
                <w:sz w:val="24"/>
              </w:rPr>
            </w:pPr>
            <w:r w:rsidRPr="009440E4">
              <w:rPr>
                <w:sz w:val="24"/>
              </w:rPr>
              <w:t>26,983,659.35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28,432,098.14</w:t>
            </w:r>
          </w:p>
        </w:tc>
        <w:tc>
          <w:tcPr>
            <w:tcW w:w="1615" w:type="pct"/>
            <w:vAlign w:val="bottom"/>
          </w:tcPr>
          <w:p w:rsidR="00703495" w:rsidRPr="009440E4" w:rsidRDefault="00703495" w:rsidP="009440E4">
            <w:pPr>
              <w:spacing w:before="29" w:line="288" w:lineRule="auto"/>
              <w:jc w:val="center"/>
              <w:rPr>
                <w:sz w:val="24"/>
              </w:rPr>
            </w:pPr>
            <w:r w:rsidRPr="009440E4">
              <w:rPr>
                <w:sz w:val="24"/>
              </w:rPr>
              <w:t>2,255,118.50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275,123,857.99</w:t>
            </w:r>
          </w:p>
        </w:tc>
        <w:tc>
          <w:tcPr>
            <w:tcW w:w="1615" w:type="pct"/>
            <w:vAlign w:val="bottom"/>
          </w:tcPr>
          <w:p w:rsidR="00703495" w:rsidRPr="009440E4" w:rsidRDefault="00703495" w:rsidP="009440E4">
            <w:pPr>
              <w:spacing w:before="29" w:line="288" w:lineRule="auto"/>
              <w:jc w:val="center"/>
              <w:rPr>
                <w:sz w:val="24"/>
              </w:rPr>
            </w:pPr>
            <w:r w:rsidRPr="009440E4">
              <w:rPr>
                <w:sz w:val="24"/>
              </w:rPr>
              <w:t>16,189,634.99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13,733,982.68</w:t>
            </w:r>
          </w:p>
        </w:tc>
        <w:tc>
          <w:tcPr>
            <w:tcW w:w="1615" w:type="pct"/>
            <w:vAlign w:val="center"/>
          </w:tcPr>
          <w:p w:rsidR="00703495" w:rsidRPr="009440E4" w:rsidRDefault="00703495" w:rsidP="009440E4">
            <w:pPr>
              <w:spacing w:before="29" w:line="288" w:lineRule="auto"/>
              <w:jc w:val="center"/>
              <w:rPr>
                <w:sz w:val="24"/>
              </w:rPr>
            </w:pPr>
            <w:r w:rsidRPr="009440E4">
              <w:rPr>
                <w:sz w:val="24"/>
              </w:rPr>
              <w:t>13,049,142.86</w:t>
            </w:r>
          </w:p>
        </w:tc>
      </w:tr>
    </w:tbl>
    <w:p w:rsidR="00AB4D21" w:rsidRDefault="0034556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本基金管理人于</w:t>
      </w:r>
      <w:r w:rsidRPr="00FF415B">
        <w:rPr>
          <w:color w:val="000000"/>
          <w:sz w:val="24"/>
        </w:rPr>
        <w:t>2018</w:t>
      </w:r>
      <w:r w:rsidRPr="00FF415B">
        <w:rPr>
          <w:color w:val="000000"/>
          <w:sz w:val="24"/>
        </w:rPr>
        <w:t>年</w:t>
      </w:r>
      <w:r w:rsidRPr="00FF415B">
        <w:rPr>
          <w:color w:val="000000"/>
          <w:sz w:val="24"/>
        </w:rPr>
        <w:t>7</w:t>
      </w:r>
      <w:r w:rsidRPr="00FF415B">
        <w:rPr>
          <w:color w:val="000000"/>
          <w:sz w:val="24"/>
        </w:rPr>
        <w:t>月</w:t>
      </w:r>
      <w:r w:rsidRPr="00FF415B">
        <w:rPr>
          <w:color w:val="000000"/>
          <w:sz w:val="24"/>
        </w:rPr>
        <w:t>2</w:t>
      </w:r>
      <w:r w:rsidRPr="00FF415B">
        <w:rPr>
          <w:color w:val="000000"/>
          <w:sz w:val="24"/>
        </w:rPr>
        <w:t>日起至</w:t>
      </w:r>
      <w:r w:rsidRPr="00FF415B">
        <w:rPr>
          <w:color w:val="000000"/>
          <w:sz w:val="24"/>
        </w:rPr>
        <w:t>2018</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w:t>
      </w:r>
      <w:r w:rsidRPr="00FF415B">
        <w:rPr>
          <w:color w:val="000000"/>
          <w:sz w:val="24"/>
        </w:rPr>
        <w:t>17</w:t>
      </w:r>
      <w:r w:rsidRPr="00FF415B">
        <w:rPr>
          <w:color w:val="000000"/>
          <w:sz w:val="24"/>
        </w:rPr>
        <w:t>：</w:t>
      </w:r>
      <w:r w:rsidRPr="00FF415B">
        <w:rPr>
          <w:color w:val="000000"/>
          <w:sz w:val="24"/>
        </w:rPr>
        <w:t>00</w:t>
      </w:r>
      <w:r w:rsidRPr="00FF415B">
        <w:rPr>
          <w:color w:val="000000"/>
          <w:sz w:val="24"/>
        </w:rPr>
        <w:t>止以通讯方式召开本基金的基金份额持有人大会，就本基金基金合同修改有关事项的议案进行表决。根据基金份额持有人大会的决议，本基金管理人修改了本基金的收益分配原则，并相应修改基金合同和托管协议。本基金管理人将在更新基金招募说明书时，对上述相关内容进行相应修订。本次基金份额持有人大会决议于</w:t>
      </w:r>
      <w:r w:rsidRPr="00FF415B">
        <w:rPr>
          <w:color w:val="000000"/>
          <w:sz w:val="24"/>
        </w:rPr>
        <w:t>2018</w:t>
      </w:r>
      <w:r w:rsidRPr="00FF415B">
        <w:rPr>
          <w:color w:val="000000"/>
          <w:sz w:val="24"/>
        </w:rPr>
        <w:t>年</w:t>
      </w:r>
      <w:r w:rsidRPr="00FF415B">
        <w:rPr>
          <w:color w:val="000000"/>
          <w:sz w:val="24"/>
        </w:rPr>
        <w:t>8</w:t>
      </w:r>
      <w:r w:rsidRPr="00FF415B">
        <w:rPr>
          <w:color w:val="000000"/>
          <w:sz w:val="24"/>
        </w:rPr>
        <w:t>月</w:t>
      </w:r>
      <w:r w:rsidRPr="00FF415B">
        <w:rPr>
          <w:color w:val="000000"/>
          <w:sz w:val="24"/>
        </w:rPr>
        <w:t>2</w:t>
      </w:r>
      <w:r w:rsidRPr="00FF415B">
        <w:rPr>
          <w:color w:val="000000"/>
          <w:sz w:val="24"/>
        </w:rPr>
        <w:t>日生效，自本次基金份额持有人大会决议公告之日即</w:t>
      </w:r>
      <w:r w:rsidRPr="00FF415B">
        <w:rPr>
          <w:color w:val="000000"/>
          <w:sz w:val="24"/>
        </w:rPr>
        <w:t>2018</w:t>
      </w:r>
      <w:r w:rsidRPr="00FF415B">
        <w:rPr>
          <w:color w:val="000000"/>
          <w:sz w:val="24"/>
        </w:rPr>
        <w:t>年</w:t>
      </w:r>
      <w:r w:rsidRPr="00FF415B">
        <w:rPr>
          <w:color w:val="000000"/>
          <w:sz w:val="24"/>
        </w:rPr>
        <w:t>8</w:t>
      </w:r>
      <w:r w:rsidRPr="00FF415B">
        <w:rPr>
          <w:color w:val="000000"/>
          <w:sz w:val="24"/>
        </w:rPr>
        <w:t>月</w:t>
      </w:r>
      <w:r w:rsidRPr="00FF415B">
        <w:rPr>
          <w:color w:val="000000"/>
          <w:sz w:val="24"/>
        </w:rPr>
        <w:t>3</w:t>
      </w:r>
      <w:r w:rsidRPr="00FF415B">
        <w:rPr>
          <w:color w:val="000000"/>
          <w:sz w:val="24"/>
        </w:rPr>
        <w:t>日起，本基金执行修改后的基金收益分配原则。详情请查阅本基金管理人于</w:t>
      </w:r>
      <w:r w:rsidRPr="00FF415B">
        <w:rPr>
          <w:color w:val="000000"/>
          <w:sz w:val="24"/>
        </w:rPr>
        <w:t>2018</w:t>
      </w:r>
      <w:r w:rsidRPr="00FF415B">
        <w:rPr>
          <w:color w:val="000000"/>
          <w:sz w:val="24"/>
        </w:rPr>
        <w:t>年</w:t>
      </w:r>
      <w:r w:rsidRPr="00FF415B">
        <w:rPr>
          <w:color w:val="000000"/>
          <w:sz w:val="24"/>
        </w:rPr>
        <w:t>8</w:t>
      </w:r>
      <w:r w:rsidRPr="00FF415B">
        <w:rPr>
          <w:color w:val="000000"/>
          <w:sz w:val="24"/>
        </w:rPr>
        <w:t>月</w:t>
      </w:r>
      <w:r w:rsidRPr="00FF415B">
        <w:rPr>
          <w:color w:val="000000"/>
          <w:sz w:val="24"/>
        </w:rPr>
        <w:t>3</w:t>
      </w:r>
      <w:r w:rsidRPr="00FF415B">
        <w:rPr>
          <w:color w:val="000000"/>
          <w:sz w:val="24"/>
        </w:rPr>
        <w:t>日发布的《交银施罗德基金管理有限公司关于交银施罗德丰享收益债券型证券投资基金基金份额持有人大会表决结果暨决议生效的公告》。</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AB4D21" w:rsidRDefault="0034556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B4D21" w:rsidRDefault="00345560">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B4D21" w:rsidRDefault="00345560">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AB4D21" w:rsidRDefault="0034556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B4D21" w:rsidRDefault="00345560">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AB4D21" w:rsidRDefault="0034556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AB4D21">
        <w:tc>
          <w:tcPr>
            <w:tcW w:w="1559" w:type="dxa"/>
            <w:vAlign w:val="center"/>
          </w:tcPr>
          <w:p w:rsidR="00AB4D21" w:rsidRDefault="00345560">
            <w:pPr>
              <w:jc w:val="left"/>
            </w:pPr>
            <w:r>
              <w:rPr>
                <w:color w:val="000000"/>
                <w:szCs w:val="21"/>
              </w:rPr>
              <w:t>安信证券股份有限公司</w:t>
            </w:r>
          </w:p>
        </w:tc>
        <w:tc>
          <w:tcPr>
            <w:tcW w:w="779" w:type="dxa"/>
            <w:vAlign w:val="center"/>
          </w:tcPr>
          <w:p w:rsidR="00AB4D21" w:rsidRDefault="00345560">
            <w:pPr>
              <w:jc w:val="right"/>
            </w:pPr>
            <w:r>
              <w:rPr>
                <w:color w:val="000000"/>
                <w:szCs w:val="21"/>
              </w:rPr>
              <w:t>2</w:t>
            </w:r>
          </w:p>
        </w:tc>
        <w:tc>
          <w:tcPr>
            <w:tcW w:w="180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62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080" w:type="dxa"/>
            <w:vAlign w:val="center"/>
          </w:tcPr>
          <w:p w:rsidR="00AB4D21" w:rsidRDefault="00345560">
            <w:pPr>
              <w:jc w:val="left"/>
            </w:pPr>
            <w:r>
              <w:rPr>
                <w:color w:val="000000"/>
                <w:szCs w:val="21"/>
              </w:rPr>
              <w:t>-</w:t>
            </w:r>
          </w:p>
        </w:tc>
      </w:tr>
      <w:tr w:rsidR="00AB4D21">
        <w:tc>
          <w:tcPr>
            <w:tcW w:w="1559" w:type="dxa"/>
            <w:vAlign w:val="center"/>
          </w:tcPr>
          <w:p w:rsidR="00AB4D21" w:rsidRDefault="00345560">
            <w:pPr>
              <w:jc w:val="left"/>
            </w:pPr>
            <w:r>
              <w:rPr>
                <w:color w:val="000000"/>
                <w:szCs w:val="21"/>
              </w:rPr>
              <w:t>中信证券股份有限公司</w:t>
            </w:r>
          </w:p>
        </w:tc>
        <w:tc>
          <w:tcPr>
            <w:tcW w:w="779" w:type="dxa"/>
            <w:vAlign w:val="center"/>
          </w:tcPr>
          <w:p w:rsidR="00AB4D21" w:rsidRDefault="00345560">
            <w:pPr>
              <w:jc w:val="right"/>
            </w:pPr>
            <w:r>
              <w:rPr>
                <w:color w:val="000000"/>
                <w:szCs w:val="21"/>
              </w:rPr>
              <w:t>1</w:t>
            </w:r>
          </w:p>
        </w:tc>
        <w:tc>
          <w:tcPr>
            <w:tcW w:w="180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62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080" w:type="dxa"/>
            <w:vAlign w:val="center"/>
          </w:tcPr>
          <w:p w:rsidR="00AB4D21" w:rsidRDefault="00345560">
            <w:pPr>
              <w:jc w:val="left"/>
            </w:pPr>
            <w:r>
              <w:rPr>
                <w:color w:val="000000"/>
                <w:szCs w:val="21"/>
              </w:rPr>
              <w:t>-</w:t>
            </w:r>
          </w:p>
        </w:tc>
      </w:tr>
      <w:tr w:rsidR="00AB4D21">
        <w:tc>
          <w:tcPr>
            <w:tcW w:w="1559" w:type="dxa"/>
            <w:vAlign w:val="center"/>
          </w:tcPr>
          <w:p w:rsidR="00AB4D21" w:rsidRDefault="00345560">
            <w:pPr>
              <w:jc w:val="left"/>
            </w:pPr>
            <w:r>
              <w:rPr>
                <w:color w:val="000000"/>
                <w:szCs w:val="21"/>
              </w:rPr>
              <w:t>国金证券股份有限公司</w:t>
            </w:r>
          </w:p>
        </w:tc>
        <w:tc>
          <w:tcPr>
            <w:tcW w:w="779" w:type="dxa"/>
            <w:vAlign w:val="center"/>
          </w:tcPr>
          <w:p w:rsidR="00AB4D21" w:rsidRDefault="00345560">
            <w:pPr>
              <w:jc w:val="right"/>
            </w:pPr>
            <w:r>
              <w:rPr>
                <w:color w:val="000000"/>
                <w:szCs w:val="21"/>
              </w:rPr>
              <w:t>2</w:t>
            </w:r>
          </w:p>
        </w:tc>
        <w:tc>
          <w:tcPr>
            <w:tcW w:w="180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62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080" w:type="dxa"/>
            <w:vAlign w:val="center"/>
          </w:tcPr>
          <w:p w:rsidR="00AB4D21" w:rsidRDefault="00345560">
            <w:pPr>
              <w:jc w:val="left"/>
            </w:pPr>
            <w:r>
              <w:rPr>
                <w:color w:val="000000"/>
                <w:szCs w:val="21"/>
              </w:rPr>
              <w:t>-</w:t>
            </w:r>
          </w:p>
        </w:tc>
      </w:tr>
      <w:tr w:rsidR="00AB4D21">
        <w:tc>
          <w:tcPr>
            <w:tcW w:w="1559" w:type="dxa"/>
            <w:vAlign w:val="center"/>
          </w:tcPr>
          <w:p w:rsidR="00AB4D21" w:rsidRDefault="00345560">
            <w:pPr>
              <w:jc w:val="left"/>
            </w:pPr>
            <w:r>
              <w:rPr>
                <w:color w:val="000000"/>
                <w:szCs w:val="21"/>
              </w:rPr>
              <w:t>中泰证券股份有限公司</w:t>
            </w:r>
          </w:p>
        </w:tc>
        <w:tc>
          <w:tcPr>
            <w:tcW w:w="779" w:type="dxa"/>
            <w:vAlign w:val="center"/>
          </w:tcPr>
          <w:p w:rsidR="00AB4D21" w:rsidRDefault="00345560">
            <w:pPr>
              <w:jc w:val="right"/>
            </w:pPr>
            <w:r>
              <w:rPr>
                <w:color w:val="000000"/>
                <w:szCs w:val="21"/>
              </w:rPr>
              <w:t>2</w:t>
            </w:r>
          </w:p>
        </w:tc>
        <w:tc>
          <w:tcPr>
            <w:tcW w:w="180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62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080" w:type="dxa"/>
            <w:vAlign w:val="center"/>
          </w:tcPr>
          <w:p w:rsidR="00AB4D21" w:rsidRDefault="00345560">
            <w:pPr>
              <w:jc w:val="left"/>
            </w:pPr>
            <w:r>
              <w:rPr>
                <w:color w:val="000000"/>
                <w:szCs w:val="21"/>
              </w:rPr>
              <w:t>-</w:t>
            </w:r>
          </w:p>
        </w:tc>
      </w:tr>
      <w:tr w:rsidR="00AB4D21">
        <w:tc>
          <w:tcPr>
            <w:tcW w:w="1559" w:type="dxa"/>
            <w:vAlign w:val="center"/>
          </w:tcPr>
          <w:p w:rsidR="00AB4D21" w:rsidRDefault="00345560">
            <w:pPr>
              <w:jc w:val="left"/>
            </w:pPr>
            <w:r>
              <w:rPr>
                <w:color w:val="000000"/>
                <w:szCs w:val="21"/>
              </w:rPr>
              <w:t>新时代证券股份有限公司</w:t>
            </w:r>
          </w:p>
        </w:tc>
        <w:tc>
          <w:tcPr>
            <w:tcW w:w="779" w:type="dxa"/>
            <w:vAlign w:val="center"/>
          </w:tcPr>
          <w:p w:rsidR="00AB4D21" w:rsidRDefault="00345560">
            <w:pPr>
              <w:jc w:val="right"/>
            </w:pPr>
            <w:r>
              <w:rPr>
                <w:color w:val="000000"/>
                <w:szCs w:val="21"/>
              </w:rPr>
              <w:t>1</w:t>
            </w:r>
          </w:p>
        </w:tc>
        <w:tc>
          <w:tcPr>
            <w:tcW w:w="180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620" w:type="dxa"/>
            <w:vAlign w:val="center"/>
          </w:tcPr>
          <w:p w:rsidR="00AB4D21" w:rsidRDefault="00345560">
            <w:pPr>
              <w:jc w:val="right"/>
            </w:pPr>
            <w:r>
              <w:rPr>
                <w:color w:val="000000"/>
                <w:szCs w:val="21"/>
              </w:rPr>
              <w:t>-</w:t>
            </w:r>
          </w:p>
        </w:tc>
        <w:tc>
          <w:tcPr>
            <w:tcW w:w="1080" w:type="dxa"/>
            <w:vAlign w:val="center"/>
          </w:tcPr>
          <w:p w:rsidR="00AB4D21" w:rsidRDefault="00345560">
            <w:pPr>
              <w:jc w:val="right"/>
            </w:pPr>
            <w:r>
              <w:rPr>
                <w:color w:val="000000"/>
                <w:szCs w:val="21"/>
              </w:rPr>
              <w:t>-</w:t>
            </w:r>
          </w:p>
        </w:tc>
        <w:tc>
          <w:tcPr>
            <w:tcW w:w="1080" w:type="dxa"/>
            <w:vAlign w:val="center"/>
          </w:tcPr>
          <w:p w:rsidR="00AB4D21" w:rsidRDefault="00345560">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AB4D21">
        <w:tc>
          <w:tcPr>
            <w:tcW w:w="1559" w:type="dxa"/>
            <w:vAlign w:val="center"/>
          </w:tcPr>
          <w:p w:rsidR="00AB4D21" w:rsidRDefault="00345560">
            <w:pPr>
              <w:jc w:val="left"/>
            </w:pPr>
            <w:r>
              <w:rPr>
                <w:szCs w:val="21"/>
              </w:rPr>
              <w:t>安信证券股份有限公司</w:t>
            </w:r>
          </w:p>
        </w:tc>
        <w:tc>
          <w:tcPr>
            <w:tcW w:w="1319" w:type="dxa"/>
            <w:vAlign w:val="center"/>
          </w:tcPr>
          <w:p w:rsidR="00AB4D21" w:rsidRDefault="00345560">
            <w:pPr>
              <w:jc w:val="right"/>
            </w:pPr>
            <w:r>
              <w:rPr>
                <w:szCs w:val="21"/>
              </w:rPr>
              <w:t>-</w:t>
            </w:r>
          </w:p>
        </w:tc>
        <w:tc>
          <w:tcPr>
            <w:tcW w:w="1080" w:type="dxa"/>
            <w:vAlign w:val="center"/>
          </w:tcPr>
          <w:p w:rsidR="00AB4D21" w:rsidRDefault="00345560">
            <w:pPr>
              <w:jc w:val="right"/>
            </w:pPr>
            <w:r>
              <w:rPr>
                <w:szCs w:val="21"/>
              </w:rPr>
              <w:t>-</w:t>
            </w:r>
          </w:p>
        </w:tc>
        <w:tc>
          <w:tcPr>
            <w:tcW w:w="1080" w:type="dxa"/>
            <w:vAlign w:val="center"/>
          </w:tcPr>
          <w:p w:rsidR="00AB4D21" w:rsidRDefault="00345560">
            <w:pPr>
              <w:jc w:val="right"/>
            </w:pPr>
            <w:r>
              <w:rPr>
                <w:szCs w:val="21"/>
              </w:rPr>
              <w:t>108,000,000.00</w:t>
            </w:r>
          </w:p>
        </w:tc>
        <w:tc>
          <w:tcPr>
            <w:tcW w:w="1260" w:type="dxa"/>
            <w:vAlign w:val="center"/>
          </w:tcPr>
          <w:p w:rsidR="00AB4D21" w:rsidRDefault="00345560">
            <w:pPr>
              <w:jc w:val="right"/>
            </w:pPr>
            <w:r>
              <w:rPr>
                <w:szCs w:val="21"/>
              </w:rPr>
              <w:t>100.00%</w:t>
            </w:r>
          </w:p>
        </w:tc>
        <w:tc>
          <w:tcPr>
            <w:tcW w:w="1260" w:type="dxa"/>
            <w:vAlign w:val="center"/>
          </w:tcPr>
          <w:p w:rsidR="00AB4D21" w:rsidRDefault="00345560">
            <w:pPr>
              <w:jc w:val="right"/>
            </w:pPr>
            <w:r>
              <w:rPr>
                <w:szCs w:val="21"/>
              </w:rPr>
              <w:t>-</w:t>
            </w:r>
          </w:p>
        </w:tc>
        <w:tc>
          <w:tcPr>
            <w:tcW w:w="1440" w:type="dxa"/>
            <w:vAlign w:val="center"/>
          </w:tcPr>
          <w:p w:rsidR="00AB4D21" w:rsidRDefault="00345560">
            <w:pPr>
              <w:jc w:val="right"/>
            </w:pPr>
            <w:r>
              <w:rPr>
                <w:szCs w:val="21"/>
              </w:rPr>
              <w:t>-</w:t>
            </w:r>
          </w:p>
        </w:tc>
      </w:tr>
    </w:tbl>
    <w:p w:rsidR="00AB4D21" w:rsidRDefault="0034556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r>
        <w:rPr>
          <w:kern w:val="0"/>
          <w:sz w:val="24"/>
        </w:rPr>
        <w:t xml:space="preserve">   </w:t>
      </w:r>
    </w:p>
    <w:p w:rsidR="00AB4D21" w:rsidRDefault="0034556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B4D21">
        <w:tc>
          <w:tcPr>
            <w:tcW w:w="993" w:type="dxa"/>
            <w:vMerge w:val="restart"/>
          </w:tcPr>
          <w:p w:rsidR="00AB4D21" w:rsidRDefault="00AB4D21"/>
          <w:p w:rsidR="00AB4D21" w:rsidRDefault="00345560">
            <w:r>
              <w:rPr>
                <w:rFonts w:ascii="宋体" w:hAnsi="宋体" w:hint="eastAsia"/>
                <w:bCs/>
                <w:color w:val="000000"/>
                <w:kern w:val="0"/>
                <w:szCs w:val="21"/>
              </w:rPr>
              <w:t>机构</w:t>
            </w:r>
          </w:p>
        </w:tc>
        <w:tc>
          <w:tcPr>
            <w:tcW w:w="992" w:type="dxa"/>
            <w:vAlign w:val="center"/>
          </w:tcPr>
          <w:p w:rsidR="00AB4D21" w:rsidRDefault="00345560">
            <w:pPr>
              <w:jc w:val="center"/>
            </w:pPr>
            <w:r>
              <w:rPr>
                <w:rFonts w:ascii="宋体" w:hAnsi="宋体"/>
                <w:color w:val="000000"/>
                <w:kern w:val="0"/>
                <w:szCs w:val="21"/>
              </w:rPr>
              <w:t>1</w:t>
            </w:r>
          </w:p>
        </w:tc>
        <w:tc>
          <w:tcPr>
            <w:tcW w:w="1843" w:type="dxa"/>
            <w:vAlign w:val="center"/>
          </w:tcPr>
          <w:p w:rsidR="00AB4D21" w:rsidRDefault="00345560">
            <w:pPr>
              <w:jc w:val="center"/>
            </w:pPr>
            <w:r>
              <w:rPr>
                <w:rFonts w:ascii="宋体" w:hAnsi="宋体"/>
                <w:color w:val="000000"/>
                <w:kern w:val="0"/>
                <w:szCs w:val="21"/>
              </w:rPr>
              <w:t>2018/1/1-2018/12/31</w:t>
            </w:r>
          </w:p>
        </w:tc>
        <w:tc>
          <w:tcPr>
            <w:tcW w:w="851" w:type="dxa"/>
            <w:vAlign w:val="center"/>
          </w:tcPr>
          <w:p w:rsidR="00AB4D21" w:rsidRDefault="00345560">
            <w:pPr>
              <w:jc w:val="center"/>
            </w:pPr>
            <w:r>
              <w:rPr>
                <w:rFonts w:ascii="宋体" w:hAnsi="宋体"/>
                <w:color w:val="000000"/>
                <w:kern w:val="0"/>
                <w:szCs w:val="21"/>
              </w:rPr>
              <w:t>251,888,664.99</w:t>
            </w:r>
          </w:p>
        </w:tc>
        <w:tc>
          <w:tcPr>
            <w:tcW w:w="850" w:type="dxa"/>
            <w:vAlign w:val="center"/>
          </w:tcPr>
          <w:p w:rsidR="00AB4D21" w:rsidRDefault="00345560">
            <w:pPr>
              <w:jc w:val="center"/>
            </w:pPr>
            <w:r>
              <w:rPr>
                <w:rFonts w:ascii="宋体" w:hAnsi="宋体"/>
                <w:color w:val="000000"/>
                <w:kern w:val="0"/>
                <w:szCs w:val="21"/>
              </w:rPr>
              <w:t>-</w:t>
            </w:r>
          </w:p>
        </w:tc>
        <w:tc>
          <w:tcPr>
            <w:tcW w:w="1134" w:type="dxa"/>
            <w:vAlign w:val="center"/>
          </w:tcPr>
          <w:p w:rsidR="00AB4D21" w:rsidRDefault="00345560">
            <w:pPr>
              <w:jc w:val="center"/>
            </w:pPr>
            <w:r>
              <w:rPr>
                <w:rFonts w:ascii="宋体" w:hAnsi="宋体"/>
                <w:color w:val="000000"/>
                <w:kern w:val="0"/>
                <w:szCs w:val="21"/>
              </w:rPr>
              <w:t>251,888,664.99</w:t>
            </w:r>
          </w:p>
        </w:tc>
        <w:tc>
          <w:tcPr>
            <w:tcW w:w="1419" w:type="dxa"/>
            <w:vAlign w:val="center"/>
          </w:tcPr>
          <w:p w:rsidR="00AB4D21" w:rsidRDefault="00345560">
            <w:pPr>
              <w:jc w:val="center"/>
            </w:pPr>
            <w:r>
              <w:rPr>
                <w:rFonts w:ascii="宋体" w:hAnsi="宋体"/>
                <w:color w:val="000000"/>
                <w:kern w:val="0"/>
                <w:szCs w:val="21"/>
              </w:rPr>
              <w:t>-</w:t>
            </w:r>
          </w:p>
        </w:tc>
        <w:tc>
          <w:tcPr>
            <w:tcW w:w="1130" w:type="dxa"/>
            <w:vAlign w:val="center"/>
          </w:tcPr>
          <w:p w:rsidR="00AB4D21" w:rsidRDefault="00345560">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B4D21" w:rsidRDefault="0034556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AB4D21" w:rsidRDefault="00345560">
      <w:pPr>
        <w:spacing w:line="360" w:lineRule="auto"/>
        <w:ind w:firstLineChars="200" w:firstLine="420"/>
        <w:rPr>
          <w:rFonts w:ascii="宋体" w:hAnsi="宋体"/>
          <w:color w:val="000000"/>
          <w:szCs w:val="21"/>
        </w:rPr>
      </w:pPr>
      <w:r>
        <w:rPr>
          <w:rFonts w:ascii="宋体" w:hAnsi="宋体"/>
          <w:color w:val="000000"/>
          <w:szCs w:val="21"/>
        </w:rPr>
        <w:t xml:space="preserve">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 </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3、本基金管理人于2018年7月2日起至2018年8月1日17：00止以通讯方式召开本基金的基金份额持有人大会，就本基金基金合同修改有关事项的议案进行表决。根据基金份额持有人大会的决议，本基金管理人修改了本基金的收益分配原则，并相应修改基金合同和托管协议。本基金管理人将在更新基金招募说明书时，对上述相关内容进行相应修订。本次基金份额持有人大会决议于2018年8月2日生效，自本次基金份额持有人大会决议公告之日即2018年8月3日起，本基金执行修改后的基金收益分配原则。详情请查阅本基金管理人于2018年8月3日发布的《交银施罗德基金管理有限公司关于交银施罗德丰享收益债券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024D28">
      <w:rPr>
        <w:noProof/>
        <w:kern w:val="0"/>
        <w:szCs w:val="21"/>
      </w:rPr>
      <w:t>13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024D28">
      <w:rPr>
        <w:noProof/>
        <w:kern w:val="0"/>
        <w:szCs w:val="21"/>
      </w:rPr>
      <w:t>33</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交银施罗德丰享收益债券型证券投资基金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4D28"/>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5560"/>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D2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CAA87D5-DDB4-4DD7-88B0-372A4A10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33</Pages>
  <Words>3648</Words>
  <Characters>20798</Characters>
  <Application>Microsoft Office Word</Application>
  <DocSecurity>0</DocSecurity>
  <Lines>173</Lines>
  <Paragraphs>48</Paragraphs>
  <ScaleCrop>false</ScaleCrop>
  <Company/>
  <LinksUpToDate>false</LinksUpToDate>
  <CharactersWithSpaces>24398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627</cp:revision>
  <cp:lastPrinted>2007-07-19T00:46:00Z</cp:lastPrinted>
  <dcterms:created xsi:type="dcterms:W3CDTF">2013-08-19T02:39:00Z</dcterms:created>
  <dcterms:modified xsi:type="dcterms:W3CDTF">2019-03-25T05:11:00Z</dcterms:modified>
</cp:coreProperties>
</file>