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10147" w:rsidRDefault="006E0F8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10147" w:rsidRDefault="006E0F87">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10147" w:rsidRDefault="006E0F8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10147" w:rsidRDefault="006E0F8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10147" w:rsidRDefault="006E0F8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1,498,034,964.65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E0F87" w:rsidRPr="00414345" w:rsidTr="006E0F8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E0F87" w:rsidRPr="00414345" w:rsidTr="006E0F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-175,173,272.62</w:t>
            </w:r>
          </w:p>
        </w:tc>
      </w:tr>
      <w:tr w:rsidR="006E0F87" w:rsidRPr="00414345" w:rsidTr="006E0F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-295,783,198.58</w:t>
            </w:r>
          </w:p>
        </w:tc>
      </w:tr>
      <w:tr w:rsidR="006E0F87" w:rsidRPr="00414345" w:rsidTr="006E0F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-0.1795</w:t>
            </w:r>
          </w:p>
        </w:tc>
      </w:tr>
      <w:tr w:rsidR="006E0F87" w:rsidRPr="00414345" w:rsidTr="006E0F8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2,565,428,091.90</w:t>
            </w:r>
          </w:p>
        </w:tc>
      </w:tr>
      <w:tr w:rsidR="006E0F87" w:rsidRPr="00414345" w:rsidTr="006E0F8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1.713</w:t>
            </w:r>
          </w:p>
        </w:tc>
      </w:tr>
    </w:tbl>
    <w:p w:rsidR="00410147" w:rsidRDefault="006E0F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A6057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10147">
        <w:trPr>
          <w:jc w:val="center"/>
        </w:trPr>
        <w:tc>
          <w:tcPr>
            <w:tcW w:w="1701" w:type="dxa"/>
            <w:vAlign w:val="center"/>
          </w:tcPr>
          <w:p w:rsidR="00410147" w:rsidRDefault="006E0F87">
            <w:pPr>
              <w:jc w:val="left"/>
            </w:pPr>
            <w:r>
              <w:rPr>
                <w:color w:val="000000"/>
                <w:sz w:val="24"/>
                <w:szCs w:val="24"/>
              </w:rPr>
              <w:t>过去三个月</w:t>
            </w:r>
          </w:p>
        </w:tc>
        <w:tc>
          <w:tcPr>
            <w:tcW w:w="1045" w:type="dxa"/>
            <w:vAlign w:val="center"/>
          </w:tcPr>
          <w:p w:rsidR="00410147" w:rsidRDefault="006E0F87">
            <w:pPr>
              <w:jc w:val="center"/>
            </w:pPr>
            <w:r>
              <w:rPr>
                <w:color w:val="000000"/>
                <w:sz w:val="24"/>
                <w:szCs w:val="24"/>
              </w:rPr>
              <w:t>-9.27%</w:t>
            </w:r>
          </w:p>
        </w:tc>
        <w:tc>
          <w:tcPr>
            <w:tcW w:w="1344" w:type="dxa"/>
            <w:vAlign w:val="center"/>
          </w:tcPr>
          <w:p w:rsidR="00410147" w:rsidRDefault="006E0F87">
            <w:pPr>
              <w:jc w:val="center"/>
            </w:pPr>
            <w:r>
              <w:rPr>
                <w:color w:val="000000"/>
                <w:sz w:val="24"/>
                <w:szCs w:val="24"/>
              </w:rPr>
              <w:t>1.70%</w:t>
            </w:r>
          </w:p>
        </w:tc>
        <w:tc>
          <w:tcPr>
            <w:tcW w:w="1194" w:type="dxa"/>
            <w:vAlign w:val="center"/>
          </w:tcPr>
          <w:p w:rsidR="00410147" w:rsidRDefault="006E0F87">
            <w:pPr>
              <w:jc w:val="center"/>
            </w:pPr>
            <w:r>
              <w:rPr>
                <w:color w:val="000000"/>
                <w:sz w:val="24"/>
                <w:szCs w:val="24"/>
              </w:rPr>
              <w:t>-11.25%</w:t>
            </w:r>
          </w:p>
        </w:tc>
        <w:tc>
          <w:tcPr>
            <w:tcW w:w="1492" w:type="dxa"/>
            <w:vAlign w:val="center"/>
          </w:tcPr>
          <w:p w:rsidR="00410147" w:rsidRDefault="006E0F87">
            <w:pPr>
              <w:jc w:val="center"/>
            </w:pPr>
            <w:r>
              <w:rPr>
                <w:color w:val="000000"/>
                <w:sz w:val="24"/>
                <w:szCs w:val="24"/>
              </w:rPr>
              <w:t>1.39%</w:t>
            </w:r>
          </w:p>
        </w:tc>
        <w:tc>
          <w:tcPr>
            <w:tcW w:w="1194" w:type="dxa"/>
            <w:vAlign w:val="center"/>
          </w:tcPr>
          <w:p w:rsidR="00410147" w:rsidRDefault="006E0F87">
            <w:pPr>
              <w:jc w:val="center"/>
            </w:pPr>
            <w:r>
              <w:rPr>
                <w:color w:val="000000"/>
                <w:sz w:val="24"/>
                <w:szCs w:val="24"/>
              </w:rPr>
              <w:t>1.98%</w:t>
            </w:r>
          </w:p>
        </w:tc>
        <w:tc>
          <w:tcPr>
            <w:tcW w:w="898" w:type="dxa"/>
            <w:vAlign w:val="center"/>
          </w:tcPr>
          <w:p w:rsidR="00410147" w:rsidRDefault="006E0F87">
            <w:pPr>
              <w:jc w:val="center"/>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10147">
        <w:trPr>
          <w:jc w:val="center"/>
        </w:trPr>
        <w:tc>
          <w:tcPr>
            <w:tcW w:w="846" w:type="dxa"/>
            <w:vAlign w:val="center"/>
          </w:tcPr>
          <w:p w:rsidR="00410147" w:rsidRDefault="006E0F87">
            <w:pPr>
              <w:jc w:val="center"/>
            </w:pPr>
            <w:r>
              <w:rPr>
                <w:color w:val="000000"/>
                <w:sz w:val="24"/>
                <w:szCs w:val="24"/>
              </w:rPr>
              <w:t>王崇</w:t>
            </w:r>
          </w:p>
        </w:tc>
        <w:tc>
          <w:tcPr>
            <w:tcW w:w="845" w:type="dxa"/>
            <w:vAlign w:val="center"/>
          </w:tcPr>
          <w:p w:rsidR="00410147" w:rsidRDefault="006E0F87">
            <w:pPr>
              <w:jc w:val="center"/>
            </w:pPr>
            <w:r>
              <w:rPr>
                <w:color w:val="000000"/>
                <w:sz w:val="24"/>
                <w:szCs w:val="24"/>
              </w:rPr>
              <w:t>交银精选混合、交银新成长混合的基金经理，公司权益</w:t>
            </w:r>
            <w:r>
              <w:rPr>
                <w:color w:val="000000"/>
                <w:sz w:val="24"/>
                <w:szCs w:val="24"/>
              </w:rPr>
              <w:lastRenderedPageBreak/>
              <w:t>投资副总监</w:t>
            </w:r>
          </w:p>
        </w:tc>
        <w:tc>
          <w:tcPr>
            <w:tcW w:w="1549" w:type="dxa"/>
            <w:vAlign w:val="center"/>
          </w:tcPr>
          <w:p w:rsidR="00410147" w:rsidRDefault="006E0F87">
            <w:pPr>
              <w:jc w:val="center"/>
            </w:pPr>
            <w:r>
              <w:rPr>
                <w:color w:val="000000"/>
                <w:sz w:val="24"/>
                <w:szCs w:val="24"/>
              </w:rPr>
              <w:lastRenderedPageBreak/>
              <w:t>2014-10-22</w:t>
            </w:r>
          </w:p>
        </w:tc>
        <w:tc>
          <w:tcPr>
            <w:tcW w:w="1548" w:type="dxa"/>
            <w:vAlign w:val="center"/>
          </w:tcPr>
          <w:p w:rsidR="00410147" w:rsidRDefault="006E0F87">
            <w:pPr>
              <w:jc w:val="center"/>
            </w:pPr>
            <w:r>
              <w:rPr>
                <w:color w:val="000000"/>
                <w:sz w:val="24"/>
                <w:szCs w:val="24"/>
              </w:rPr>
              <w:t>-</w:t>
            </w:r>
          </w:p>
        </w:tc>
        <w:tc>
          <w:tcPr>
            <w:tcW w:w="1407" w:type="dxa"/>
            <w:vAlign w:val="center"/>
          </w:tcPr>
          <w:p w:rsidR="00410147" w:rsidRDefault="006E0F87">
            <w:pPr>
              <w:jc w:val="center"/>
            </w:pPr>
            <w:r>
              <w:rPr>
                <w:color w:val="000000"/>
                <w:sz w:val="24"/>
                <w:szCs w:val="24"/>
              </w:rPr>
              <w:t>10</w:t>
            </w:r>
            <w:r>
              <w:rPr>
                <w:color w:val="000000"/>
                <w:sz w:val="24"/>
                <w:szCs w:val="24"/>
              </w:rPr>
              <w:t>年</w:t>
            </w:r>
          </w:p>
        </w:tc>
        <w:tc>
          <w:tcPr>
            <w:tcW w:w="2673" w:type="dxa"/>
            <w:vAlign w:val="center"/>
          </w:tcPr>
          <w:p w:rsidR="00410147" w:rsidRDefault="006E0F87">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10147" w:rsidRDefault="006E0F8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10147" w:rsidRDefault="006E0F8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10147" w:rsidRDefault="006E0F8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10147" w:rsidRDefault="006E0F87">
      <w:pPr>
        <w:spacing w:before="29" w:line="288" w:lineRule="auto"/>
        <w:ind w:firstLineChars="200" w:firstLine="480"/>
        <w:rPr>
          <w:color w:val="000000"/>
          <w:sz w:val="24"/>
          <w:szCs w:val="24"/>
        </w:rPr>
      </w:pPr>
      <w:r>
        <w:rPr>
          <w:color w:val="000000"/>
          <w:sz w:val="24"/>
          <w:szCs w:val="24"/>
        </w:rPr>
        <w:t>2018</w:t>
      </w:r>
      <w:r>
        <w:rPr>
          <w:color w:val="000000"/>
          <w:sz w:val="24"/>
          <w:szCs w:val="24"/>
        </w:rPr>
        <w:t>年四季度国内经济增长继续放缓，其中，十一月进出口增速大幅下滑，月度</w:t>
      </w:r>
      <w:r>
        <w:rPr>
          <w:color w:val="000000"/>
          <w:sz w:val="24"/>
          <w:szCs w:val="24"/>
        </w:rPr>
        <w:lastRenderedPageBreak/>
        <w:t>工业增加值增速转负，经济周期逐步进入衰退阶段。</w:t>
      </w:r>
      <w:r>
        <w:rPr>
          <w:color w:val="000000"/>
          <w:sz w:val="24"/>
          <w:szCs w:val="24"/>
        </w:rPr>
        <w:t>A</w:t>
      </w:r>
      <w:r>
        <w:rPr>
          <w:color w:val="000000"/>
          <w:sz w:val="24"/>
          <w:szCs w:val="24"/>
        </w:rPr>
        <w:t>股市场风险偏好继续下降，市场对企业盈利下调担忧加剧，市场继续下跌。同时医药行业带量采购等政策在本季度陆续出台，消费医药大金融等之前的强势板块于四季度陆续出现较大幅度补跌，市场预期整体悲观，几乎无赚钱效应。</w:t>
      </w:r>
    </w:p>
    <w:p w:rsidR="00410147" w:rsidRDefault="006E0F87">
      <w:pPr>
        <w:spacing w:before="29" w:line="288" w:lineRule="auto"/>
        <w:ind w:firstLineChars="200" w:firstLine="480"/>
        <w:rPr>
          <w:color w:val="000000"/>
          <w:sz w:val="24"/>
          <w:szCs w:val="24"/>
        </w:rPr>
      </w:pPr>
      <w:r>
        <w:rPr>
          <w:color w:val="000000"/>
          <w:sz w:val="24"/>
          <w:szCs w:val="24"/>
        </w:rPr>
        <w:t>四季度本基金采取稳健投资策略，保持中性略高仓位，行业均衡配置，个股向有把握的公司集中。行业层面减持电子和传媒，增持银行、消费和计算机。四季度本基金净值表现跟随市场出现一定幅度下跌，但略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年一季度，我们对</w:t>
      </w:r>
      <w:r w:rsidRPr="00414345">
        <w:rPr>
          <w:color w:val="000000"/>
          <w:sz w:val="24"/>
          <w:szCs w:val="24"/>
        </w:rPr>
        <w:t>A</w:t>
      </w:r>
      <w:r w:rsidRPr="00414345">
        <w:rPr>
          <w:color w:val="000000"/>
          <w:sz w:val="24"/>
          <w:szCs w:val="24"/>
        </w:rPr>
        <w:t>股市场持谨慎乐观的态度。一方面，经济下行趋势仍旧处于中期，经济最差的时候似乎尚未到来，上市公司整体盈利下调趋势并没有结束，中美贸易冲突能否在</w:t>
      </w:r>
      <w:r w:rsidRPr="00414345">
        <w:rPr>
          <w:color w:val="000000"/>
          <w:sz w:val="24"/>
          <w:szCs w:val="24"/>
        </w:rPr>
        <w:t>2019</w:t>
      </w:r>
      <w:r w:rsidRPr="00414345">
        <w:rPr>
          <w:color w:val="000000"/>
          <w:sz w:val="24"/>
          <w:szCs w:val="24"/>
        </w:rPr>
        <w:t>年三月达成和解也存在一定的不确定性，上述因素影响企业盈利的同时还会压制市场风险偏好的回升。另一方面，货币政策已经出现微调，债券市场利率持续下行，</w:t>
      </w:r>
      <w:r w:rsidRPr="00414345">
        <w:rPr>
          <w:color w:val="000000"/>
          <w:sz w:val="24"/>
          <w:szCs w:val="24"/>
        </w:rPr>
        <w:t>2019</w:t>
      </w:r>
      <w:r w:rsidRPr="00414345">
        <w:rPr>
          <w:color w:val="000000"/>
          <w:sz w:val="24"/>
          <w:szCs w:val="24"/>
        </w:rPr>
        <w:t>年政府有望维持积极财政政策和松紧适度的货币政策，避免出现经济大幅下滑以及金融风险。同时沪深</w:t>
      </w:r>
      <w:r w:rsidRPr="00414345">
        <w:rPr>
          <w:color w:val="000000"/>
          <w:sz w:val="24"/>
          <w:szCs w:val="24"/>
        </w:rPr>
        <w:t>300</w:t>
      </w:r>
      <w:r w:rsidRPr="00414345">
        <w:rPr>
          <w:color w:val="000000"/>
          <w:sz w:val="24"/>
          <w:szCs w:val="24"/>
        </w:rPr>
        <w:t>指数在</w:t>
      </w:r>
      <w:r w:rsidRPr="00414345">
        <w:rPr>
          <w:color w:val="000000"/>
          <w:sz w:val="24"/>
          <w:szCs w:val="24"/>
        </w:rPr>
        <w:t>3000</w:t>
      </w:r>
      <w:r w:rsidRPr="00414345">
        <w:rPr>
          <w:color w:val="000000"/>
          <w:sz w:val="24"/>
          <w:szCs w:val="24"/>
        </w:rPr>
        <w:t>点对应静态</w:t>
      </w:r>
      <w:r w:rsidRPr="00414345">
        <w:rPr>
          <w:color w:val="000000"/>
          <w:sz w:val="24"/>
          <w:szCs w:val="24"/>
        </w:rPr>
        <w:t>PB1.26</w:t>
      </w:r>
      <w:r w:rsidRPr="00414345">
        <w:rPr>
          <w:color w:val="000000"/>
          <w:sz w:val="24"/>
          <w:szCs w:val="24"/>
        </w:rPr>
        <w:t>倍左右，或已处于历史底部区域，预计继续大幅下行的空间不大，从中期角度风险收益比很高。随着债券利率的持续下行，大类资产配置的指针将逐步转向权益，处于估值底部区域的</w:t>
      </w:r>
      <w:r w:rsidRPr="00414345">
        <w:rPr>
          <w:color w:val="000000"/>
          <w:sz w:val="24"/>
          <w:szCs w:val="24"/>
        </w:rPr>
        <w:t>A</w:t>
      </w:r>
      <w:r w:rsidRPr="00414345">
        <w:rPr>
          <w:color w:val="000000"/>
          <w:sz w:val="24"/>
          <w:szCs w:val="24"/>
        </w:rPr>
        <w:t>股配置价值或已逐步显现。我们相信价值只会迟到不会缺席，本基金</w:t>
      </w:r>
      <w:r w:rsidRPr="00414345">
        <w:rPr>
          <w:color w:val="000000"/>
          <w:sz w:val="24"/>
          <w:szCs w:val="24"/>
        </w:rPr>
        <w:t>2019</w:t>
      </w:r>
      <w:r w:rsidRPr="00414345">
        <w:rPr>
          <w:color w:val="000000"/>
          <w:sz w:val="24"/>
          <w:szCs w:val="24"/>
        </w:rPr>
        <w:t>年将维持中性略高仓位，继续看好医疗服务、房地产、计算机、公共事业以及传媒等成长领域投资机会，精选优质成长公司股票，恪守安全边际，努力为基金持有人带来稳定回报。</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A60570" w:rsidRDefault="00A60570" w:rsidP="00421CD2">
      <w:pPr>
        <w:spacing w:before="29" w:line="288" w:lineRule="auto"/>
        <w:ind w:firstLineChars="200" w:firstLine="480"/>
        <w:rPr>
          <w:color w:val="000000"/>
          <w:sz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2,077,021,879.79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2,077,021,879.79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159,040,000.00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159,040,000.00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149,952,424.93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441,229,528.71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8,806,880.12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2,836,050,713.55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184,620,523.94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157,080,611.31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22,032,221.00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276,084,965.39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312,202,407.30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401,631,397.51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1,451,464.28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155,049,661.20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433,745,614.98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133,123,012.88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2,077,021,879.79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80.96</w:t>
            </w:r>
          </w:p>
        </w:tc>
      </w:tr>
    </w:tbl>
    <w:p w:rsidR="00A60570" w:rsidRDefault="00A6057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10147">
        <w:trPr>
          <w:jc w:val="center"/>
        </w:trPr>
        <w:tc>
          <w:tcPr>
            <w:tcW w:w="855" w:type="dxa"/>
            <w:vAlign w:val="center"/>
          </w:tcPr>
          <w:p w:rsidR="00410147" w:rsidRDefault="006E0F87">
            <w:pPr>
              <w:jc w:val="center"/>
            </w:pPr>
            <w:r>
              <w:rPr>
                <w:color w:val="000000"/>
                <w:sz w:val="24"/>
                <w:szCs w:val="24"/>
              </w:rPr>
              <w:t>1</w:t>
            </w:r>
          </w:p>
        </w:tc>
        <w:tc>
          <w:tcPr>
            <w:tcW w:w="1334" w:type="dxa"/>
            <w:vAlign w:val="center"/>
          </w:tcPr>
          <w:p w:rsidR="00410147" w:rsidRDefault="006E0F87">
            <w:pPr>
              <w:jc w:val="center"/>
            </w:pPr>
            <w:r>
              <w:rPr>
                <w:color w:val="000000"/>
                <w:sz w:val="24"/>
                <w:szCs w:val="24"/>
              </w:rPr>
              <w:t>002044</w:t>
            </w:r>
          </w:p>
        </w:tc>
        <w:tc>
          <w:tcPr>
            <w:tcW w:w="1777" w:type="dxa"/>
            <w:vAlign w:val="center"/>
          </w:tcPr>
          <w:p w:rsidR="00410147" w:rsidRDefault="006E0F87">
            <w:pPr>
              <w:jc w:val="center"/>
            </w:pPr>
            <w:r>
              <w:rPr>
                <w:color w:val="000000"/>
                <w:sz w:val="24"/>
                <w:szCs w:val="24"/>
              </w:rPr>
              <w:t>美年健康</w:t>
            </w:r>
          </w:p>
        </w:tc>
        <w:tc>
          <w:tcPr>
            <w:tcW w:w="1334" w:type="dxa"/>
            <w:vAlign w:val="center"/>
          </w:tcPr>
          <w:p w:rsidR="00410147" w:rsidRDefault="006E0F87">
            <w:pPr>
              <w:jc w:val="right"/>
            </w:pPr>
            <w:r>
              <w:rPr>
                <w:color w:val="000000"/>
                <w:sz w:val="24"/>
                <w:szCs w:val="24"/>
              </w:rPr>
              <w:t>15,295,693</w:t>
            </w:r>
          </w:p>
        </w:tc>
        <w:tc>
          <w:tcPr>
            <w:tcW w:w="1924" w:type="dxa"/>
            <w:vAlign w:val="center"/>
          </w:tcPr>
          <w:p w:rsidR="00410147" w:rsidRDefault="006E0F87">
            <w:pPr>
              <w:jc w:val="right"/>
            </w:pPr>
            <w:r>
              <w:rPr>
                <w:color w:val="000000"/>
                <w:sz w:val="24"/>
                <w:szCs w:val="24"/>
              </w:rPr>
              <w:t>228,488,010.35</w:t>
            </w:r>
          </w:p>
        </w:tc>
        <w:tc>
          <w:tcPr>
            <w:tcW w:w="1644" w:type="dxa"/>
            <w:vAlign w:val="center"/>
          </w:tcPr>
          <w:p w:rsidR="00410147" w:rsidRDefault="006E0F87">
            <w:pPr>
              <w:jc w:val="right"/>
            </w:pPr>
            <w:r>
              <w:rPr>
                <w:color w:val="000000"/>
                <w:sz w:val="24"/>
                <w:szCs w:val="24"/>
              </w:rPr>
              <w:t>8.91</w:t>
            </w:r>
          </w:p>
        </w:tc>
      </w:tr>
      <w:tr w:rsidR="00410147">
        <w:trPr>
          <w:jc w:val="center"/>
        </w:trPr>
        <w:tc>
          <w:tcPr>
            <w:tcW w:w="855" w:type="dxa"/>
            <w:vAlign w:val="center"/>
          </w:tcPr>
          <w:p w:rsidR="00410147" w:rsidRDefault="006E0F87">
            <w:pPr>
              <w:jc w:val="center"/>
            </w:pPr>
            <w:r>
              <w:rPr>
                <w:color w:val="000000"/>
                <w:sz w:val="24"/>
                <w:szCs w:val="24"/>
              </w:rPr>
              <w:t>2</w:t>
            </w:r>
          </w:p>
        </w:tc>
        <w:tc>
          <w:tcPr>
            <w:tcW w:w="1334" w:type="dxa"/>
            <w:vAlign w:val="center"/>
          </w:tcPr>
          <w:p w:rsidR="00410147" w:rsidRDefault="006E0F87">
            <w:pPr>
              <w:jc w:val="center"/>
            </w:pPr>
            <w:r>
              <w:rPr>
                <w:color w:val="000000"/>
                <w:sz w:val="24"/>
                <w:szCs w:val="24"/>
              </w:rPr>
              <w:t>600048</w:t>
            </w:r>
          </w:p>
        </w:tc>
        <w:tc>
          <w:tcPr>
            <w:tcW w:w="1777" w:type="dxa"/>
            <w:vAlign w:val="center"/>
          </w:tcPr>
          <w:p w:rsidR="00410147" w:rsidRDefault="006E0F87">
            <w:pPr>
              <w:jc w:val="center"/>
            </w:pPr>
            <w:r>
              <w:rPr>
                <w:color w:val="000000"/>
                <w:sz w:val="24"/>
                <w:szCs w:val="24"/>
              </w:rPr>
              <w:t>保利地产</w:t>
            </w:r>
          </w:p>
        </w:tc>
        <w:tc>
          <w:tcPr>
            <w:tcW w:w="1334" w:type="dxa"/>
            <w:vAlign w:val="center"/>
          </w:tcPr>
          <w:p w:rsidR="00410147" w:rsidRDefault="006E0F87">
            <w:pPr>
              <w:jc w:val="right"/>
            </w:pPr>
            <w:r>
              <w:rPr>
                <w:color w:val="000000"/>
                <w:sz w:val="24"/>
                <w:szCs w:val="24"/>
              </w:rPr>
              <w:t>18,964,966</w:t>
            </w:r>
          </w:p>
        </w:tc>
        <w:tc>
          <w:tcPr>
            <w:tcW w:w="1924" w:type="dxa"/>
            <w:vAlign w:val="center"/>
          </w:tcPr>
          <w:p w:rsidR="00410147" w:rsidRDefault="006E0F87">
            <w:pPr>
              <w:jc w:val="right"/>
            </w:pPr>
            <w:r>
              <w:rPr>
                <w:color w:val="000000"/>
                <w:sz w:val="24"/>
                <w:szCs w:val="24"/>
              </w:rPr>
              <w:t>223,596,949.14</w:t>
            </w:r>
          </w:p>
        </w:tc>
        <w:tc>
          <w:tcPr>
            <w:tcW w:w="1644" w:type="dxa"/>
            <w:vAlign w:val="center"/>
          </w:tcPr>
          <w:p w:rsidR="00410147" w:rsidRDefault="006E0F87">
            <w:pPr>
              <w:jc w:val="right"/>
            </w:pPr>
            <w:r>
              <w:rPr>
                <w:color w:val="000000"/>
                <w:sz w:val="24"/>
                <w:szCs w:val="24"/>
              </w:rPr>
              <w:t>8.72</w:t>
            </w:r>
          </w:p>
        </w:tc>
      </w:tr>
      <w:tr w:rsidR="00410147">
        <w:trPr>
          <w:jc w:val="center"/>
        </w:trPr>
        <w:tc>
          <w:tcPr>
            <w:tcW w:w="855" w:type="dxa"/>
            <w:vAlign w:val="center"/>
          </w:tcPr>
          <w:p w:rsidR="00410147" w:rsidRDefault="006E0F87">
            <w:pPr>
              <w:jc w:val="center"/>
            </w:pPr>
            <w:r>
              <w:rPr>
                <w:color w:val="000000"/>
                <w:sz w:val="24"/>
                <w:szCs w:val="24"/>
              </w:rPr>
              <w:t>3</w:t>
            </w:r>
          </w:p>
        </w:tc>
        <w:tc>
          <w:tcPr>
            <w:tcW w:w="1334" w:type="dxa"/>
            <w:vAlign w:val="center"/>
          </w:tcPr>
          <w:p w:rsidR="00410147" w:rsidRDefault="006E0F87">
            <w:pPr>
              <w:jc w:val="center"/>
            </w:pPr>
            <w:r>
              <w:rPr>
                <w:color w:val="000000"/>
                <w:sz w:val="24"/>
                <w:szCs w:val="24"/>
              </w:rPr>
              <w:t>601155</w:t>
            </w:r>
          </w:p>
        </w:tc>
        <w:tc>
          <w:tcPr>
            <w:tcW w:w="1777" w:type="dxa"/>
            <w:vAlign w:val="center"/>
          </w:tcPr>
          <w:p w:rsidR="00410147" w:rsidRDefault="006E0F87">
            <w:pPr>
              <w:jc w:val="center"/>
            </w:pPr>
            <w:r>
              <w:rPr>
                <w:color w:val="000000"/>
                <w:sz w:val="24"/>
                <w:szCs w:val="24"/>
              </w:rPr>
              <w:t>新城控股</w:t>
            </w:r>
          </w:p>
        </w:tc>
        <w:tc>
          <w:tcPr>
            <w:tcW w:w="1334" w:type="dxa"/>
            <w:vAlign w:val="center"/>
          </w:tcPr>
          <w:p w:rsidR="00410147" w:rsidRDefault="006E0F87">
            <w:pPr>
              <w:jc w:val="right"/>
            </w:pPr>
            <w:r>
              <w:rPr>
                <w:color w:val="000000"/>
                <w:sz w:val="24"/>
                <w:szCs w:val="24"/>
              </w:rPr>
              <w:t>7,515,173</w:t>
            </w:r>
          </w:p>
        </w:tc>
        <w:tc>
          <w:tcPr>
            <w:tcW w:w="1924" w:type="dxa"/>
            <w:vAlign w:val="center"/>
          </w:tcPr>
          <w:p w:rsidR="00410147" w:rsidRDefault="006E0F87">
            <w:pPr>
              <w:jc w:val="right"/>
            </w:pPr>
            <w:r>
              <w:rPr>
                <w:color w:val="000000"/>
                <w:sz w:val="24"/>
                <w:szCs w:val="24"/>
              </w:rPr>
              <w:t>178,034,448.37</w:t>
            </w:r>
          </w:p>
        </w:tc>
        <w:tc>
          <w:tcPr>
            <w:tcW w:w="1644" w:type="dxa"/>
            <w:vAlign w:val="center"/>
          </w:tcPr>
          <w:p w:rsidR="00410147" w:rsidRDefault="006E0F87">
            <w:pPr>
              <w:jc w:val="right"/>
            </w:pPr>
            <w:r>
              <w:rPr>
                <w:color w:val="000000"/>
                <w:sz w:val="24"/>
                <w:szCs w:val="24"/>
              </w:rPr>
              <w:t>6.94</w:t>
            </w:r>
          </w:p>
        </w:tc>
      </w:tr>
      <w:tr w:rsidR="00410147">
        <w:trPr>
          <w:jc w:val="center"/>
        </w:trPr>
        <w:tc>
          <w:tcPr>
            <w:tcW w:w="855" w:type="dxa"/>
            <w:vAlign w:val="center"/>
          </w:tcPr>
          <w:p w:rsidR="00410147" w:rsidRDefault="006E0F87">
            <w:pPr>
              <w:jc w:val="center"/>
            </w:pPr>
            <w:r>
              <w:rPr>
                <w:color w:val="000000"/>
                <w:sz w:val="24"/>
                <w:szCs w:val="24"/>
              </w:rPr>
              <w:t>4</w:t>
            </w:r>
          </w:p>
        </w:tc>
        <w:tc>
          <w:tcPr>
            <w:tcW w:w="1334" w:type="dxa"/>
            <w:vAlign w:val="center"/>
          </w:tcPr>
          <w:p w:rsidR="00410147" w:rsidRDefault="006E0F87">
            <w:pPr>
              <w:jc w:val="center"/>
            </w:pPr>
            <w:r>
              <w:rPr>
                <w:color w:val="000000"/>
                <w:sz w:val="24"/>
                <w:szCs w:val="24"/>
              </w:rPr>
              <w:t>300012</w:t>
            </w:r>
          </w:p>
        </w:tc>
        <w:tc>
          <w:tcPr>
            <w:tcW w:w="1777" w:type="dxa"/>
            <w:vAlign w:val="center"/>
          </w:tcPr>
          <w:p w:rsidR="00410147" w:rsidRDefault="006E0F87">
            <w:pPr>
              <w:jc w:val="center"/>
            </w:pPr>
            <w:r>
              <w:rPr>
                <w:color w:val="000000"/>
                <w:sz w:val="24"/>
                <w:szCs w:val="24"/>
              </w:rPr>
              <w:t>华测检测</w:t>
            </w:r>
          </w:p>
        </w:tc>
        <w:tc>
          <w:tcPr>
            <w:tcW w:w="1334" w:type="dxa"/>
            <w:vAlign w:val="center"/>
          </w:tcPr>
          <w:p w:rsidR="00410147" w:rsidRDefault="006E0F87">
            <w:pPr>
              <w:jc w:val="right"/>
            </w:pPr>
            <w:r>
              <w:rPr>
                <w:color w:val="000000"/>
                <w:sz w:val="24"/>
                <w:szCs w:val="24"/>
              </w:rPr>
              <w:t>23,671,704</w:t>
            </w:r>
          </w:p>
        </w:tc>
        <w:tc>
          <w:tcPr>
            <w:tcW w:w="1924" w:type="dxa"/>
            <w:vAlign w:val="center"/>
          </w:tcPr>
          <w:p w:rsidR="00410147" w:rsidRDefault="006E0F87">
            <w:pPr>
              <w:jc w:val="right"/>
            </w:pPr>
            <w:r>
              <w:rPr>
                <w:color w:val="000000"/>
                <w:sz w:val="24"/>
                <w:szCs w:val="24"/>
              </w:rPr>
              <w:t>155,049,661.20</w:t>
            </w:r>
          </w:p>
        </w:tc>
        <w:tc>
          <w:tcPr>
            <w:tcW w:w="1644" w:type="dxa"/>
            <w:vAlign w:val="center"/>
          </w:tcPr>
          <w:p w:rsidR="00410147" w:rsidRDefault="006E0F87">
            <w:pPr>
              <w:jc w:val="right"/>
            </w:pPr>
            <w:r>
              <w:rPr>
                <w:color w:val="000000"/>
                <w:sz w:val="24"/>
                <w:szCs w:val="24"/>
              </w:rPr>
              <w:t>6.04</w:t>
            </w:r>
          </w:p>
        </w:tc>
      </w:tr>
      <w:tr w:rsidR="00410147">
        <w:trPr>
          <w:jc w:val="center"/>
        </w:trPr>
        <w:tc>
          <w:tcPr>
            <w:tcW w:w="855" w:type="dxa"/>
            <w:vAlign w:val="center"/>
          </w:tcPr>
          <w:p w:rsidR="00410147" w:rsidRDefault="006E0F87">
            <w:pPr>
              <w:jc w:val="center"/>
            </w:pPr>
            <w:r>
              <w:rPr>
                <w:color w:val="000000"/>
                <w:sz w:val="24"/>
                <w:szCs w:val="24"/>
              </w:rPr>
              <w:t>5</w:t>
            </w:r>
          </w:p>
        </w:tc>
        <w:tc>
          <w:tcPr>
            <w:tcW w:w="1334" w:type="dxa"/>
            <w:vAlign w:val="center"/>
          </w:tcPr>
          <w:p w:rsidR="00410147" w:rsidRDefault="006E0F87">
            <w:pPr>
              <w:jc w:val="center"/>
            </w:pPr>
            <w:r>
              <w:rPr>
                <w:color w:val="000000"/>
                <w:sz w:val="24"/>
                <w:szCs w:val="24"/>
              </w:rPr>
              <w:t>000001</w:t>
            </w:r>
          </w:p>
        </w:tc>
        <w:tc>
          <w:tcPr>
            <w:tcW w:w="1777" w:type="dxa"/>
            <w:vAlign w:val="center"/>
          </w:tcPr>
          <w:p w:rsidR="00410147" w:rsidRDefault="006E0F87">
            <w:pPr>
              <w:jc w:val="center"/>
            </w:pPr>
            <w:r>
              <w:rPr>
                <w:color w:val="000000"/>
                <w:sz w:val="24"/>
                <w:szCs w:val="24"/>
              </w:rPr>
              <w:t>平安银行</w:t>
            </w:r>
          </w:p>
        </w:tc>
        <w:tc>
          <w:tcPr>
            <w:tcW w:w="1334" w:type="dxa"/>
            <w:vAlign w:val="center"/>
          </w:tcPr>
          <w:p w:rsidR="00410147" w:rsidRDefault="006E0F87">
            <w:pPr>
              <w:jc w:val="right"/>
            </w:pPr>
            <w:r>
              <w:rPr>
                <w:color w:val="000000"/>
                <w:sz w:val="24"/>
                <w:szCs w:val="24"/>
              </w:rPr>
              <w:t>14,265,094</w:t>
            </w:r>
          </w:p>
        </w:tc>
        <w:tc>
          <w:tcPr>
            <w:tcW w:w="1924" w:type="dxa"/>
            <w:vAlign w:val="center"/>
          </w:tcPr>
          <w:p w:rsidR="00410147" w:rsidRDefault="006E0F87">
            <w:pPr>
              <w:jc w:val="right"/>
            </w:pPr>
            <w:r>
              <w:rPr>
                <w:color w:val="000000"/>
                <w:sz w:val="24"/>
                <w:szCs w:val="24"/>
              </w:rPr>
              <w:t>133,806,581.72</w:t>
            </w:r>
          </w:p>
        </w:tc>
        <w:tc>
          <w:tcPr>
            <w:tcW w:w="1644" w:type="dxa"/>
            <w:vAlign w:val="center"/>
          </w:tcPr>
          <w:p w:rsidR="00410147" w:rsidRDefault="006E0F87">
            <w:pPr>
              <w:jc w:val="right"/>
            </w:pPr>
            <w:r>
              <w:rPr>
                <w:color w:val="000000"/>
                <w:sz w:val="24"/>
                <w:szCs w:val="24"/>
              </w:rPr>
              <w:t>5.22</w:t>
            </w:r>
          </w:p>
        </w:tc>
      </w:tr>
      <w:tr w:rsidR="00410147">
        <w:trPr>
          <w:jc w:val="center"/>
        </w:trPr>
        <w:tc>
          <w:tcPr>
            <w:tcW w:w="855" w:type="dxa"/>
            <w:vAlign w:val="center"/>
          </w:tcPr>
          <w:p w:rsidR="00410147" w:rsidRDefault="006E0F87">
            <w:pPr>
              <w:jc w:val="center"/>
            </w:pPr>
            <w:r>
              <w:rPr>
                <w:color w:val="000000"/>
                <w:sz w:val="24"/>
                <w:szCs w:val="24"/>
              </w:rPr>
              <w:t>6</w:t>
            </w:r>
          </w:p>
        </w:tc>
        <w:tc>
          <w:tcPr>
            <w:tcW w:w="1334" w:type="dxa"/>
            <w:vAlign w:val="center"/>
          </w:tcPr>
          <w:p w:rsidR="00410147" w:rsidRDefault="006E0F87">
            <w:pPr>
              <w:jc w:val="center"/>
            </w:pPr>
            <w:r>
              <w:rPr>
                <w:color w:val="000000"/>
                <w:sz w:val="24"/>
                <w:szCs w:val="24"/>
              </w:rPr>
              <w:t>000681</w:t>
            </w:r>
          </w:p>
        </w:tc>
        <w:tc>
          <w:tcPr>
            <w:tcW w:w="1777" w:type="dxa"/>
            <w:vAlign w:val="center"/>
          </w:tcPr>
          <w:p w:rsidR="00410147" w:rsidRDefault="006E0F87">
            <w:pPr>
              <w:jc w:val="center"/>
            </w:pPr>
            <w:r>
              <w:rPr>
                <w:color w:val="000000"/>
                <w:sz w:val="24"/>
                <w:szCs w:val="24"/>
              </w:rPr>
              <w:t>视觉中国</w:t>
            </w:r>
          </w:p>
        </w:tc>
        <w:tc>
          <w:tcPr>
            <w:tcW w:w="1334" w:type="dxa"/>
            <w:vAlign w:val="center"/>
          </w:tcPr>
          <w:p w:rsidR="00410147" w:rsidRDefault="006E0F87">
            <w:pPr>
              <w:jc w:val="right"/>
            </w:pPr>
            <w:r>
              <w:rPr>
                <w:color w:val="000000"/>
                <w:sz w:val="24"/>
                <w:szCs w:val="24"/>
              </w:rPr>
              <w:t>5,708,534</w:t>
            </w:r>
          </w:p>
        </w:tc>
        <w:tc>
          <w:tcPr>
            <w:tcW w:w="1924" w:type="dxa"/>
            <w:vAlign w:val="center"/>
          </w:tcPr>
          <w:p w:rsidR="00410147" w:rsidRDefault="006E0F87">
            <w:pPr>
              <w:jc w:val="right"/>
            </w:pPr>
            <w:r>
              <w:rPr>
                <w:color w:val="000000"/>
                <w:sz w:val="24"/>
                <w:szCs w:val="24"/>
              </w:rPr>
              <w:t>133,123,012.88</w:t>
            </w:r>
          </w:p>
        </w:tc>
        <w:tc>
          <w:tcPr>
            <w:tcW w:w="1644" w:type="dxa"/>
            <w:vAlign w:val="center"/>
          </w:tcPr>
          <w:p w:rsidR="00410147" w:rsidRDefault="006E0F87">
            <w:pPr>
              <w:jc w:val="right"/>
            </w:pPr>
            <w:r>
              <w:rPr>
                <w:color w:val="000000"/>
                <w:sz w:val="24"/>
                <w:szCs w:val="24"/>
              </w:rPr>
              <w:t>5.19</w:t>
            </w:r>
          </w:p>
        </w:tc>
      </w:tr>
      <w:tr w:rsidR="00410147">
        <w:trPr>
          <w:jc w:val="center"/>
        </w:trPr>
        <w:tc>
          <w:tcPr>
            <w:tcW w:w="855" w:type="dxa"/>
            <w:vAlign w:val="center"/>
          </w:tcPr>
          <w:p w:rsidR="00410147" w:rsidRDefault="006E0F87">
            <w:pPr>
              <w:jc w:val="center"/>
            </w:pPr>
            <w:r>
              <w:rPr>
                <w:color w:val="000000"/>
                <w:sz w:val="24"/>
                <w:szCs w:val="24"/>
              </w:rPr>
              <w:t>7</w:t>
            </w:r>
          </w:p>
        </w:tc>
        <w:tc>
          <w:tcPr>
            <w:tcW w:w="1334" w:type="dxa"/>
            <w:vAlign w:val="center"/>
          </w:tcPr>
          <w:p w:rsidR="00410147" w:rsidRDefault="006E0F87">
            <w:pPr>
              <w:jc w:val="center"/>
            </w:pPr>
            <w:r>
              <w:rPr>
                <w:color w:val="000000"/>
                <w:sz w:val="24"/>
                <w:szCs w:val="24"/>
              </w:rPr>
              <w:t>601009</w:t>
            </w:r>
          </w:p>
        </w:tc>
        <w:tc>
          <w:tcPr>
            <w:tcW w:w="1777" w:type="dxa"/>
            <w:vAlign w:val="center"/>
          </w:tcPr>
          <w:p w:rsidR="00410147" w:rsidRDefault="006E0F87">
            <w:pPr>
              <w:jc w:val="center"/>
            </w:pPr>
            <w:r>
              <w:rPr>
                <w:color w:val="000000"/>
                <w:sz w:val="24"/>
                <w:szCs w:val="24"/>
              </w:rPr>
              <w:t>南京银行</w:t>
            </w:r>
          </w:p>
        </w:tc>
        <w:tc>
          <w:tcPr>
            <w:tcW w:w="1334" w:type="dxa"/>
            <w:vAlign w:val="center"/>
          </w:tcPr>
          <w:p w:rsidR="00410147" w:rsidRDefault="006E0F87">
            <w:pPr>
              <w:jc w:val="right"/>
            </w:pPr>
            <w:r>
              <w:rPr>
                <w:color w:val="000000"/>
                <w:sz w:val="24"/>
                <w:szCs w:val="24"/>
              </w:rPr>
              <w:t>19,888,478</w:t>
            </w:r>
          </w:p>
        </w:tc>
        <w:tc>
          <w:tcPr>
            <w:tcW w:w="1924" w:type="dxa"/>
            <w:vAlign w:val="center"/>
          </w:tcPr>
          <w:p w:rsidR="00410147" w:rsidRDefault="006E0F87">
            <w:pPr>
              <w:jc w:val="right"/>
            </w:pPr>
            <w:r>
              <w:rPr>
                <w:color w:val="000000"/>
                <w:sz w:val="24"/>
                <w:szCs w:val="24"/>
              </w:rPr>
              <w:t>128,479,567.88</w:t>
            </w:r>
          </w:p>
        </w:tc>
        <w:tc>
          <w:tcPr>
            <w:tcW w:w="1644" w:type="dxa"/>
            <w:vAlign w:val="center"/>
          </w:tcPr>
          <w:p w:rsidR="00410147" w:rsidRDefault="006E0F87">
            <w:pPr>
              <w:jc w:val="right"/>
            </w:pPr>
            <w:r>
              <w:rPr>
                <w:color w:val="000000"/>
                <w:sz w:val="24"/>
                <w:szCs w:val="24"/>
              </w:rPr>
              <w:t>5.01</w:t>
            </w:r>
          </w:p>
        </w:tc>
      </w:tr>
      <w:tr w:rsidR="00410147">
        <w:trPr>
          <w:jc w:val="center"/>
        </w:trPr>
        <w:tc>
          <w:tcPr>
            <w:tcW w:w="855" w:type="dxa"/>
            <w:vAlign w:val="center"/>
          </w:tcPr>
          <w:p w:rsidR="00410147" w:rsidRDefault="006E0F87">
            <w:pPr>
              <w:jc w:val="center"/>
            </w:pPr>
            <w:r>
              <w:rPr>
                <w:color w:val="000000"/>
                <w:sz w:val="24"/>
                <w:szCs w:val="24"/>
              </w:rPr>
              <w:t>8</w:t>
            </w:r>
          </w:p>
        </w:tc>
        <w:tc>
          <w:tcPr>
            <w:tcW w:w="1334" w:type="dxa"/>
            <w:vAlign w:val="center"/>
          </w:tcPr>
          <w:p w:rsidR="00410147" w:rsidRDefault="006E0F87">
            <w:pPr>
              <w:jc w:val="center"/>
            </w:pPr>
            <w:r>
              <w:rPr>
                <w:color w:val="000000"/>
                <w:sz w:val="24"/>
                <w:szCs w:val="24"/>
              </w:rPr>
              <w:t>600763</w:t>
            </w:r>
          </w:p>
        </w:tc>
        <w:tc>
          <w:tcPr>
            <w:tcW w:w="1777" w:type="dxa"/>
            <w:vAlign w:val="center"/>
          </w:tcPr>
          <w:p w:rsidR="00410147" w:rsidRDefault="006E0F87">
            <w:pPr>
              <w:jc w:val="center"/>
            </w:pPr>
            <w:r>
              <w:rPr>
                <w:color w:val="000000"/>
                <w:sz w:val="24"/>
                <w:szCs w:val="24"/>
              </w:rPr>
              <w:t>通策医疗</w:t>
            </w:r>
          </w:p>
        </w:tc>
        <w:tc>
          <w:tcPr>
            <w:tcW w:w="1334" w:type="dxa"/>
            <w:vAlign w:val="center"/>
          </w:tcPr>
          <w:p w:rsidR="00410147" w:rsidRDefault="006E0F87">
            <w:pPr>
              <w:jc w:val="right"/>
            </w:pPr>
            <w:r>
              <w:rPr>
                <w:color w:val="000000"/>
                <w:sz w:val="24"/>
                <w:szCs w:val="24"/>
              </w:rPr>
              <w:t>2,487,529</w:t>
            </w:r>
          </w:p>
        </w:tc>
        <w:tc>
          <w:tcPr>
            <w:tcW w:w="1924" w:type="dxa"/>
            <w:vAlign w:val="center"/>
          </w:tcPr>
          <w:p w:rsidR="00410147" w:rsidRDefault="006E0F87">
            <w:pPr>
              <w:jc w:val="right"/>
            </w:pPr>
            <w:r>
              <w:rPr>
                <w:color w:val="000000"/>
                <w:sz w:val="24"/>
                <w:szCs w:val="24"/>
              </w:rPr>
              <w:t>118,083,001.63</w:t>
            </w:r>
          </w:p>
        </w:tc>
        <w:tc>
          <w:tcPr>
            <w:tcW w:w="1644" w:type="dxa"/>
            <w:vAlign w:val="center"/>
          </w:tcPr>
          <w:p w:rsidR="00410147" w:rsidRDefault="006E0F87">
            <w:pPr>
              <w:jc w:val="right"/>
            </w:pPr>
            <w:r>
              <w:rPr>
                <w:color w:val="000000"/>
                <w:sz w:val="24"/>
                <w:szCs w:val="24"/>
              </w:rPr>
              <w:t>4.60</w:t>
            </w:r>
          </w:p>
        </w:tc>
      </w:tr>
      <w:tr w:rsidR="00410147">
        <w:trPr>
          <w:jc w:val="center"/>
        </w:trPr>
        <w:tc>
          <w:tcPr>
            <w:tcW w:w="855" w:type="dxa"/>
            <w:vAlign w:val="center"/>
          </w:tcPr>
          <w:p w:rsidR="00410147" w:rsidRDefault="006E0F87">
            <w:pPr>
              <w:jc w:val="center"/>
            </w:pPr>
            <w:r>
              <w:rPr>
                <w:color w:val="000000"/>
                <w:sz w:val="24"/>
                <w:szCs w:val="24"/>
              </w:rPr>
              <w:t>9</w:t>
            </w:r>
          </w:p>
        </w:tc>
        <w:tc>
          <w:tcPr>
            <w:tcW w:w="1334" w:type="dxa"/>
            <w:vAlign w:val="center"/>
          </w:tcPr>
          <w:p w:rsidR="00410147" w:rsidRDefault="006E0F87">
            <w:pPr>
              <w:jc w:val="center"/>
            </w:pPr>
            <w:r>
              <w:rPr>
                <w:color w:val="000000"/>
                <w:sz w:val="24"/>
                <w:szCs w:val="24"/>
              </w:rPr>
              <w:t>601933</w:t>
            </w:r>
          </w:p>
        </w:tc>
        <w:tc>
          <w:tcPr>
            <w:tcW w:w="1777" w:type="dxa"/>
            <w:vAlign w:val="center"/>
          </w:tcPr>
          <w:p w:rsidR="00410147" w:rsidRDefault="006E0F87">
            <w:pPr>
              <w:jc w:val="center"/>
            </w:pPr>
            <w:r>
              <w:rPr>
                <w:color w:val="000000"/>
                <w:sz w:val="24"/>
                <w:szCs w:val="24"/>
              </w:rPr>
              <w:t>永辉超市</w:t>
            </w:r>
          </w:p>
        </w:tc>
        <w:tc>
          <w:tcPr>
            <w:tcW w:w="1334" w:type="dxa"/>
            <w:vAlign w:val="center"/>
          </w:tcPr>
          <w:p w:rsidR="00410147" w:rsidRDefault="006E0F87">
            <w:pPr>
              <w:jc w:val="right"/>
            </w:pPr>
            <w:r>
              <w:rPr>
                <w:color w:val="000000"/>
                <w:sz w:val="24"/>
                <w:szCs w:val="24"/>
              </w:rPr>
              <w:t>14,528,828</w:t>
            </w:r>
          </w:p>
        </w:tc>
        <w:tc>
          <w:tcPr>
            <w:tcW w:w="1924" w:type="dxa"/>
            <w:vAlign w:val="center"/>
          </w:tcPr>
          <w:p w:rsidR="00410147" w:rsidRDefault="006E0F87">
            <w:pPr>
              <w:jc w:val="right"/>
            </w:pPr>
            <w:r>
              <w:rPr>
                <w:color w:val="000000"/>
                <w:sz w:val="24"/>
                <w:szCs w:val="24"/>
              </w:rPr>
              <w:t>114,341,876.36</w:t>
            </w:r>
          </w:p>
        </w:tc>
        <w:tc>
          <w:tcPr>
            <w:tcW w:w="1644" w:type="dxa"/>
            <w:vAlign w:val="center"/>
          </w:tcPr>
          <w:p w:rsidR="00410147" w:rsidRDefault="006E0F87">
            <w:pPr>
              <w:jc w:val="right"/>
            </w:pPr>
            <w:r>
              <w:rPr>
                <w:color w:val="000000"/>
                <w:sz w:val="24"/>
                <w:szCs w:val="24"/>
              </w:rPr>
              <w:t>4.46</w:t>
            </w:r>
          </w:p>
        </w:tc>
      </w:tr>
      <w:tr w:rsidR="00410147">
        <w:trPr>
          <w:jc w:val="center"/>
        </w:trPr>
        <w:tc>
          <w:tcPr>
            <w:tcW w:w="855" w:type="dxa"/>
            <w:vAlign w:val="center"/>
          </w:tcPr>
          <w:p w:rsidR="00410147" w:rsidRDefault="006E0F87">
            <w:pPr>
              <w:jc w:val="center"/>
            </w:pPr>
            <w:r>
              <w:rPr>
                <w:color w:val="000000"/>
                <w:sz w:val="24"/>
                <w:szCs w:val="24"/>
              </w:rPr>
              <w:t>10</w:t>
            </w:r>
          </w:p>
        </w:tc>
        <w:tc>
          <w:tcPr>
            <w:tcW w:w="1334" w:type="dxa"/>
            <w:vAlign w:val="center"/>
          </w:tcPr>
          <w:p w:rsidR="00410147" w:rsidRDefault="006E0F87">
            <w:pPr>
              <w:jc w:val="center"/>
            </w:pPr>
            <w:r>
              <w:rPr>
                <w:color w:val="000000"/>
                <w:sz w:val="24"/>
                <w:szCs w:val="24"/>
              </w:rPr>
              <w:t>601100</w:t>
            </w:r>
          </w:p>
        </w:tc>
        <w:tc>
          <w:tcPr>
            <w:tcW w:w="1777" w:type="dxa"/>
            <w:vAlign w:val="center"/>
          </w:tcPr>
          <w:p w:rsidR="00410147" w:rsidRDefault="006E0F87">
            <w:pPr>
              <w:jc w:val="center"/>
            </w:pPr>
            <w:r>
              <w:rPr>
                <w:color w:val="000000"/>
                <w:sz w:val="24"/>
                <w:szCs w:val="24"/>
              </w:rPr>
              <w:t>恒立液压</w:t>
            </w:r>
          </w:p>
        </w:tc>
        <w:tc>
          <w:tcPr>
            <w:tcW w:w="1334" w:type="dxa"/>
            <w:vAlign w:val="center"/>
          </w:tcPr>
          <w:p w:rsidR="00410147" w:rsidRDefault="006E0F87">
            <w:pPr>
              <w:jc w:val="right"/>
            </w:pPr>
            <w:r>
              <w:rPr>
                <w:color w:val="000000"/>
                <w:sz w:val="24"/>
                <w:szCs w:val="24"/>
              </w:rPr>
              <w:t>5,411,759</w:t>
            </w:r>
          </w:p>
        </w:tc>
        <w:tc>
          <w:tcPr>
            <w:tcW w:w="1924" w:type="dxa"/>
            <w:vAlign w:val="center"/>
          </w:tcPr>
          <w:p w:rsidR="00410147" w:rsidRDefault="006E0F87">
            <w:pPr>
              <w:jc w:val="right"/>
            </w:pPr>
            <w:r>
              <w:rPr>
                <w:color w:val="000000"/>
                <w:sz w:val="24"/>
                <w:szCs w:val="24"/>
              </w:rPr>
              <w:t>107,206,945.79</w:t>
            </w:r>
          </w:p>
        </w:tc>
        <w:tc>
          <w:tcPr>
            <w:tcW w:w="1644" w:type="dxa"/>
            <w:vAlign w:val="center"/>
          </w:tcPr>
          <w:p w:rsidR="00410147" w:rsidRDefault="006E0F87">
            <w:pPr>
              <w:jc w:val="right"/>
            </w:pPr>
            <w:r>
              <w:rPr>
                <w:color w:val="000000"/>
                <w:sz w:val="24"/>
                <w:szCs w:val="24"/>
              </w:rPr>
              <w:t>4.18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159,040,000.00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159,040,000.00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10147">
        <w:trPr>
          <w:jc w:val="center"/>
        </w:trPr>
        <w:tc>
          <w:tcPr>
            <w:tcW w:w="850" w:type="dxa"/>
            <w:vAlign w:val="center"/>
          </w:tcPr>
          <w:p w:rsidR="00410147" w:rsidRDefault="006E0F87">
            <w:pPr>
              <w:jc w:val="center"/>
            </w:pPr>
            <w:r>
              <w:rPr>
                <w:color w:val="000000"/>
                <w:sz w:val="24"/>
                <w:szCs w:val="24"/>
              </w:rPr>
              <w:t>1</w:t>
            </w:r>
          </w:p>
        </w:tc>
        <w:tc>
          <w:tcPr>
            <w:tcW w:w="1475" w:type="dxa"/>
            <w:vAlign w:val="center"/>
          </w:tcPr>
          <w:p w:rsidR="00410147" w:rsidRDefault="006E0F87">
            <w:pPr>
              <w:jc w:val="center"/>
            </w:pPr>
            <w:r>
              <w:rPr>
                <w:color w:val="000000"/>
                <w:sz w:val="24"/>
                <w:szCs w:val="24"/>
              </w:rPr>
              <w:t>189953</w:t>
            </w:r>
          </w:p>
        </w:tc>
        <w:tc>
          <w:tcPr>
            <w:tcW w:w="1769" w:type="dxa"/>
            <w:vAlign w:val="center"/>
          </w:tcPr>
          <w:p w:rsidR="00410147" w:rsidRDefault="006E0F87">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rsidR="00410147" w:rsidRDefault="006E0F87">
            <w:pPr>
              <w:jc w:val="right"/>
            </w:pPr>
            <w:r>
              <w:rPr>
                <w:color w:val="000000"/>
                <w:sz w:val="24"/>
                <w:szCs w:val="24"/>
              </w:rPr>
              <w:t>1,600,000</w:t>
            </w:r>
          </w:p>
        </w:tc>
        <w:tc>
          <w:tcPr>
            <w:tcW w:w="2150" w:type="dxa"/>
            <w:vAlign w:val="center"/>
          </w:tcPr>
          <w:p w:rsidR="00410147" w:rsidRDefault="006E0F87">
            <w:pPr>
              <w:jc w:val="right"/>
            </w:pPr>
            <w:r>
              <w:rPr>
                <w:color w:val="000000"/>
                <w:sz w:val="24"/>
                <w:szCs w:val="24"/>
              </w:rPr>
              <w:t>159,040,000.00</w:t>
            </w:r>
          </w:p>
        </w:tc>
        <w:tc>
          <w:tcPr>
            <w:tcW w:w="1237" w:type="dxa"/>
            <w:vAlign w:val="center"/>
          </w:tcPr>
          <w:p w:rsidR="00410147" w:rsidRDefault="006E0F87">
            <w:pPr>
              <w:jc w:val="right"/>
            </w:pPr>
            <w:r>
              <w:rPr>
                <w:color w:val="000000"/>
                <w:sz w:val="24"/>
                <w:szCs w:val="24"/>
              </w:rPr>
              <w:t>6.20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w:t>
      </w:r>
      <w:r w:rsidRPr="00BE5388">
        <w:rPr>
          <w:bCs/>
          <w:color w:val="000000"/>
          <w:kern w:val="0"/>
          <w:sz w:val="24"/>
          <w:szCs w:val="24"/>
        </w:rPr>
        <w:lastRenderedPageBreak/>
        <w:t>外，未出现被监管部门立案调查，或在报告编制日前一年内受到公开谴责、处罚的情形。</w:t>
      </w:r>
    </w:p>
    <w:p w:rsidR="00410147" w:rsidRDefault="006E0F87">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1</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410147" w:rsidRDefault="006E0F87">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1,193,158.37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6,197,413.78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648,622.90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767,685.07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8,806,880.12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10147">
        <w:trPr>
          <w:jc w:val="center"/>
        </w:trPr>
        <w:tc>
          <w:tcPr>
            <w:tcW w:w="1129" w:type="dxa"/>
            <w:vAlign w:val="center"/>
          </w:tcPr>
          <w:p w:rsidR="00410147" w:rsidRDefault="006E0F87">
            <w:pPr>
              <w:jc w:val="center"/>
            </w:pPr>
            <w:r>
              <w:rPr>
                <w:color w:val="000000"/>
                <w:sz w:val="24"/>
                <w:szCs w:val="24"/>
              </w:rPr>
              <w:t>1</w:t>
            </w:r>
          </w:p>
        </w:tc>
        <w:tc>
          <w:tcPr>
            <w:tcW w:w="1356" w:type="dxa"/>
            <w:vAlign w:val="center"/>
          </w:tcPr>
          <w:p w:rsidR="00410147" w:rsidRDefault="006E0F87">
            <w:pPr>
              <w:jc w:val="center"/>
            </w:pPr>
            <w:r>
              <w:rPr>
                <w:color w:val="000000"/>
                <w:sz w:val="24"/>
                <w:szCs w:val="24"/>
              </w:rPr>
              <w:t>002044</w:t>
            </w:r>
          </w:p>
        </w:tc>
        <w:tc>
          <w:tcPr>
            <w:tcW w:w="1355" w:type="dxa"/>
            <w:vAlign w:val="center"/>
          </w:tcPr>
          <w:p w:rsidR="00410147" w:rsidRDefault="006E0F87">
            <w:pPr>
              <w:jc w:val="center"/>
            </w:pPr>
            <w:r>
              <w:rPr>
                <w:color w:val="000000"/>
                <w:sz w:val="24"/>
                <w:szCs w:val="24"/>
              </w:rPr>
              <w:t>美年健康</w:t>
            </w:r>
          </w:p>
        </w:tc>
        <w:tc>
          <w:tcPr>
            <w:tcW w:w="1880" w:type="dxa"/>
            <w:vAlign w:val="center"/>
          </w:tcPr>
          <w:p w:rsidR="00410147" w:rsidRDefault="006E0F87">
            <w:pPr>
              <w:jc w:val="right"/>
            </w:pPr>
            <w:r>
              <w:rPr>
                <w:color w:val="000000"/>
                <w:sz w:val="24"/>
                <w:szCs w:val="24"/>
              </w:rPr>
              <w:t>3,106,400.00</w:t>
            </w:r>
          </w:p>
        </w:tc>
        <w:tc>
          <w:tcPr>
            <w:tcW w:w="1724" w:type="dxa"/>
            <w:vAlign w:val="center"/>
          </w:tcPr>
          <w:p w:rsidR="00410147" w:rsidRDefault="006E0F87">
            <w:pPr>
              <w:jc w:val="right"/>
            </w:pPr>
            <w:r>
              <w:rPr>
                <w:color w:val="000000"/>
                <w:sz w:val="24"/>
                <w:szCs w:val="24"/>
              </w:rPr>
              <w:t>0.12</w:t>
            </w:r>
          </w:p>
        </w:tc>
        <w:tc>
          <w:tcPr>
            <w:tcW w:w="1424" w:type="dxa"/>
            <w:vAlign w:val="center"/>
          </w:tcPr>
          <w:p w:rsidR="00410147" w:rsidRDefault="001434AD">
            <w:pPr>
              <w:jc w:val="right"/>
            </w:pPr>
            <w:r w:rsidRPr="00CE0AF5">
              <w:rPr>
                <w:rFonts w:hint="eastAsia"/>
                <w:color w:val="000000"/>
                <w:sz w:val="22"/>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1,625,898,620.95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202,803,192.00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330,666,848.30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1,498,034,964.65</w:t>
            </w:r>
          </w:p>
        </w:tc>
      </w:tr>
    </w:tbl>
    <w:p w:rsidR="00410147" w:rsidRDefault="006E0F8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A6057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10147" w:rsidRDefault="006E0F8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410147" w:rsidRDefault="006E0F8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410147" w:rsidRDefault="006E0F8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410147" w:rsidRDefault="006E0F8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410147" w:rsidRDefault="006E0F8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410147" w:rsidRDefault="006E0F8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10147" w:rsidRDefault="006E0F8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10147" w:rsidRDefault="006E0F8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CB8" w:rsidRDefault="00D11CB8" w:rsidP="00876D65">
      <w:r>
        <w:separator/>
      </w:r>
    </w:p>
  </w:endnote>
  <w:endnote w:type="continuationSeparator" w:id="0">
    <w:p w:rsidR="00D11CB8" w:rsidRDefault="00D11CB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208E6">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208E6">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CB8" w:rsidRDefault="00D11CB8" w:rsidP="00876D65">
      <w:r>
        <w:separator/>
      </w:r>
    </w:p>
  </w:footnote>
  <w:footnote w:type="continuationSeparator" w:id="0">
    <w:p w:rsidR="00D11CB8" w:rsidRDefault="00D11CB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208E6"/>
    <w:rsid w:val="00133015"/>
    <w:rsid w:val="00137452"/>
    <w:rsid w:val="00137B31"/>
    <w:rsid w:val="001434AD"/>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558D"/>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147"/>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0F87"/>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0570"/>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1CB8"/>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39C37B-26B1-44C5-8869-E78F79A8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65FB-C8F5-4B26-B926-849707D2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583</cp:revision>
  <dcterms:created xsi:type="dcterms:W3CDTF">2012-10-16T06:07:00Z</dcterms:created>
  <dcterms:modified xsi:type="dcterms:W3CDTF">2019-01-16T09:24:00Z</dcterms:modified>
</cp:coreProperties>
</file>