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交银施罗德策略回报灵活配置混合型证券投资基金</w:t>
      </w:r>
    </w:p>
    <w:p w:rsidP="00C15CAC" w:rsidR="002279D3" w:rsidRDefault="002279D3" w:rsidRPr="0081286B">
      <w:pPr>
        <w:spacing w:before="29" w:line="288" w:lineRule="auto"/>
        <w:jc w:val="center"/>
        <w:rPr>
          <w:b/>
          <w:sz w:val="36"/>
          <w:szCs w:val="36"/>
        </w:rPr>
      </w:pPr>
      <w:r w:rsidRPr="0081286B">
        <w:rPr>
          <w:b/>
          <w:sz w:val="36"/>
          <w:szCs w:val="36"/>
        </w:rPr>
        <w:t>2018年第4季度报告</w:t>
      </w:r>
    </w:p>
    <w:p w:rsidP="00C15CAC" w:rsidR="004061AC" w:rsidRDefault="00655CD8" w:rsidRPr="0081286B">
      <w:pPr>
        <w:spacing w:before="29" w:line="288" w:lineRule="auto"/>
        <w:jc w:val="center"/>
        <w:rPr>
          <w:b/>
          <w:sz w:val="36"/>
          <w:szCs w:val="36"/>
        </w:rPr>
      </w:pPr>
      <w:r w:rsidRPr="0081286B">
        <w:rPr>
          <w:b/>
          <w:sz w:val="36"/>
          <w:szCs w:val="36"/>
        </w:rPr>
        <w:t>2018年12月31日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中信银行股份有限公司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二〇一九年一月二十一日</w:t>
      </w:r>
    </w:p>
    <w:p w:rsidP="0011537B" w:rsidR="004061AC" w:rsidRDefault="004061AC" w:rsidRPr="00414345">
      <w:pPr>
        <w:pStyle w:val="1"/>
        <w:spacing w:afterLines="100"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基金托管人中信银行股份有限公司根据本基金合同规定，于2019年1月18日复核了本报告中的财务指标、净值表现和投资组合报告等内容，保证复核内容不存在虚假记载、误导性陈述或者重大遗漏。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本报告期自2018年10月1日起至12月31日止。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交银策略回报灵活配置混合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519710</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519710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2015年6月27日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1,004,733,126.78</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本基金根据对宏观经济周期和市场环境的分析研究，自上而下配置资产，并通过对类属资产灵活运用多种投资策略，力争实现基金资产的长期稳定增值。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将通过“自上而下”的定性分析和定量分析相结合以实现大类资产的灵活配置。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60%×沪深300指数收益率+40%×中证综合债券指数收益率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本基金为混合型证券投资基金，其预期收益和风险高于货币市场基金、债券型基金，而低于股票型基金，属于证券投资基金中的中高风险品种。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(2018年10月1日-2018年12月31日)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-37,076,733.14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-97,908,231.65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-0.1051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979,350,832.40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0.975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-11.46%</w:t>
            </w:r>
          </w:p>
        </w:tc>
        <w:tc>
          <w:tcPr>
            <w:vAlign w:val="center"/>
          </w:tcPr>
          <w:p>
            <w:pPr>
              <w:jc w:val="center"/>
            </w:pPr>
            <w:r>
              <w:rPr>
                <w:color w:val="000000"/>
                <w:sz w:val="24"/>
                <w:szCs w:val="24"/>
              </w:rPr>
              <w:t>1.56%</w:t>
            </w:r>
          </w:p>
        </w:tc>
        <w:tc>
          <w:tcPr>
            <w:vAlign w:val="center"/>
          </w:tcPr>
          <w:p>
            <w:pPr>
              <w:jc w:val="center"/>
            </w:pPr>
            <w:r>
              <w:rPr>
                <w:color w:val="000000"/>
                <w:sz w:val="24"/>
                <w:szCs w:val="24"/>
              </w:rPr>
              <w:t>-6.54%</w:t>
            </w:r>
          </w:p>
        </w:tc>
        <w:tc>
          <w:tcPr>
            <w:vAlign w:val="center"/>
          </w:tcPr>
          <w:p>
            <w:pPr>
              <w:jc w:val="center"/>
            </w:pPr>
            <w:r>
              <w:rPr>
                <w:color w:val="000000"/>
                <w:sz w:val="24"/>
                <w:szCs w:val="24"/>
              </w:rPr>
              <w:t>0.98%</w:t>
            </w:r>
          </w:p>
        </w:tc>
        <w:tc>
          <w:tcPr>
            <w:vAlign w:val="center"/>
          </w:tcPr>
          <w:p>
            <w:pPr>
              <w:jc w:val="center"/>
            </w:pPr>
            <w:r>
              <w:rPr>
                <w:color w:val="000000"/>
                <w:sz w:val="24"/>
                <w:szCs w:val="24"/>
              </w:rPr>
              <w:t>-4.92%</w:t>
            </w:r>
          </w:p>
        </w:tc>
        <w:tc>
          <w:tcPr>
            <w:vAlign w:val="center"/>
          </w:tcPr>
          <w:p>
            <w:pPr>
              <w:jc w:val="center"/>
            </w:pPr>
            <w:r>
              <w:rPr>
                <w:color w:val="000000"/>
                <w:sz w:val="24"/>
                <w:szCs w:val="24"/>
              </w:rPr>
              <w:t>0.58%</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60%×沪深300指数收益率+40%×中信标普全债指数收益率”变更为“60%×沪深300指数收益率+40%×中证综合债券指数收益率”，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交银施罗德策略回报灵活配置混合型证券投资基金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2015年6月27日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2018年12月31日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由交银施罗德荣安保本混合型证券投资基金转型而来。基金转型日为2015年6月27日。本基金的投资转型期为交银施罗德荣安保本混合型证券投资基金保本周期到期选择期截止日次日（即2015年6月27日）起的3个月。截至投资转型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韩威俊</w:t>
            </w:r>
          </w:p>
        </w:tc>
        <w:tc>
          <w:tcPr>
            <w:vAlign w:val="center"/>
          </w:tcPr>
          <w:p>
            <w:pPr>
              <w:jc w:val="center"/>
            </w:pPr>
            <w:r>
              <w:rPr>
                <w:color w:val="000000"/>
                <w:sz w:val="24"/>
                <w:szCs w:val="24"/>
              </w:rPr>
              <w:t>交银趋势混合、交银策略回报灵活配置混合、交银消费新驱动股票、交银股息优化混合、交银品质升级混合的基金经理</w:t>
            </w:r>
          </w:p>
        </w:tc>
        <w:tc>
          <w:tcPr>
            <w:vAlign w:val="center"/>
          </w:tcPr>
          <w:p>
            <w:pPr>
              <w:jc w:val="center"/>
            </w:pPr>
            <w:r>
              <w:rPr>
                <w:color w:val="000000"/>
                <w:sz w:val="24"/>
                <w:szCs w:val="24"/>
              </w:rPr>
              <w:t>2016-01-20</w:t>
            </w:r>
          </w:p>
        </w:tc>
        <w:tc>
          <w:tcPr>
            <w:vAlign w:val="center"/>
          </w:tcPr>
          <w:p>
            <w:pPr>
              <w:jc w:val="center"/>
            </w:pPr>
            <w:r>
              <w:rPr>
                <w:color w:val="000000"/>
                <w:sz w:val="24"/>
                <w:szCs w:val="24"/>
              </w:rPr>
              <w:t>-</w:t>
            </w:r>
          </w:p>
        </w:tc>
        <w:tc>
          <w:tcPr>
            <w:vAlign w:val="center"/>
          </w:tcPr>
          <w:p>
            <w:pPr>
              <w:jc w:val="center"/>
            </w:pPr>
            <w:r>
              <w:rPr>
                <w:color w:val="000000"/>
                <w:sz w:val="24"/>
                <w:szCs w:val="24"/>
              </w:rPr>
              <w:t>12年</w:t>
            </w:r>
          </w:p>
        </w:tc>
        <w:tc>
          <w:tcPr>
            <w:vAlign w:val="center"/>
          </w:tcPr>
          <w:p>
            <w:pPr>
              <w:jc w:val="both"/>
            </w:pPr>
            <w:r>
              <w:rPr>
                <w:color w:val="000000"/>
                <w:sz w:val="24"/>
                <w:szCs w:val="24"/>
              </w:rPr>
              <w:t>韩威俊先生，上海财经大学金融学硕士。历任申银万国证券研究所助理分析师、北京鼎天资产管理有限公司董事助理、申银万国证券研究所行业分析师、信诚基金管理有限公司投资分析师。2013年加入交银施罗德基金管理有限公司，历任行业分析师。</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进入2018年四季度，贸易战和人民币汇率等海外因素进入白热化阶段，导致海外资金对于国内市场的边际波动影响进一步扩大。国内宏观经济开始出现下降的趋势，虽然从七月出现了货币政策和财政政策的双拐点，但是真正反映到资本市场的流动性向好还需要一定的时滞，整个A股市场的赚钱效应并不是特别明显。</w:t>
      </w:r>
    </w:p>
    <w:p>
      <w:pPr>
        <w:spacing w:before="29" w:line="288" w:lineRule="auto"/>
        <w:ind w:firstLine="480" w:firstLineChars="200"/>
        <w:rPr>
          <w:color w:val="000000"/>
          <w:sz w:val="24"/>
          <w:szCs w:val="24"/>
        </w:rPr>
      </w:pPr>
      <w:r>
        <w:rPr>
          <w:color w:val="000000"/>
          <w:sz w:val="24"/>
          <w:szCs w:val="24"/>
        </w:rPr>
        <w:t>本基金四季度维持在中性仓位，十月在市场大幅回落的时候，适当提高了部分仓位。第一，考虑到十月以后中美汇率敞口可能带来的人民币汇率阶段性升值的机会，适度增加了黄金、基建、航空等配置比例，并在十一月中下旬逐步兑现。目前只留下了部分基建股作为2019年一季度的配置。第二，本基金在2018年三季度末超配的地产板块，在十二月也作了相应的兑现，特别是三四线地产股。地产股投资逻辑相对比较复杂，包括业绩增速、销售增速以及宏观政策的预期，考虑到龙头企业为了后续业绩增长的持续性，可能会对业绩做相应的平滑，预计2019年一季度整体房地产销售面积和新开工面积等中观数据压力会比较大，后续更多的还是要关注2019年三、四月的政策时间窗口以及市场对于地产龙头企业的业绩预期变化。第三，本基金在十二月中下旬增加了消费白马龙头的配置比例，特别是市场预期较低的白马龙头。这些白马龙头虽然预计2019年业绩增速大概率低于2018年，但是在整体宏观经济放缓的背景下已经逐步稀缺。经过中报以及三季报对于消费白马龙头的盈利预测下调，目前整体处于低预期下的低估值。从现金流和未来空间来看，目前的消费白马虽然股价弹性可能不是太大，但是在2019年应该能够获得不错的绝对收益和分红收益率。</w:t>
      </w:r>
    </w:p>
    <w:p>
      <w:pPr>
        <w:spacing w:before="29" w:line="288" w:lineRule="auto"/>
        <w:ind w:firstLine="480" w:firstLineChars="200"/>
        <w:rPr>
          <w:color w:val="000000"/>
          <w:sz w:val="24"/>
          <w:szCs w:val="24"/>
        </w:rPr>
      </w:pPr>
      <w:r>
        <w:rPr>
          <w:color w:val="000000"/>
          <w:sz w:val="24"/>
          <w:szCs w:val="24"/>
        </w:rPr>
        <w:t>展望2019年一季度：首先，中美贸易摩擦预估基本告一段落，美国如果在一季度末放缓加息进度，有望推动人民币汇率往升值方向发展，在标普纳入A股以及2019年年中MSCI比例提高的背景下，以人民币计价的A股在全球市场的吸引力会明显提升。其次，国内宏观增速出现回落已形成普遍预期，除非出现超预期的黑天鹅事件，否则整个市场的风险偏好很难进一步下降。</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xml:space="preserve">本基金在2019年一季度将维持现有仓位和配置思路，从现金流低预期的角度配置消费白马龙头，从人民币汇率升值重估角度配置地产基建或者黄金等。此外，希望通过自下而上的研究方式，从而挖掘到一季度能够业绩明显超预期的消费小黑马，并在一季度末开始做重点研究和配置。 </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 主要财务指标” 及“3.2.1本报告期基金份额净值增长率及其与同期业绩比较基准收益率的比较”部分披露。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rsidRPr="007B5F21">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tbl>
      <w:tblPr>
        <w:tblStyle w:val="af7"/>
        <w:tblW w:type="dxa" w:w="8897"/>
        <w:tblInd w:type="dxa" w:w="108"/>
        <w:tblLayout w:type="fixed"/>
        <w:tblLook w:val="04A0"/>
      </w:tblPr>
      <w:tblGrid>
        <w:gridCol w:w="720"/>
        <w:gridCol w:w="2824"/>
        <w:gridCol w:w="2552"/>
        <w:gridCol w:w="2801"/>
      </w:tblGrid>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824"/>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r w:rsidRPr="007B5F21">
              <w:rPr>
                <w:rFonts w:eastAsiaTheme="minorEastAsia"/>
                <w:color w:themeColor="text1" w:val="000000"/>
                <w:sz w:val="24"/>
                <w:szCs w:val="24"/>
              </w:rPr>
              <w:t>(</w:t>
            </w:r>
            <w:r w:rsidRPr="007B5F21">
              <w:rPr>
                <w:rFonts w:eastAsiaTheme="minorEastAsia"/>
                <w:color w:themeColor="text1" w:val="000000"/>
                <w:sz w:val="24"/>
                <w:szCs w:val="24"/>
              </w:rPr>
              <w:t>元</w:t>
            </w: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1</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775,038,617.71</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77.07</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775,038,617.71</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77.07</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824"/>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230,043,259.94</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22.87</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595,962.69</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0.06</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1,005,677,840.34</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rsidRPr="00F51C4E">
      <w:pPr>
        <w:rPr>
          <w:b/>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公允价值（元）</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543,199,127.54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55.47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37,939,529.04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3.87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13,110,000.00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50,145.80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165,625,358.22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16.91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889,972.08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9,193,378.95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0.94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5,031,106.08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0.51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775,038,617.71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79.14</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300146</w:t>
            </w:r>
          </w:p>
        </w:tc>
        <w:tc>
          <w:tcPr>
            <w:vAlign w:val="center"/>
          </w:tcPr>
          <w:p>
            <w:pPr>
              <w:jc w:val="center"/>
            </w:pPr>
            <w:r>
              <w:rPr>
                <w:color w:val="000000"/>
                <w:sz w:val="24"/>
                <w:szCs w:val="24"/>
              </w:rPr>
              <w:t>汤臣倍健</w:t>
            </w:r>
          </w:p>
        </w:tc>
        <w:tc>
          <w:tcPr>
            <w:vAlign w:val="center"/>
          </w:tcPr>
          <w:p>
            <w:pPr>
              <w:jc w:val="right"/>
            </w:pPr>
            <w:r>
              <w:rPr>
                <w:color w:val="000000"/>
                <w:sz w:val="24"/>
                <w:szCs w:val="24"/>
              </w:rPr>
              <w:t>5,342,985</w:t>
            </w:r>
          </w:p>
        </w:tc>
        <w:tc>
          <w:tcPr>
            <w:vAlign w:val="center"/>
          </w:tcPr>
          <w:p>
            <w:pPr>
              <w:jc w:val="right"/>
            </w:pPr>
            <w:r>
              <w:rPr>
                <w:color w:val="000000"/>
                <w:sz w:val="24"/>
                <w:szCs w:val="24"/>
              </w:rPr>
              <w:t>90,777,315.15</w:t>
            </w:r>
          </w:p>
        </w:tc>
        <w:tc>
          <w:tcPr>
            <w:vAlign w:val="center"/>
          </w:tcPr>
          <w:p>
            <w:pPr>
              <w:jc w:val="right"/>
            </w:pPr>
            <w:r>
              <w:rPr>
                <w:color w:val="000000"/>
                <w:sz w:val="24"/>
                <w:szCs w:val="24"/>
              </w:rPr>
              <w:t>9.27</w:t>
            </w:r>
          </w:p>
        </w:tc>
      </w:tr>
      <w:tr>
        <w:tc>
          <w:tcPr>
            <w:vAlign w:val="center"/>
          </w:tcPr>
          <w:p>
            <w:pPr>
              <w:jc w:val="center"/>
            </w:pPr>
            <w:r>
              <w:rPr>
                <w:color w:val="000000"/>
                <w:sz w:val="24"/>
                <w:szCs w:val="24"/>
              </w:rPr>
              <w:t>2</w:t>
            </w:r>
          </w:p>
        </w:tc>
        <w:tc>
          <w:tcPr>
            <w:vAlign w:val="center"/>
          </w:tcPr>
          <w:p>
            <w:pPr>
              <w:jc w:val="center"/>
            </w:pPr>
            <w:r>
              <w:rPr>
                <w:color w:val="000000"/>
                <w:sz w:val="24"/>
                <w:szCs w:val="24"/>
              </w:rPr>
              <w:t>600519</w:t>
            </w:r>
          </w:p>
        </w:tc>
        <w:tc>
          <w:tcPr>
            <w:vAlign w:val="center"/>
          </w:tcPr>
          <w:p>
            <w:pPr>
              <w:jc w:val="center"/>
            </w:pPr>
            <w:r>
              <w:rPr>
                <w:color w:val="000000"/>
                <w:sz w:val="24"/>
                <w:szCs w:val="24"/>
              </w:rPr>
              <w:t>贵州茅台</w:t>
            </w:r>
          </w:p>
        </w:tc>
        <w:tc>
          <w:tcPr>
            <w:vAlign w:val="center"/>
          </w:tcPr>
          <w:p>
            <w:pPr>
              <w:jc w:val="right"/>
            </w:pPr>
            <w:r>
              <w:rPr>
                <w:color w:val="000000"/>
                <w:sz w:val="24"/>
                <w:szCs w:val="24"/>
              </w:rPr>
              <w:t>150,043</w:t>
            </w:r>
          </w:p>
        </w:tc>
        <w:tc>
          <w:tcPr>
            <w:vAlign w:val="center"/>
          </w:tcPr>
          <w:p>
            <w:pPr>
              <w:jc w:val="right"/>
            </w:pPr>
            <w:r>
              <w:rPr>
                <w:color w:val="000000"/>
                <w:sz w:val="24"/>
                <w:szCs w:val="24"/>
              </w:rPr>
              <w:t>88,526,870.43</w:t>
            </w:r>
          </w:p>
        </w:tc>
        <w:tc>
          <w:tcPr>
            <w:vAlign w:val="center"/>
          </w:tcPr>
          <w:p>
            <w:pPr>
              <w:jc w:val="right"/>
            </w:pPr>
            <w:r>
              <w:rPr>
                <w:color w:val="000000"/>
                <w:sz w:val="24"/>
                <w:szCs w:val="24"/>
              </w:rPr>
              <w:t>9.04</w:t>
            </w:r>
          </w:p>
        </w:tc>
      </w:tr>
      <w:tr>
        <w:tc>
          <w:tcPr>
            <w:vAlign w:val="center"/>
          </w:tcPr>
          <w:p>
            <w:pPr>
              <w:jc w:val="center"/>
            </w:pPr>
            <w:r>
              <w:rPr>
                <w:color w:val="000000"/>
                <w:sz w:val="24"/>
                <w:szCs w:val="24"/>
              </w:rPr>
              <w:t>3</w:t>
            </w:r>
          </w:p>
        </w:tc>
        <w:tc>
          <w:tcPr>
            <w:vAlign w:val="center"/>
          </w:tcPr>
          <w:p>
            <w:pPr>
              <w:jc w:val="center"/>
            </w:pPr>
            <w:r>
              <w:rPr>
                <w:color w:val="000000"/>
                <w:sz w:val="24"/>
                <w:szCs w:val="24"/>
              </w:rPr>
              <w:t>002304</w:t>
            </w:r>
          </w:p>
        </w:tc>
        <w:tc>
          <w:tcPr>
            <w:vAlign w:val="center"/>
          </w:tcPr>
          <w:p>
            <w:pPr>
              <w:jc w:val="center"/>
            </w:pPr>
            <w:r>
              <w:rPr>
                <w:color w:val="000000"/>
                <w:sz w:val="24"/>
                <w:szCs w:val="24"/>
              </w:rPr>
              <w:t>洋河股份</w:t>
            </w:r>
          </w:p>
        </w:tc>
        <w:tc>
          <w:tcPr>
            <w:vAlign w:val="center"/>
          </w:tcPr>
          <w:p>
            <w:pPr>
              <w:jc w:val="right"/>
            </w:pPr>
            <w:r>
              <w:rPr>
                <w:color w:val="000000"/>
                <w:sz w:val="24"/>
                <w:szCs w:val="24"/>
              </w:rPr>
              <w:t>637,430</w:t>
            </w:r>
          </w:p>
        </w:tc>
        <w:tc>
          <w:tcPr>
            <w:vAlign w:val="center"/>
          </w:tcPr>
          <w:p>
            <w:pPr>
              <w:jc w:val="right"/>
            </w:pPr>
            <w:r>
              <w:rPr>
                <w:color w:val="000000"/>
                <w:sz w:val="24"/>
                <w:szCs w:val="24"/>
              </w:rPr>
              <w:t>60,377,369.60</w:t>
            </w:r>
          </w:p>
        </w:tc>
        <w:tc>
          <w:tcPr>
            <w:vAlign w:val="center"/>
          </w:tcPr>
          <w:p>
            <w:pPr>
              <w:jc w:val="right"/>
            </w:pPr>
            <w:r>
              <w:rPr>
                <w:color w:val="000000"/>
                <w:sz w:val="24"/>
                <w:szCs w:val="24"/>
              </w:rPr>
              <w:t>6.17</w:t>
            </w:r>
          </w:p>
        </w:tc>
      </w:tr>
      <w:tr>
        <w:tc>
          <w:tcPr>
            <w:vAlign w:val="center"/>
          </w:tcPr>
          <w:p>
            <w:pPr>
              <w:jc w:val="center"/>
            </w:pPr>
            <w:r>
              <w:rPr>
                <w:color w:val="000000"/>
                <w:sz w:val="24"/>
                <w:szCs w:val="24"/>
              </w:rPr>
              <w:t>4</w:t>
            </w:r>
          </w:p>
        </w:tc>
        <w:tc>
          <w:tcPr>
            <w:vAlign w:val="center"/>
          </w:tcPr>
          <w:p>
            <w:pPr>
              <w:jc w:val="center"/>
            </w:pPr>
            <w:r>
              <w:rPr>
                <w:color w:val="000000"/>
                <w:sz w:val="24"/>
                <w:szCs w:val="24"/>
              </w:rPr>
              <w:t>601155</w:t>
            </w:r>
          </w:p>
        </w:tc>
        <w:tc>
          <w:tcPr>
            <w:vAlign w:val="center"/>
          </w:tcPr>
          <w:p>
            <w:pPr>
              <w:jc w:val="center"/>
            </w:pPr>
            <w:r>
              <w:rPr>
                <w:color w:val="000000"/>
                <w:sz w:val="24"/>
                <w:szCs w:val="24"/>
              </w:rPr>
              <w:t>新城控股</w:t>
            </w:r>
          </w:p>
        </w:tc>
        <w:tc>
          <w:tcPr>
            <w:vAlign w:val="center"/>
          </w:tcPr>
          <w:p>
            <w:pPr>
              <w:jc w:val="right"/>
            </w:pPr>
            <w:r>
              <w:rPr>
                <w:color w:val="000000"/>
                <w:sz w:val="24"/>
                <w:szCs w:val="24"/>
              </w:rPr>
              <w:t>2,526,729</w:t>
            </w:r>
          </w:p>
        </w:tc>
        <w:tc>
          <w:tcPr>
            <w:vAlign w:val="center"/>
          </w:tcPr>
          <w:p>
            <w:pPr>
              <w:jc w:val="right"/>
            </w:pPr>
            <w:r>
              <w:rPr>
                <w:color w:val="000000"/>
                <w:sz w:val="24"/>
                <w:szCs w:val="24"/>
              </w:rPr>
              <w:t>59,858,210.01</w:t>
            </w:r>
          </w:p>
        </w:tc>
        <w:tc>
          <w:tcPr>
            <w:vAlign w:val="center"/>
          </w:tcPr>
          <w:p>
            <w:pPr>
              <w:jc w:val="right"/>
            </w:pPr>
            <w:r>
              <w:rPr>
                <w:color w:val="000000"/>
                <w:sz w:val="24"/>
                <w:szCs w:val="24"/>
              </w:rPr>
              <w:t>6.11</w:t>
            </w:r>
          </w:p>
        </w:tc>
      </w:tr>
      <w:tr>
        <w:tc>
          <w:tcPr>
            <w:vAlign w:val="center"/>
          </w:tcPr>
          <w:p>
            <w:pPr>
              <w:jc w:val="center"/>
            </w:pPr>
            <w:r>
              <w:rPr>
                <w:color w:val="000000"/>
                <w:sz w:val="24"/>
                <w:szCs w:val="24"/>
              </w:rPr>
              <w:t>5</w:t>
            </w:r>
          </w:p>
        </w:tc>
        <w:tc>
          <w:tcPr>
            <w:vAlign w:val="center"/>
          </w:tcPr>
          <w:p>
            <w:pPr>
              <w:jc w:val="center"/>
            </w:pPr>
            <w:r>
              <w:rPr>
                <w:color w:val="000000"/>
                <w:sz w:val="24"/>
                <w:szCs w:val="24"/>
              </w:rPr>
              <w:t>000858</w:t>
            </w:r>
          </w:p>
        </w:tc>
        <w:tc>
          <w:tcPr>
            <w:vAlign w:val="center"/>
          </w:tcPr>
          <w:p>
            <w:pPr>
              <w:jc w:val="center"/>
            </w:pPr>
            <w:r>
              <w:rPr>
                <w:color w:val="000000"/>
                <w:sz w:val="24"/>
                <w:szCs w:val="24"/>
              </w:rPr>
              <w:t>五粮液</w:t>
            </w:r>
          </w:p>
        </w:tc>
        <w:tc>
          <w:tcPr>
            <w:vAlign w:val="center"/>
          </w:tcPr>
          <w:p>
            <w:pPr>
              <w:jc w:val="right"/>
            </w:pPr>
            <w:r>
              <w:rPr>
                <w:color w:val="000000"/>
                <w:sz w:val="24"/>
                <w:szCs w:val="24"/>
              </w:rPr>
              <w:t>1,173,667</w:t>
            </w:r>
          </w:p>
        </w:tc>
        <w:tc>
          <w:tcPr>
            <w:vAlign w:val="center"/>
          </w:tcPr>
          <w:p>
            <w:pPr>
              <w:jc w:val="right"/>
            </w:pPr>
            <w:r>
              <w:rPr>
                <w:color w:val="000000"/>
                <w:sz w:val="24"/>
                <w:szCs w:val="24"/>
              </w:rPr>
              <w:t>59,716,176.96</w:t>
            </w:r>
          </w:p>
        </w:tc>
        <w:tc>
          <w:tcPr>
            <w:vAlign w:val="center"/>
          </w:tcPr>
          <w:p>
            <w:pPr>
              <w:jc w:val="right"/>
            </w:pPr>
            <w:r>
              <w:rPr>
                <w:color w:val="000000"/>
                <w:sz w:val="24"/>
                <w:szCs w:val="24"/>
              </w:rPr>
              <w:t>6.10</w:t>
            </w:r>
          </w:p>
        </w:tc>
      </w:tr>
      <w:tr>
        <w:tc>
          <w:tcPr>
            <w:vAlign w:val="center"/>
          </w:tcPr>
          <w:p>
            <w:pPr>
              <w:jc w:val="center"/>
            </w:pPr>
            <w:r>
              <w:rPr>
                <w:color w:val="000000"/>
                <w:sz w:val="24"/>
                <w:szCs w:val="24"/>
              </w:rPr>
              <w:t>6</w:t>
            </w:r>
          </w:p>
        </w:tc>
        <w:tc>
          <w:tcPr>
            <w:vAlign w:val="center"/>
          </w:tcPr>
          <w:p>
            <w:pPr>
              <w:jc w:val="center"/>
            </w:pPr>
            <w:r>
              <w:rPr>
                <w:color w:val="000000"/>
                <w:sz w:val="24"/>
                <w:szCs w:val="24"/>
              </w:rPr>
              <w:t>603808</w:t>
            </w:r>
          </w:p>
        </w:tc>
        <w:tc>
          <w:tcPr>
            <w:vAlign w:val="center"/>
          </w:tcPr>
          <w:p>
            <w:pPr>
              <w:jc w:val="center"/>
            </w:pPr>
            <w:r>
              <w:rPr>
                <w:color w:val="000000"/>
                <w:sz w:val="24"/>
                <w:szCs w:val="24"/>
              </w:rPr>
              <w:t>歌力思</w:t>
            </w:r>
          </w:p>
        </w:tc>
        <w:tc>
          <w:tcPr>
            <w:vAlign w:val="center"/>
          </w:tcPr>
          <w:p>
            <w:pPr>
              <w:jc w:val="right"/>
            </w:pPr>
            <w:r>
              <w:rPr>
                <w:color w:val="000000"/>
                <w:sz w:val="24"/>
                <w:szCs w:val="24"/>
              </w:rPr>
              <w:t>3,654,150</w:t>
            </w:r>
          </w:p>
        </w:tc>
        <w:tc>
          <w:tcPr>
            <w:vAlign w:val="center"/>
          </w:tcPr>
          <w:p>
            <w:pPr>
              <w:jc w:val="right"/>
            </w:pPr>
            <w:r>
              <w:rPr>
                <w:color w:val="000000"/>
                <w:sz w:val="24"/>
                <w:szCs w:val="24"/>
              </w:rPr>
              <w:t>59,343,396.00</w:t>
            </w:r>
          </w:p>
        </w:tc>
        <w:tc>
          <w:tcPr>
            <w:vAlign w:val="center"/>
          </w:tcPr>
          <w:p>
            <w:pPr>
              <w:jc w:val="right"/>
            </w:pPr>
            <w:r>
              <w:rPr>
                <w:color w:val="000000"/>
                <w:sz w:val="24"/>
                <w:szCs w:val="24"/>
              </w:rPr>
              <w:t>6.06</w:t>
            </w:r>
          </w:p>
        </w:tc>
      </w:tr>
      <w:tr>
        <w:tc>
          <w:tcPr>
            <w:vAlign w:val="center"/>
          </w:tcPr>
          <w:p>
            <w:pPr>
              <w:jc w:val="center"/>
            </w:pPr>
            <w:r>
              <w:rPr>
                <w:color w:val="000000"/>
                <w:sz w:val="24"/>
                <w:szCs w:val="24"/>
              </w:rPr>
              <w:t>7</w:t>
            </w:r>
          </w:p>
        </w:tc>
        <w:tc>
          <w:tcPr>
            <w:vAlign w:val="center"/>
          </w:tcPr>
          <w:p>
            <w:pPr>
              <w:jc w:val="center"/>
            </w:pPr>
            <w:r>
              <w:rPr>
                <w:color w:val="000000"/>
                <w:sz w:val="24"/>
                <w:szCs w:val="24"/>
              </w:rPr>
              <w:t>600048</w:t>
            </w:r>
          </w:p>
        </w:tc>
        <w:tc>
          <w:tcPr>
            <w:vAlign w:val="center"/>
          </w:tcPr>
          <w:p>
            <w:pPr>
              <w:jc w:val="center"/>
            </w:pPr>
            <w:r>
              <w:rPr>
                <w:color w:val="000000"/>
                <w:sz w:val="24"/>
                <w:szCs w:val="24"/>
              </w:rPr>
              <w:t>保利地产</w:t>
            </w:r>
          </w:p>
        </w:tc>
        <w:tc>
          <w:tcPr>
            <w:vAlign w:val="center"/>
          </w:tcPr>
          <w:p>
            <w:pPr>
              <w:jc w:val="right"/>
            </w:pPr>
            <w:r>
              <w:rPr>
                <w:color w:val="000000"/>
                <w:sz w:val="24"/>
                <w:szCs w:val="24"/>
              </w:rPr>
              <w:t>4,965,091</w:t>
            </w:r>
          </w:p>
        </w:tc>
        <w:tc>
          <w:tcPr>
            <w:vAlign w:val="center"/>
          </w:tcPr>
          <w:p>
            <w:pPr>
              <w:jc w:val="right"/>
            </w:pPr>
            <w:r>
              <w:rPr>
                <w:color w:val="000000"/>
                <w:sz w:val="24"/>
                <w:szCs w:val="24"/>
              </w:rPr>
              <w:t>58,538,422.89</w:t>
            </w:r>
          </w:p>
        </w:tc>
        <w:tc>
          <w:tcPr>
            <w:vAlign w:val="center"/>
          </w:tcPr>
          <w:p>
            <w:pPr>
              <w:jc w:val="right"/>
            </w:pPr>
            <w:r>
              <w:rPr>
                <w:color w:val="000000"/>
                <w:sz w:val="24"/>
                <w:szCs w:val="24"/>
              </w:rPr>
              <w:t>5.98</w:t>
            </w:r>
          </w:p>
        </w:tc>
      </w:tr>
      <w:tr>
        <w:tc>
          <w:tcPr>
            <w:vAlign w:val="center"/>
          </w:tcPr>
          <w:p>
            <w:pPr>
              <w:jc w:val="center"/>
            </w:pPr>
            <w:r>
              <w:rPr>
                <w:color w:val="000000"/>
                <w:sz w:val="24"/>
                <w:szCs w:val="24"/>
              </w:rPr>
              <w:t>8</w:t>
            </w:r>
          </w:p>
        </w:tc>
        <w:tc>
          <w:tcPr>
            <w:vAlign w:val="center"/>
          </w:tcPr>
          <w:p>
            <w:pPr>
              <w:jc w:val="center"/>
            </w:pPr>
            <w:r>
              <w:rPr>
                <w:color w:val="000000"/>
                <w:sz w:val="24"/>
                <w:szCs w:val="24"/>
              </w:rPr>
              <w:t>600276</w:t>
            </w:r>
          </w:p>
        </w:tc>
        <w:tc>
          <w:tcPr>
            <w:vAlign w:val="center"/>
          </w:tcPr>
          <w:p>
            <w:pPr>
              <w:jc w:val="center"/>
            </w:pPr>
            <w:r>
              <w:rPr>
                <w:color w:val="000000"/>
                <w:sz w:val="24"/>
                <w:szCs w:val="24"/>
              </w:rPr>
              <w:t>恒瑞医药</w:t>
            </w:r>
          </w:p>
        </w:tc>
        <w:tc>
          <w:tcPr>
            <w:vAlign w:val="center"/>
          </w:tcPr>
          <w:p>
            <w:pPr>
              <w:jc w:val="right"/>
            </w:pPr>
            <w:r>
              <w:rPr>
                <w:color w:val="000000"/>
                <w:sz w:val="24"/>
                <w:szCs w:val="24"/>
              </w:rPr>
              <w:t>923,100</w:t>
            </w:r>
          </w:p>
        </w:tc>
        <w:tc>
          <w:tcPr>
            <w:vAlign w:val="center"/>
          </w:tcPr>
          <w:p>
            <w:pPr>
              <w:jc w:val="right"/>
            </w:pPr>
            <w:r>
              <w:rPr>
                <w:color w:val="000000"/>
                <w:sz w:val="24"/>
                <w:szCs w:val="24"/>
              </w:rPr>
              <w:t>48,693,525.00</w:t>
            </w:r>
          </w:p>
        </w:tc>
        <w:tc>
          <w:tcPr>
            <w:vAlign w:val="center"/>
          </w:tcPr>
          <w:p>
            <w:pPr>
              <w:jc w:val="right"/>
            </w:pPr>
            <w:r>
              <w:rPr>
                <w:color w:val="000000"/>
                <w:sz w:val="24"/>
                <w:szCs w:val="24"/>
              </w:rPr>
              <w:t>4.97</w:t>
            </w:r>
          </w:p>
        </w:tc>
      </w:tr>
      <w:tr>
        <w:tc>
          <w:tcPr>
            <w:vAlign w:val="center"/>
          </w:tcPr>
          <w:p>
            <w:pPr>
              <w:jc w:val="center"/>
            </w:pPr>
            <w:r>
              <w:rPr>
                <w:color w:val="000000"/>
                <w:sz w:val="24"/>
                <w:szCs w:val="24"/>
              </w:rPr>
              <w:t>9</w:t>
            </w:r>
          </w:p>
        </w:tc>
        <w:tc>
          <w:tcPr>
            <w:vAlign w:val="center"/>
          </w:tcPr>
          <w:p>
            <w:pPr>
              <w:jc w:val="center"/>
            </w:pPr>
            <w:r>
              <w:rPr>
                <w:color w:val="000000"/>
                <w:sz w:val="24"/>
                <w:szCs w:val="24"/>
              </w:rPr>
              <w:t>600887</w:t>
            </w:r>
          </w:p>
        </w:tc>
        <w:tc>
          <w:tcPr>
            <w:vAlign w:val="center"/>
          </w:tcPr>
          <w:p>
            <w:pPr>
              <w:jc w:val="center"/>
            </w:pPr>
            <w:r>
              <w:rPr>
                <w:color w:val="000000"/>
                <w:sz w:val="24"/>
                <w:szCs w:val="24"/>
              </w:rPr>
              <w:t>伊利股份</w:t>
            </w:r>
          </w:p>
        </w:tc>
        <w:tc>
          <w:tcPr>
            <w:vAlign w:val="center"/>
          </w:tcPr>
          <w:p>
            <w:pPr>
              <w:jc w:val="right"/>
            </w:pPr>
            <w:r>
              <w:rPr>
                <w:color w:val="000000"/>
                <w:sz w:val="24"/>
                <w:szCs w:val="24"/>
              </w:rPr>
              <w:t>1,756,642</w:t>
            </w:r>
          </w:p>
        </w:tc>
        <w:tc>
          <w:tcPr>
            <w:vAlign w:val="center"/>
          </w:tcPr>
          <w:p>
            <w:pPr>
              <w:jc w:val="right"/>
            </w:pPr>
            <w:r>
              <w:rPr>
                <w:color w:val="000000"/>
                <w:sz w:val="24"/>
                <w:szCs w:val="24"/>
              </w:rPr>
              <w:t>40,191,968.96</w:t>
            </w:r>
          </w:p>
        </w:tc>
        <w:tc>
          <w:tcPr>
            <w:vAlign w:val="center"/>
          </w:tcPr>
          <w:p>
            <w:pPr>
              <w:jc w:val="right"/>
            </w:pPr>
            <w:r>
              <w:rPr>
                <w:color w:val="000000"/>
                <w:sz w:val="24"/>
                <w:szCs w:val="24"/>
              </w:rPr>
              <w:t>4.10</w:t>
            </w:r>
          </w:p>
        </w:tc>
      </w:tr>
      <w:tr>
        <w:tc>
          <w:tcPr>
            <w:vAlign w:val="center"/>
          </w:tcPr>
          <w:p>
            <w:pPr>
              <w:jc w:val="center"/>
            </w:pPr>
            <w:r>
              <w:rPr>
                <w:color w:val="000000"/>
                <w:sz w:val="24"/>
                <w:szCs w:val="24"/>
              </w:rPr>
              <w:t>10</w:t>
            </w:r>
          </w:p>
        </w:tc>
        <w:tc>
          <w:tcPr>
            <w:vAlign w:val="center"/>
          </w:tcPr>
          <w:p>
            <w:pPr>
              <w:jc w:val="center"/>
            </w:pPr>
            <w:r>
              <w:rPr>
                <w:color w:val="000000"/>
                <w:sz w:val="24"/>
                <w:szCs w:val="24"/>
              </w:rPr>
              <w:t>000002</w:t>
            </w:r>
          </w:p>
        </w:tc>
        <w:tc>
          <w:tcPr>
            <w:vAlign w:val="center"/>
          </w:tcPr>
          <w:p>
            <w:pPr>
              <w:jc w:val="center"/>
            </w:pPr>
            <w:r>
              <w:rPr>
                <w:color w:val="000000"/>
                <w:sz w:val="24"/>
                <w:szCs w:val="24"/>
              </w:rPr>
              <w:t>万科A</w:t>
            </w:r>
          </w:p>
        </w:tc>
        <w:tc>
          <w:tcPr>
            <w:vAlign w:val="center"/>
          </w:tcPr>
          <w:p>
            <w:pPr>
              <w:jc w:val="right"/>
            </w:pPr>
            <w:r>
              <w:rPr>
                <w:color w:val="000000"/>
                <w:sz w:val="24"/>
                <w:szCs w:val="24"/>
              </w:rPr>
              <w:t>1,378,316</w:t>
            </w:r>
          </w:p>
        </w:tc>
        <w:tc>
          <w:tcPr>
            <w:vAlign w:val="center"/>
          </w:tcPr>
          <w:p>
            <w:pPr>
              <w:jc w:val="right"/>
            </w:pPr>
            <w:r>
              <w:rPr>
                <w:color w:val="000000"/>
                <w:sz w:val="24"/>
                <w:szCs w:val="24"/>
              </w:rPr>
              <w:t>32,831,487.12</w:t>
            </w:r>
          </w:p>
        </w:tc>
        <w:tc>
          <w:tcPr>
            <w:vAlign w:val="center"/>
          </w:tcPr>
          <w:p>
            <w:pPr>
              <w:jc w:val="right"/>
            </w:pPr>
            <w:r>
              <w:rPr>
                <w:color w:val="000000"/>
                <w:sz w:val="24"/>
                <w:szCs w:val="24"/>
              </w:rPr>
              <w:t>3.35</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本基金本报告期末未持有债券。</w:t>
      </w:r>
    </w:p>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sz w:val="24"/>
          <w:szCs w:val="24"/>
        </w:rPr>
      </w:pP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lastRenderedPageBreak/>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horzAnchor="margin" w:leftFromText="180" w:rightFromText="180" w:tblpXSpec="center" w:tblpY="265" w:vertAnchor="text"/>
        <w:tblW w:type="dxa" w:w="8868"/>
        <w:jc w:val="center"/>
        <w:tblLayout w:type="fixed"/>
        <w:tblCellMar>
          <w:top w:type="dxa" w:w="-1"/>
          <w:bottom w:type="dxa" w:w="-1"/>
        </w:tblCellMar>
        <w:tblLook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458,036.87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49,600.67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88,325.15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595,962.69</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11537B" w:rsidR="001F3E2A" w:rsidRDefault="001F3E2A" w:rsidRPr="00575270">
      <w:pPr>
        <w:pStyle w:val="1"/>
        <w:spacing w:afterLines="100" w:beforeLines="100" w:line="360" w:lineRule="auto"/>
        <w:jc w:val="center"/>
        <w:rPr>
          <w:rFonts w:eastAsiaTheme="minorEastAsia"/>
          <w:color w:themeColor="text1" w:val="000000"/>
          <w:kern w:val="0"/>
          <w:sz w:val="24"/>
          <w:szCs w:val="24"/>
        </w:rPr>
      </w:pPr>
      <w:r w:rsidRPr="00575270">
        <w:rPr>
          <w:rFonts w:eastAsiaTheme="minorEastAsia"/>
          <w:color w:themeColor="text1" w:val="000000"/>
          <w:kern w:val="0"/>
          <w:sz w:val="24"/>
          <w:szCs w:val="24"/>
        </w:rPr>
        <w:lastRenderedPageBreak/>
        <w:t>§6</w:t>
      </w:r>
      <w:r w:rsidRPr="00575270">
        <w:rPr>
          <w:rFonts w:eastAsiaTheme="minorEastAsia" w:hint="eastAsia"/>
          <w:color w:themeColor="text1" w:val="000000"/>
          <w:kern w:val="0"/>
          <w:sz w:val="24"/>
          <w:szCs w:val="24"/>
        </w:rPr>
        <w:t xml:space="preserve">  </w:t>
      </w:r>
      <w:r w:rsidRPr="00575270">
        <w:rPr>
          <w:rFonts w:eastAsiaTheme="minorEastAsia" w:hint="eastAsia"/>
          <w:color w:themeColor="text1" w:val="000000"/>
          <w:kern w:val="0"/>
          <w:sz w:val="24"/>
          <w:szCs w:val="24"/>
        </w:rPr>
        <w:t>基金中基金</w:t>
      </w:r>
    </w:p>
    <w:p w:rsidP="001F3E2A" w:rsidR="001F3E2A" w:rsidRDefault="001F3E2A" w:rsidRPr="00575270">
      <w:pPr>
        <w:adjustRightInd w:val="0"/>
        <w:snapToGrid w:val="0"/>
        <w:spacing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1</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报告期末按公允价值占基金资产净值比例大小排序的前十名基金投资明细</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本基金本报告期末未持有基金。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2</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当期交易及持有基金产生的费用</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本基金本报告期内未交易或持有基金。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3</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本报告期持有的基金发生的重大影响事件</w:t>
      </w:r>
    </w:p>
    <w:tbl>
      <w:tblPr>
        <w:tblStyle w:val="af7"/>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val="04A0"/>
      </w:tblPr>
      <w:tblGrid>
        <w:gridCol w:w="9242"/>
      </w:tblGrid>
      <w:tr w:rsidR="001F3E2A" w:rsidRPr="00575270" w:rsidTr="00D9393A">
        <w:tc>
          <w:tcPr>
            <w:tcW w:type="dxa" w:w="9036"/>
          </w:tcPr>
          <w:p w:rsidP="00CD14C0"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
            </w: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无。</w:t>
            </w:r>
          </w:p>
        </w:tc>
      </w:tr>
    </w:tbl>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Lines="100" w:beforeLines="100" w:line="360" w:lineRule="auto"/>
        <w:jc w:val="center"/>
        <w:rPr>
          <w:rFonts w:eastAsiaTheme="minorEastAsia"/>
          <w:color w:themeColor="text1" w:val="000000"/>
          <w:kern w:val="0"/>
          <w:sz w:val="24"/>
          <w:szCs w:val="24"/>
        </w:rPr>
      </w:pPr>
      <w:bookmarkStart w:id="2" w:name="_GoBack"/>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7</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bookmarkEnd w:id="2"/>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688,403,379.31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359,718,451.39</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43,388,703.92</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1,004,733,126.78</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Lines="100"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8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8.1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Lines="100"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§9</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2018/10/1-2018/12/31</w:t>
            </w:r>
          </w:p>
        </w:tc>
        <w:tc>
          <w:tcPr>
            <w:vAlign w:val="center"/>
          </w:tcPr>
          <w:p>
            <w:pPr>
              <w:jc w:val="center"/>
            </w:pPr>
            <w:r>
              <w:rPr>
                <w:rFonts w:ascii="宋体" w:hAnsi="宋体"/>
                <w:color w:val="000000"/>
                <w:kern w:val="0"/>
              </w:rPr>
              <w:t>172,561,691.11</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172,561,691.11</w:t>
            </w:r>
          </w:p>
        </w:tc>
        <w:tc>
          <w:tcPr>
            <w:vAlign w:val="center"/>
          </w:tcPr>
          <w:p>
            <w:pPr>
              <w:jc w:val="center"/>
            </w:pPr>
            <w:r>
              <w:rPr>
                <w:rFonts w:ascii="宋体" w:hAnsi="宋体"/>
                <w:color w:val="000000"/>
                <w:kern w:val="0"/>
              </w:rPr>
              <w:t>17.17%</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11537B" w:rsidR="00B22DEE" w:rsidRDefault="004061AC" w:rsidRPr="00E02660">
      <w:pPr>
        <w:pStyle w:val="1"/>
        <w:spacing w:afterLines="100"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1、中国证监会批准交银施罗德荣安保本混合型证券投资基金募集的文件；</w:t>
      </w:r>
    </w:p>
    <w:p>
      <w:pPr>
        <w:spacing w:before="29" w:line="288" w:lineRule="auto"/>
        <w:ind w:firstLine="480" w:firstLineChars="200"/>
        <w:rPr>
          <w:color w:val="000000"/>
          <w:sz w:val="24"/>
          <w:szCs w:val="24"/>
        </w:rPr>
      </w:pPr>
      <w:r>
        <w:rPr>
          <w:color w:val="000000"/>
          <w:sz w:val="24"/>
          <w:szCs w:val="24"/>
        </w:rPr>
        <w:t>2、《交银施罗德策略回报灵活配置混合型证券投资基金基金合同》；</w:t>
      </w:r>
    </w:p>
    <w:p>
      <w:pPr>
        <w:spacing w:before="29" w:line="288" w:lineRule="auto"/>
        <w:ind w:firstLine="480" w:firstLineChars="200"/>
        <w:rPr>
          <w:color w:val="000000"/>
          <w:sz w:val="24"/>
          <w:szCs w:val="24"/>
        </w:rPr>
      </w:pPr>
      <w:r>
        <w:rPr>
          <w:color w:val="000000"/>
          <w:sz w:val="24"/>
          <w:szCs w:val="24"/>
        </w:rPr>
        <w:t>3、《交银施罗德策略回报灵活配置混合型证券投资基金招募说明书》；</w:t>
      </w:r>
    </w:p>
    <w:p>
      <w:pPr>
        <w:spacing w:before="29" w:line="288" w:lineRule="auto"/>
        <w:ind w:firstLine="480" w:firstLineChars="200"/>
        <w:rPr>
          <w:color w:val="000000"/>
          <w:sz w:val="24"/>
          <w:szCs w:val="24"/>
        </w:rPr>
      </w:pPr>
      <w:r>
        <w:rPr>
          <w:color w:val="000000"/>
          <w:sz w:val="24"/>
          <w:szCs w:val="24"/>
        </w:rPr>
        <w:t>4、《交银施罗德策略回报灵活配置混合型证券投资基金托管协议》；</w:t>
      </w:r>
    </w:p>
    <w:p>
      <w:pPr>
        <w:spacing w:before="29" w:line="288" w:lineRule="auto"/>
        <w:ind w:firstLine="480" w:firstLineChars="200"/>
        <w:rPr>
          <w:color w:val="000000"/>
          <w:sz w:val="24"/>
          <w:szCs w:val="24"/>
        </w:rPr>
      </w:pPr>
      <w:r>
        <w:rPr>
          <w:color w:val="000000"/>
          <w:sz w:val="24"/>
          <w:szCs w:val="24"/>
        </w:rPr>
        <w:t>5、《交银施罗德荣安保本混合型证券投资基金基金合同》；</w:t>
      </w:r>
    </w:p>
    <w:p>
      <w:pPr>
        <w:spacing w:before="29" w:line="288" w:lineRule="auto"/>
        <w:ind w:firstLine="480" w:firstLineChars="200"/>
        <w:rPr>
          <w:color w:val="000000"/>
          <w:sz w:val="24"/>
          <w:szCs w:val="24"/>
        </w:rPr>
      </w:pPr>
      <w:r>
        <w:rPr>
          <w:color w:val="000000"/>
          <w:sz w:val="24"/>
          <w:szCs w:val="24"/>
        </w:rPr>
        <w:t>6、《交银施罗德荣安保本混合型证券投资基金招募说明书》；</w:t>
      </w:r>
    </w:p>
    <w:p>
      <w:pPr>
        <w:spacing w:before="29" w:line="288" w:lineRule="auto"/>
        <w:ind w:firstLine="480" w:firstLineChars="200"/>
        <w:rPr>
          <w:color w:val="000000"/>
          <w:sz w:val="24"/>
          <w:szCs w:val="24"/>
        </w:rPr>
      </w:pPr>
      <w:r>
        <w:rPr>
          <w:color w:val="000000"/>
          <w:sz w:val="24"/>
          <w:szCs w:val="24"/>
        </w:rPr>
        <w:t>7、《交银施罗德荣安保本混合型证券投资基金托管协议》；</w:t>
      </w:r>
    </w:p>
    <w:p>
      <w:pPr>
        <w:spacing w:before="29" w:line="288" w:lineRule="auto"/>
        <w:ind w:firstLine="480" w:firstLineChars="200"/>
        <w:rPr>
          <w:color w:val="000000"/>
          <w:sz w:val="24"/>
          <w:szCs w:val="24"/>
        </w:rPr>
      </w:pPr>
      <w:r>
        <w:rPr>
          <w:color w:val="000000"/>
          <w:sz w:val="24"/>
          <w:szCs w:val="24"/>
        </w:rPr>
        <w:t xml:space="preserve">8、《交银施罗德荣安保本混合型证券投资基金保证合同》； </w:t>
      </w:r>
    </w:p>
    <w:p>
      <w:pPr>
        <w:spacing w:before="29" w:line="288" w:lineRule="auto"/>
        <w:ind w:firstLine="480" w:firstLineChars="200"/>
        <w:rPr>
          <w:color w:val="000000"/>
          <w:sz w:val="24"/>
          <w:szCs w:val="24"/>
        </w:rPr>
      </w:pPr>
      <w:r>
        <w:rPr>
          <w:color w:val="000000"/>
          <w:sz w:val="24"/>
          <w:szCs w:val="24"/>
        </w:rPr>
        <w:t>9、基金管理人业务资格批件、营业执照；</w:t>
      </w:r>
    </w:p>
    <w:p>
      <w:pPr>
        <w:spacing w:before="29" w:line="288" w:lineRule="auto"/>
        <w:ind w:firstLine="480" w:firstLineChars="200"/>
        <w:rPr>
          <w:color w:val="000000"/>
          <w:sz w:val="24"/>
          <w:szCs w:val="24"/>
        </w:rPr>
      </w:pPr>
      <w:r>
        <w:rPr>
          <w:color w:val="000000"/>
          <w:sz w:val="24"/>
          <w:szCs w:val="24"/>
        </w:rPr>
        <w:t>10、基金托管人业务资格批件、营业执照；</w:t>
      </w:r>
    </w:p>
    <w:p>
      <w:pPr>
        <w:spacing w:before="29" w:line="288" w:lineRule="auto"/>
        <w:ind w:firstLine="480" w:firstLineChars="200"/>
        <w:rPr>
          <w:color w:val="000000"/>
          <w:sz w:val="24"/>
          <w:szCs w:val="24"/>
        </w:rPr>
      </w:pPr>
      <w:r>
        <w:rPr>
          <w:color w:val="000000"/>
          <w:sz w:val="24"/>
          <w:szCs w:val="24"/>
        </w:rPr>
        <w:t>11、关于申请募集交银施罗德荣安保本混合型证券投资基金之法律意见书；</w:t>
      </w:r>
    </w:p>
    <w:p>
      <w:pPr>
        <w:spacing w:before="29" w:line="288" w:lineRule="auto"/>
        <w:ind w:firstLine="480" w:firstLineChars="200"/>
        <w:rPr>
          <w:color w:val="000000"/>
          <w:sz w:val="24"/>
          <w:szCs w:val="24"/>
        </w:rPr>
      </w:pPr>
      <w:r>
        <w:rPr>
          <w:color w:val="000000"/>
          <w:sz w:val="24"/>
          <w:szCs w:val="24"/>
        </w:rPr>
        <w:t>12、关于修改《交银施罗德荣安保本混合型证券投资基金基金合同》的法律意见；</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13、报告期内交银施罗德策略回报灵活配置混合型证券投资基金在指定报刊上各项公告的原稿。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11537B">
      <w:rPr>
        <w:noProof/>
        <w:kern w:val="0"/>
        <w:szCs w:val="21"/>
      </w:rPr>
      <w:t>19</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11537B">
      <w:rPr>
        <w:noProof/>
        <w:kern w:val="0"/>
        <w:szCs w:val="21"/>
      </w:rPr>
      <w:t>25</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P="00876D65" w:rsidR="004B2AF4" w:rsidRDefault="004B2AF4">
      <w:r>
        <w:separator/>
      </w:r>
    </w:p>
  </w:footnote>
  <w:footnote w:id="0" w:type="continuationSeparator">
    <w:p w:rsidP="00876D65" w:rsidR="004B2AF4" w:rsidRDefault="004B2AF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090A26" w:rsidR="00171EF0" w:rsidRDefault="00DC456F" w:rsidRPr="00DC456F">
    <w:pPr>
      <w:pStyle w:val="a9"/>
      <w:pBdr>
        <w:bottom w:color="auto" w:space="0" w:sz="6" w:val="single"/>
      </w:pBdr>
      <w:jc w:val="right"/>
      <w:rPr>
        <w:sz w:val="24"/>
        <w:szCs w:val="24"/>
      </w:rPr>
    </w:pPr>
    <w:r w:rsidRPr="003E676C">
      <w:rPr>
        <w:sz w:val="24"/>
        <w:szCs w:val="24"/>
      </w:rPr>
      <w:t>交银施罗德策略回报灵活配置混合型证券投资基金2018年第4季度报告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nhideWhenUsed="0"/>
    <w:lsdException w:name="heading 2" w:qFormat="1"/>
    <w:lsdException w:name="heading 3" w:qFormat="1"/>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uiPriority="35"/>
    <w:lsdException w:name="footnote reference" w:uiPriority="0"/>
    <w:lsdException w:name="Title" w:qFormat="1" w:semiHidden="0" w:unhideWhenUsed="0"/>
    <w:lsdException w:name="Default Paragraph Font" w:uiPriority="1"/>
    <w:lsdException w:name="Subtitle" w:qFormat="1" w:semiHidden="0" w:uiPriority="11" w:unhideWhenUsed="0"/>
    <w:lsdException w:name="Date" w:uiPriority="0"/>
    <w:lsdException w:name="Strong" w:qFormat="1" w:semiHidden="0" w:uiPriority="22" w:unhideWhenUsed="0"/>
    <w:lsdException w:name="Emphasis" w:qFormat="1" w:semiHidden="0" w:uiPriority="20" w:unhideWhenUsed="0"/>
    <w:lsdException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65BAF-6A5D-4E6F-B945-BE15026D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25</Pages>
  <Words>4136</Words>
  <Characters>23578</Characters>
  <Application>Microsoft Office Word</Application>
  <DocSecurity>0</DocSecurity>
  <Lines>196</Lines>
  <Paragraphs>55</Paragraphs>
  <ScaleCrop>false</ScaleCrop>
  <Company/>
  <LinksUpToDate>false</LinksUpToDate>
  <CharactersWithSpaces>27659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Administrator</cp:lastModifiedBy>
  <dcterms:modified xsi:type="dcterms:W3CDTF">2018-09-13T02:58:00Z</dcterms:modified>
  <cp:revision>578</cp:revision>
</cp:coreProperties>
</file>