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A4B13" w:rsidRDefault="00DD063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563,077,746.71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15694" w:rsidRPr="00414345" w:rsidTr="0011569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15694" w:rsidRPr="00414345" w:rsidTr="001156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5,093,896.79</w:t>
            </w:r>
          </w:p>
        </w:tc>
      </w:tr>
      <w:tr w:rsidR="00115694" w:rsidRPr="00414345" w:rsidTr="001156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3,212,090.63</w:t>
            </w:r>
          </w:p>
        </w:tc>
      </w:tr>
      <w:tr w:rsidR="00115694" w:rsidRPr="00414345" w:rsidTr="001156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0.0057</w:t>
            </w:r>
          </w:p>
        </w:tc>
      </w:tr>
      <w:tr w:rsidR="00115694" w:rsidRPr="00414345" w:rsidTr="001156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602,640,845.33</w:t>
            </w:r>
          </w:p>
        </w:tc>
      </w:tr>
      <w:tr w:rsidR="00115694" w:rsidRPr="00414345" w:rsidTr="0011569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1.070</w:t>
            </w:r>
          </w:p>
        </w:tc>
      </w:tr>
    </w:tbl>
    <w:p w:rsidR="007A4B13" w:rsidRDefault="00DD06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A4B13">
        <w:trPr>
          <w:jc w:val="center"/>
        </w:trPr>
        <w:tc>
          <w:tcPr>
            <w:tcW w:w="1701" w:type="dxa"/>
            <w:vAlign w:val="center"/>
          </w:tcPr>
          <w:p w:rsidR="007A4B13" w:rsidRDefault="00DD0637">
            <w:pPr>
              <w:jc w:val="left"/>
            </w:pPr>
            <w:r>
              <w:rPr>
                <w:color w:val="000000"/>
                <w:sz w:val="24"/>
                <w:szCs w:val="24"/>
              </w:rPr>
              <w:t>过去三个月</w:t>
            </w:r>
          </w:p>
        </w:tc>
        <w:tc>
          <w:tcPr>
            <w:tcW w:w="1045" w:type="dxa"/>
            <w:vAlign w:val="center"/>
          </w:tcPr>
          <w:p w:rsidR="007A4B13" w:rsidRDefault="00DD0637">
            <w:pPr>
              <w:jc w:val="center"/>
            </w:pPr>
            <w:r>
              <w:rPr>
                <w:color w:val="000000"/>
                <w:sz w:val="24"/>
                <w:szCs w:val="24"/>
              </w:rPr>
              <w:t>0.47%</w:t>
            </w:r>
          </w:p>
        </w:tc>
        <w:tc>
          <w:tcPr>
            <w:tcW w:w="1344" w:type="dxa"/>
            <w:vAlign w:val="center"/>
          </w:tcPr>
          <w:p w:rsidR="007A4B13" w:rsidRDefault="00DD0637">
            <w:pPr>
              <w:jc w:val="center"/>
            </w:pPr>
            <w:r>
              <w:rPr>
                <w:color w:val="000000"/>
                <w:sz w:val="24"/>
                <w:szCs w:val="24"/>
              </w:rPr>
              <w:t>0.04%</w:t>
            </w:r>
          </w:p>
        </w:tc>
        <w:tc>
          <w:tcPr>
            <w:tcW w:w="1194" w:type="dxa"/>
            <w:vAlign w:val="center"/>
          </w:tcPr>
          <w:p w:rsidR="007A4B13" w:rsidRDefault="00DD0637">
            <w:pPr>
              <w:jc w:val="center"/>
            </w:pPr>
            <w:r>
              <w:rPr>
                <w:color w:val="000000"/>
                <w:sz w:val="24"/>
                <w:szCs w:val="24"/>
              </w:rPr>
              <w:t>0.70%</w:t>
            </w:r>
          </w:p>
        </w:tc>
        <w:tc>
          <w:tcPr>
            <w:tcW w:w="1492" w:type="dxa"/>
            <w:vAlign w:val="center"/>
          </w:tcPr>
          <w:p w:rsidR="007A4B13" w:rsidRDefault="00DD0637">
            <w:pPr>
              <w:jc w:val="center"/>
            </w:pPr>
            <w:r>
              <w:rPr>
                <w:color w:val="000000"/>
                <w:sz w:val="24"/>
                <w:szCs w:val="24"/>
              </w:rPr>
              <w:t>0.01%</w:t>
            </w:r>
          </w:p>
        </w:tc>
        <w:tc>
          <w:tcPr>
            <w:tcW w:w="1194" w:type="dxa"/>
            <w:vAlign w:val="center"/>
          </w:tcPr>
          <w:p w:rsidR="007A4B13" w:rsidRDefault="00DD0637">
            <w:pPr>
              <w:jc w:val="center"/>
            </w:pPr>
            <w:r>
              <w:rPr>
                <w:color w:val="000000"/>
                <w:sz w:val="24"/>
                <w:szCs w:val="24"/>
              </w:rPr>
              <w:t>-0.23%</w:t>
            </w:r>
          </w:p>
        </w:tc>
        <w:tc>
          <w:tcPr>
            <w:tcW w:w="898" w:type="dxa"/>
            <w:vAlign w:val="center"/>
          </w:tcPr>
          <w:p w:rsidR="007A4B13" w:rsidRDefault="00DD0637">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A4B13">
        <w:trPr>
          <w:jc w:val="center"/>
        </w:trPr>
        <w:tc>
          <w:tcPr>
            <w:tcW w:w="846" w:type="dxa"/>
            <w:vAlign w:val="center"/>
          </w:tcPr>
          <w:p w:rsidR="007A4B13" w:rsidRDefault="00DD0637">
            <w:pPr>
              <w:jc w:val="center"/>
            </w:pPr>
            <w:r>
              <w:rPr>
                <w:color w:val="000000"/>
                <w:sz w:val="24"/>
                <w:szCs w:val="24"/>
              </w:rPr>
              <w:t>于海颖</w:t>
            </w:r>
          </w:p>
        </w:tc>
        <w:tc>
          <w:tcPr>
            <w:tcW w:w="845" w:type="dxa"/>
            <w:vAlign w:val="center"/>
          </w:tcPr>
          <w:p w:rsidR="007A4B13" w:rsidRDefault="00DD0637">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丰债券、交银增强收益债券、交银强化回报债券、交银丰盈收益债券、交银荣鑫保本混合、交银增利增强债券、交银丰晟收益债券、交银裕如纯债债券的基金经理，公司固定收益（公募）投资总监</w:t>
            </w:r>
          </w:p>
        </w:tc>
        <w:tc>
          <w:tcPr>
            <w:tcW w:w="1549" w:type="dxa"/>
            <w:vAlign w:val="center"/>
          </w:tcPr>
          <w:p w:rsidR="007A4B13" w:rsidRDefault="00DD0637">
            <w:pPr>
              <w:jc w:val="center"/>
            </w:pPr>
            <w:r>
              <w:rPr>
                <w:color w:val="000000"/>
                <w:sz w:val="24"/>
                <w:szCs w:val="24"/>
              </w:rPr>
              <w:lastRenderedPageBreak/>
              <w:t>2017-06-10</w:t>
            </w:r>
          </w:p>
        </w:tc>
        <w:tc>
          <w:tcPr>
            <w:tcW w:w="1548" w:type="dxa"/>
            <w:vAlign w:val="center"/>
          </w:tcPr>
          <w:p w:rsidR="007A4B13" w:rsidRDefault="00DD0637">
            <w:pPr>
              <w:jc w:val="center"/>
            </w:pPr>
            <w:r>
              <w:rPr>
                <w:color w:val="000000"/>
                <w:sz w:val="24"/>
                <w:szCs w:val="24"/>
              </w:rPr>
              <w:t>-</w:t>
            </w:r>
          </w:p>
        </w:tc>
        <w:tc>
          <w:tcPr>
            <w:tcW w:w="1407" w:type="dxa"/>
            <w:vAlign w:val="center"/>
          </w:tcPr>
          <w:p w:rsidR="007A4B13" w:rsidRDefault="00DD0637">
            <w:pPr>
              <w:jc w:val="center"/>
            </w:pPr>
            <w:r>
              <w:rPr>
                <w:color w:val="000000"/>
                <w:sz w:val="24"/>
                <w:szCs w:val="24"/>
              </w:rPr>
              <w:t>12</w:t>
            </w:r>
            <w:r>
              <w:rPr>
                <w:color w:val="000000"/>
                <w:sz w:val="24"/>
                <w:szCs w:val="24"/>
              </w:rPr>
              <w:t>年</w:t>
            </w:r>
          </w:p>
        </w:tc>
        <w:tc>
          <w:tcPr>
            <w:tcW w:w="2673" w:type="dxa"/>
            <w:vAlign w:val="center"/>
          </w:tcPr>
          <w:p w:rsidR="007A4B13" w:rsidRDefault="00DD0637">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w:t>
            </w:r>
            <w:r>
              <w:rPr>
                <w:color w:val="000000"/>
                <w:sz w:val="24"/>
                <w:szCs w:val="24"/>
              </w:rPr>
              <w:t>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A4B13" w:rsidRDefault="00DD063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A4B13" w:rsidRDefault="00DD0637">
      <w:pPr>
        <w:spacing w:before="29" w:line="288" w:lineRule="auto"/>
        <w:ind w:firstLineChars="200" w:firstLine="480"/>
        <w:rPr>
          <w:color w:val="000000"/>
          <w:sz w:val="24"/>
          <w:szCs w:val="24"/>
        </w:rPr>
      </w:pPr>
      <w:r>
        <w:rPr>
          <w:color w:val="000000"/>
          <w:sz w:val="24"/>
          <w:szCs w:val="24"/>
        </w:rPr>
        <w:t>公司建立</w:t>
      </w:r>
      <w:r>
        <w:rPr>
          <w:color w:val="000000"/>
          <w:sz w:val="24"/>
          <w:szCs w:val="24"/>
        </w:rPr>
        <w:t>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A4B13" w:rsidRDefault="00DD063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w:t>
      </w:r>
      <w:r>
        <w:rPr>
          <w:color w:val="000000"/>
          <w:sz w:val="24"/>
          <w:szCs w:val="24"/>
        </w:rPr>
        <w:t>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15694" w:rsidRPr="00115694" w:rsidRDefault="00115694" w:rsidP="00115694">
      <w:pPr>
        <w:spacing w:before="29" w:line="288" w:lineRule="auto"/>
        <w:ind w:firstLineChars="200" w:firstLine="480"/>
        <w:rPr>
          <w:rFonts w:hint="eastAsia"/>
          <w:color w:val="000000"/>
          <w:sz w:val="24"/>
          <w:szCs w:val="24"/>
        </w:rPr>
      </w:pPr>
      <w:r w:rsidRPr="00115694">
        <w:rPr>
          <w:rFonts w:hint="eastAsia"/>
          <w:color w:val="000000"/>
          <w:sz w:val="24"/>
          <w:szCs w:val="24"/>
        </w:rPr>
        <w:t>2018</w:t>
      </w:r>
      <w:r w:rsidRPr="00115694">
        <w:rPr>
          <w:rFonts w:hint="eastAsia"/>
          <w:color w:val="000000"/>
          <w:sz w:val="24"/>
          <w:szCs w:val="24"/>
        </w:rPr>
        <w:t>年四季度利率债收益率明显下行，长端收益率下行比短端更为明显，曲线期限利差收窄，信用债下行明显，信用利差收窄。十月，央行不仅没有跟随美联储加息，反而在十一假期后超预期降准，债市做多情绪重新升温。三季度</w:t>
      </w:r>
      <w:r w:rsidRPr="00115694">
        <w:rPr>
          <w:rFonts w:hint="eastAsia"/>
          <w:color w:val="000000"/>
          <w:sz w:val="24"/>
          <w:szCs w:val="24"/>
        </w:rPr>
        <w:t>GDP</w:t>
      </w:r>
      <w:r w:rsidRPr="00115694">
        <w:rPr>
          <w:rFonts w:hint="eastAsia"/>
          <w:color w:val="000000"/>
          <w:sz w:val="24"/>
          <w:szCs w:val="24"/>
        </w:rPr>
        <w:t>增速回落到</w:t>
      </w:r>
      <w:r w:rsidRPr="00115694">
        <w:rPr>
          <w:rFonts w:hint="eastAsia"/>
          <w:color w:val="000000"/>
          <w:sz w:val="24"/>
          <w:szCs w:val="24"/>
        </w:rPr>
        <w:t>6.50%</w:t>
      </w:r>
      <w:r w:rsidRPr="00115694">
        <w:rPr>
          <w:rFonts w:hint="eastAsia"/>
          <w:color w:val="000000"/>
          <w:sz w:val="24"/>
          <w:szCs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w:t>
      </w:r>
      <w:r w:rsidRPr="00115694">
        <w:rPr>
          <w:rFonts w:hint="eastAsia"/>
          <w:color w:val="000000"/>
          <w:sz w:val="24"/>
          <w:szCs w:val="24"/>
        </w:rPr>
        <w:t>TMLF</w:t>
      </w:r>
      <w:r w:rsidRPr="00115694">
        <w:rPr>
          <w:rFonts w:hint="eastAsia"/>
          <w:color w:val="000000"/>
          <w:sz w:val="24"/>
          <w:szCs w:val="24"/>
        </w:rPr>
        <w:t>并降息后，收益率进一步回落创出年内新低。</w:t>
      </w:r>
    </w:p>
    <w:p w:rsidR="00115694" w:rsidRPr="00115694" w:rsidRDefault="00115694" w:rsidP="00115694">
      <w:pPr>
        <w:spacing w:before="29" w:line="288" w:lineRule="auto"/>
        <w:ind w:firstLineChars="200" w:firstLine="480"/>
        <w:rPr>
          <w:rFonts w:hint="eastAsia"/>
          <w:color w:val="000000"/>
          <w:sz w:val="24"/>
          <w:szCs w:val="24"/>
        </w:rPr>
      </w:pPr>
      <w:r w:rsidRPr="00115694">
        <w:rPr>
          <w:rFonts w:hint="eastAsia"/>
          <w:color w:val="000000"/>
          <w:sz w:val="24"/>
          <w:szCs w:val="24"/>
        </w:rPr>
        <w:lastRenderedPageBreak/>
        <w:t>报告期内，基于对宏观经济的判断，同时结合保本基金特点，本组合继续按照</w:t>
      </w:r>
      <w:r w:rsidRPr="00115694">
        <w:rPr>
          <w:rFonts w:hint="eastAsia"/>
          <w:color w:val="000000"/>
          <w:sz w:val="24"/>
          <w:szCs w:val="24"/>
        </w:rPr>
        <w:t>CPPI</w:t>
      </w:r>
      <w:r w:rsidRPr="00115694">
        <w:rPr>
          <w:rFonts w:hint="eastAsia"/>
          <w:color w:val="000000"/>
          <w:sz w:val="24"/>
          <w:szCs w:val="24"/>
        </w:rPr>
        <w:t>的策略进行组合的个券配置，同时根据市场资金面的变化动态的进行了杠杆操作，由于权益市场的不确定性，本组合未进行权益类资产的投资。</w:t>
      </w:r>
    </w:p>
    <w:p w:rsidR="004061AC" w:rsidRPr="00414345" w:rsidRDefault="00115694" w:rsidP="00115694">
      <w:pPr>
        <w:spacing w:before="29" w:line="288" w:lineRule="auto"/>
        <w:ind w:firstLineChars="200" w:firstLine="480"/>
        <w:rPr>
          <w:color w:val="000000"/>
          <w:sz w:val="24"/>
          <w:szCs w:val="24"/>
        </w:rPr>
      </w:pPr>
      <w:r w:rsidRPr="00115694">
        <w:rPr>
          <w:rFonts w:hint="eastAsia"/>
          <w:color w:val="000000"/>
          <w:sz w:val="24"/>
          <w:szCs w:val="24"/>
        </w:rPr>
        <w:t>展望</w:t>
      </w:r>
      <w:r w:rsidRPr="00115694">
        <w:rPr>
          <w:rFonts w:hint="eastAsia"/>
          <w:color w:val="000000"/>
          <w:sz w:val="24"/>
          <w:szCs w:val="24"/>
        </w:rPr>
        <w:t>2019</w:t>
      </w:r>
      <w:r w:rsidRPr="00115694">
        <w:rPr>
          <w:rFonts w:hint="eastAsia"/>
          <w:color w:val="000000"/>
          <w:sz w:val="24"/>
          <w:szCs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15694">
        <w:rPr>
          <w:rFonts w:hint="eastAsia"/>
          <w:color w:val="000000"/>
          <w:sz w:val="24"/>
          <w:szCs w:val="24"/>
        </w:rPr>
        <w:t>2018</w:t>
      </w:r>
      <w:r w:rsidRPr="00115694">
        <w:rPr>
          <w:rFonts w:hint="eastAsia"/>
          <w:color w:val="000000"/>
          <w:sz w:val="24"/>
          <w:szCs w:val="24"/>
        </w:rPr>
        <w:t>年那么顺畅，关注逆周期调节政策可能会导致社融同比阶段性企稳，猪价油价超预期上涨可能会对通胀预期产生扰动。操作策略方面，下一步本组合将继续按照</w:t>
      </w:r>
      <w:r w:rsidRPr="00115694">
        <w:rPr>
          <w:rFonts w:hint="eastAsia"/>
          <w:color w:val="000000"/>
          <w:sz w:val="24"/>
          <w:szCs w:val="24"/>
        </w:rPr>
        <w:t>CPPI</w:t>
      </w:r>
      <w:r w:rsidRPr="00115694">
        <w:rPr>
          <w:rFonts w:hint="eastAsia"/>
          <w:color w:val="000000"/>
          <w:sz w:val="24"/>
          <w:szCs w:val="24"/>
        </w:rPr>
        <w:t>策略进行组合的投资和套息操作，同时考虑到本基金将于</w:t>
      </w:r>
      <w:r w:rsidRPr="00115694">
        <w:rPr>
          <w:rFonts w:hint="eastAsia"/>
          <w:color w:val="000000"/>
          <w:sz w:val="24"/>
          <w:szCs w:val="24"/>
        </w:rPr>
        <w:t>2019</w:t>
      </w:r>
      <w:r w:rsidRPr="00115694">
        <w:rPr>
          <w:rFonts w:hint="eastAsia"/>
          <w:color w:val="000000"/>
          <w:sz w:val="24"/>
          <w:szCs w:val="24"/>
        </w:rPr>
        <w:t>年三月结束保本周期，会择机调整组合持仓，继续保持组合内低权益类资产的配置比例，并结合组合转型后的基金类型动态的进行组合调整。</w:t>
      </w:r>
      <w:bookmarkStart w:id="0" w:name="_GoBack"/>
      <w:bookmarkEnd w:id="0"/>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909,280,020.00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909,280,020.00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13,273,095.21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32,124,216.11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954,677,331.32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30,634,200.00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30,634,200.00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145,264,820.00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121,243,000.00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20.12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592,000,000.00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98.23</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909,280,020.00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A4B13">
        <w:trPr>
          <w:jc w:val="center"/>
        </w:trPr>
        <w:tc>
          <w:tcPr>
            <w:tcW w:w="850" w:type="dxa"/>
            <w:vAlign w:val="center"/>
          </w:tcPr>
          <w:p w:rsidR="007A4B13" w:rsidRDefault="00DD0637">
            <w:pPr>
              <w:jc w:val="center"/>
            </w:pPr>
            <w:r>
              <w:rPr>
                <w:color w:val="000000"/>
                <w:sz w:val="24"/>
                <w:szCs w:val="24"/>
              </w:rPr>
              <w:t>1</w:t>
            </w:r>
          </w:p>
        </w:tc>
        <w:tc>
          <w:tcPr>
            <w:tcW w:w="1475" w:type="dxa"/>
            <w:vAlign w:val="center"/>
          </w:tcPr>
          <w:p w:rsidR="007A4B13" w:rsidRDefault="00DD0637">
            <w:pPr>
              <w:jc w:val="center"/>
            </w:pPr>
            <w:r>
              <w:rPr>
                <w:color w:val="000000"/>
                <w:sz w:val="24"/>
                <w:szCs w:val="24"/>
              </w:rPr>
              <w:t>111814038</w:t>
            </w:r>
          </w:p>
        </w:tc>
        <w:tc>
          <w:tcPr>
            <w:tcW w:w="1769" w:type="dxa"/>
            <w:vAlign w:val="center"/>
          </w:tcPr>
          <w:p w:rsidR="007A4B13" w:rsidRDefault="00DD0637">
            <w:pPr>
              <w:jc w:val="center"/>
            </w:pPr>
            <w:r>
              <w:rPr>
                <w:color w:val="000000"/>
                <w:sz w:val="24"/>
                <w:szCs w:val="24"/>
              </w:rPr>
              <w:t>18</w:t>
            </w:r>
            <w:r>
              <w:rPr>
                <w:color w:val="000000"/>
                <w:sz w:val="24"/>
                <w:szCs w:val="24"/>
              </w:rPr>
              <w:t>江苏银行</w:t>
            </w:r>
            <w:r>
              <w:rPr>
                <w:color w:val="000000"/>
                <w:sz w:val="24"/>
                <w:szCs w:val="24"/>
              </w:rPr>
              <w:t>CD038</w:t>
            </w:r>
          </w:p>
        </w:tc>
        <w:tc>
          <w:tcPr>
            <w:tcW w:w="1387" w:type="dxa"/>
            <w:vAlign w:val="center"/>
          </w:tcPr>
          <w:p w:rsidR="007A4B13" w:rsidRDefault="00DD0637">
            <w:pPr>
              <w:jc w:val="right"/>
            </w:pPr>
            <w:r>
              <w:rPr>
                <w:color w:val="000000"/>
                <w:sz w:val="24"/>
                <w:szCs w:val="24"/>
              </w:rPr>
              <w:t>1,000,000</w:t>
            </w:r>
          </w:p>
        </w:tc>
        <w:tc>
          <w:tcPr>
            <w:tcW w:w="2150" w:type="dxa"/>
            <w:vAlign w:val="center"/>
          </w:tcPr>
          <w:p w:rsidR="007A4B13" w:rsidRDefault="00DD0637">
            <w:pPr>
              <w:jc w:val="right"/>
            </w:pPr>
            <w:r>
              <w:rPr>
                <w:color w:val="000000"/>
                <w:sz w:val="24"/>
                <w:szCs w:val="24"/>
              </w:rPr>
              <w:t>95,500,000.00</w:t>
            </w:r>
          </w:p>
        </w:tc>
        <w:tc>
          <w:tcPr>
            <w:tcW w:w="1237" w:type="dxa"/>
            <w:vAlign w:val="center"/>
          </w:tcPr>
          <w:p w:rsidR="007A4B13" w:rsidRDefault="00DD0637">
            <w:pPr>
              <w:jc w:val="right"/>
            </w:pPr>
            <w:r>
              <w:rPr>
                <w:color w:val="000000"/>
                <w:sz w:val="24"/>
                <w:szCs w:val="24"/>
              </w:rPr>
              <w:t>15.85</w:t>
            </w:r>
          </w:p>
        </w:tc>
      </w:tr>
      <w:tr w:rsidR="007A4B13">
        <w:trPr>
          <w:jc w:val="center"/>
        </w:trPr>
        <w:tc>
          <w:tcPr>
            <w:tcW w:w="850" w:type="dxa"/>
            <w:vAlign w:val="center"/>
          </w:tcPr>
          <w:p w:rsidR="007A4B13" w:rsidRDefault="00DD0637">
            <w:pPr>
              <w:jc w:val="center"/>
            </w:pPr>
            <w:r>
              <w:rPr>
                <w:color w:val="000000"/>
                <w:sz w:val="24"/>
                <w:szCs w:val="24"/>
              </w:rPr>
              <w:t>2</w:t>
            </w:r>
          </w:p>
        </w:tc>
        <w:tc>
          <w:tcPr>
            <w:tcW w:w="1475" w:type="dxa"/>
            <w:vAlign w:val="center"/>
          </w:tcPr>
          <w:p w:rsidR="007A4B13" w:rsidRDefault="00DD0637">
            <w:pPr>
              <w:jc w:val="center"/>
            </w:pPr>
            <w:r>
              <w:rPr>
                <w:color w:val="000000"/>
                <w:sz w:val="24"/>
                <w:szCs w:val="24"/>
              </w:rPr>
              <w:t>111892819</w:t>
            </w:r>
          </w:p>
        </w:tc>
        <w:tc>
          <w:tcPr>
            <w:tcW w:w="1769" w:type="dxa"/>
            <w:vAlign w:val="center"/>
          </w:tcPr>
          <w:p w:rsidR="007A4B13" w:rsidRDefault="00DD0637">
            <w:pPr>
              <w:jc w:val="center"/>
            </w:pPr>
            <w:r>
              <w:rPr>
                <w:color w:val="000000"/>
                <w:sz w:val="24"/>
                <w:szCs w:val="24"/>
              </w:rPr>
              <w:t>18</w:t>
            </w:r>
            <w:r>
              <w:rPr>
                <w:color w:val="000000"/>
                <w:sz w:val="24"/>
                <w:szCs w:val="24"/>
              </w:rPr>
              <w:t>徽商银行</w:t>
            </w:r>
            <w:r>
              <w:rPr>
                <w:color w:val="000000"/>
                <w:sz w:val="24"/>
                <w:szCs w:val="24"/>
              </w:rPr>
              <w:t>CD033</w:t>
            </w:r>
          </w:p>
        </w:tc>
        <w:tc>
          <w:tcPr>
            <w:tcW w:w="1387" w:type="dxa"/>
            <w:vAlign w:val="center"/>
          </w:tcPr>
          <w:p w:rsidR="007A4B13" w:rsidRDefault="00DD0637">
            <w:pPr>
              <w:jc w:val="right"/>
            </w:pPr>
            <w:r>
              <w:rPr>
                <w:color w:val="000000"/>
                <w:sz w:val="24"/>
                <w:szCs w:val="24"/>
              </w:rPr>
              <w:t>1,000,000</w:t>
            </w:r>
          </w:p>
        </w:tc>
        <w:tc>
          <w:tcPr>
            <w:tcW w:w="2150" w:type="dxa"/>
            <w:vAlign w:val="center"/>
          </w:tcPr>
          <w:p w:rsidR="007A4B13" w:rsidRDefault="00DD0637">
            <w:pPr>
              <w:jc w:val="right"/>
            </w:pPr>
            <w:r>
              <w:rPr>
                <w:color w:val="000000"/>
                <w:sz w:val="24"/>
                <w:szCs w:val="24"/>
              </w:rPr>
              <w:t>95,490,000.00</w:t>
            </w:r>
          </w:p>
        </w:tc>
        <w:tc>
          <w:tcPr>
            <w:tcW w:w="1237" w:type="dxa"/>
            <w:vAlign w:val="center"/>
          </w:tcPr>
          <w:p w:rsidR="007A4B13" w:rsidRDefault="00DD0637">
            <w:pPr>
              <w:jc w:val="right"/>
            </w:pPr>
            <w:r>
              <w:rPr>
                <w:color w:val="000000"/>
                <w:sz w:val="24"/>
                <w:szCs w:val="24"/>
              </w:rPr>
              <w:t>15.85</w:t>
            </w:r>
          </w:p>
        </w:tc>
      </w:tr>
      <w:tr w:rsidR="007A4B13">
        <w:trPr>
          <w:jc w:val="center"/>
        </w:trPr>
        <w:tc>
          <w:tcPr>
            <w:tcW w:w="850" w:type="dxa"/>
            <w:vAlign w:val="center"/>
          </w:tcPr>
          <w:p w:rsidR="007A4B13" w:rsidRDefault="00DD0637">
            <w:pPr>
              <w:jc w:val="center"/>
            </w:pPr>
            <w:r>
              <w:rPr>
                <w:color w:val="000000"/>
                <w:sz w:val="24"/>
                <w:szCs w:val="24"/>
              </w:rPr>
              <w:t>3</w:t>
            </w:r>
          </w:p>
        </w:tc>
        <w:tc>
          <w:tcPr>
            <w:tcW w:w="1475" w:type="dxa"/>
            <w:vAlign w:val="center"/>
          </w:tcPr>
          <w:p w:rsidR="007A4B13" w:rsidRDefault="00DD0637">
            <w:pPr>
              <w:jc w:val="center"/>
            </w:pPr>
            <w:r>
              <w:rPr>
                <w:color w:val="000000"/>
                <w:sz w:val="24"/>
                <w:szCs w:val="24"/>
              </w:rPr>
              <w:t>111892919</w:t>
            </w:r>
          </w:p>
        </w:tc>
        <w:tc>
          <w:tcPr>
            <w:tcW w:w="1769" w:type="dxa"/>
            <w:vAlign w:val="center"/>
          </w:tcPr>
          <w:p w:rsidR="007A4B13" w:rsidRDefault="00DD0637">
            <w:pPr>
              <w:jc w:val="center"/>
            </w:pPr>
            <w:r>
              <w:rPr>
                <w:color w:val="000000"/>
                <w:sz w:val="24"/>
                <w:szCs w:val="24"/>
              </w:rPr>
              <w:t>18</w:t>
            </w:r>
            <w:r>
              <w:rPr>
                <w:color w:val="000000"/>
                <w:sz w:val="24"/>
                <w:szCs w:val="24"/>
              </w:rPr>
              <w:t>杭州银行</w:t>
            </w:r>
            <w:r>
              <w:rPr>
                <w:color w:val="000000"/>
                <w:sz w:val="24"/>
                <w:szCs w:val="24"/>
              </w:rPr>
              <w:t>CD009</w:t>
            </w:r>
          </w:p>
        </w:tc>
        <w:tc>
          <w:tcPr>
            <w:tcW w:w="1387" w:type="dxa"/>
            <w:vAlign w:val="center"/>
          </w:tcPr>
          <w:p w:rsidR="007A4B13" w:rsidRDefault="00DD0637">
            <w:pPr>
              <w:jc w:val="right"/>
            </w:pPr>
            <w:r>
              <w:rPr>
                <w:color w:val="000000"/>
                <w:sz w:val="24"/>
                <w:szCs w:val="24"/>
              </w:rPr>
              <w:t>1,000,000</w:t>
            </w:r>
          </w:p>
        </w:tc>
        <w:tc>
          <w:tcPr>
            <w:tcW w:w="2150" w:type="dxa"/>
            <w:vAlign w:val="center"/>
          </w:tcPr>
          <w:p w:rsidR="007A4B13" w:rsidRDefault="00DD0637">
            <w:pPr>
              <w:jc w:val="right"/>
            </w:pPr>
            <w:r>
              <w:rPr>
                <w:color w:val="000000"/>
                <w:sz w:val="24"/>
                <w:szCs w:val="24"/>
              </w:rPr>
              <w:t>95,490,000.00</w:t>
            </w:r>
          </w:p>
        </w:tc>
        <w:tc>
          <w:tcPr>
            <w:tcW w:w="1237" w:type="dxa"/>
            <w:vAlign w:val="center"/>
          </w:tcPr>
          <w:p w:rsidR="007A4B13" w:rsidRDefault="00DD0637">
            <w:pPr>
              <w:jc w:val="right"/>
            </w:pPr>
            <w:r>
              <w:rPr>
                <w:color w:val="000000"/>
                <w:sz w:val="24"/>
                <w:szCs w:val="24"/>
              </w:rPr>
              <w:t>15.85</w:t>
            </w:r>
          </w:p>
        </w:tc>
      </w:tr>
      <w:tr w:rsidR="007A4B13">
        <w:trPr>
          <w:jc w:val="center"/>
        </w:trPr>
        <w:tc>
          <w:tcPr>
            <w:tcW w:w="850" w:type="dxa"/>
            <w:vAlign w:val="center"/>
          </w:tcPr>
          <w:p w:rsidR="007A4B13" w:rsidRDefault="00DD0637">
            <w:pPr>
              <w:jc w:val="center"/>
            </w:pPr>
            <w:r>
              <w:rPr>
                <w:color w:val="000000"/>
                <w:sz w:val="24"/>
                <w:szCs w:val="24"/>
              </w:rPr>
              <w:t>4</w:t>
            </w:r>
          </w:p>
        </w:tc>
        <w:tc>
          <w:tcPr>
            <w:tcW w:w="1475" w:type="dxa"/>
            <w:vAlign w:val="center"/>
          </w:tcPr>
          <w:p w:rsidR="007A4B13" w:rsidRDefault="00DD0637">
            <w:pPr>
              <w:jc w:val="center"/>
            </w:pPr>
            <w:r>
              <w:rPr>
                <w:color w:val="000000"/>
                <w:sz w:val="24"/>
                <w:szCs w:val="24"/>
              </w:rPr>
              <w:t>111892033</w:t>
            </w:r>
          </w:p>
        </w:tc>
        <w:tc>
          <w:tcPr>
            <w:tcW w:w="1769" w:type="dxa"/>
            <w:vAlign w:val="center"/>
          </w:tcPr>
          <w:p w:rsidR="007A4B13" w:rsidRDefault="00DD0637">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7A4B13" w:rsidRDefault="00DD0637">
            <w:pPr>
              <w:jc w:val="right"/>
            </w:pPr>
            <w:r>
              <w:rPr>
                <w:color w:val="000000"/>
                <w:sz w:val="24"/>
                <w:szCs w:val="24"/>
              </w:rPr>
              <w:t>1,000,000</w:t>
            </w:r>
          </w:p>
        </w:tc>
        <w:tc>
          <w:tcPr>
            <w:tcW w:w="2150" w:type="dxa"/>
            <w:vAlign w:val="center"/>
          </w:tcPr>
          <w:p w:rsidR="007A4B13" w:rsidRDefault="00DD0637">
            <w:pPr>
              <w:jc w:val="right"/>
            </w:pPr>
            <w:r>
              <w:rPr>
                <w:color w:val="000000"/>
                <w:sz w:val="24"/>
                <w:szCs w:val="24"/>
              </w:rPr>
              <w:t>95,450,000.00</w:t>
            </w:r>
          </w:p>
        </w:tc>
        <w:tc>
          <w:tcPr>
            <w:tcW w:w="1237" w:type="dxa"/>
            <w:vAlign w:val="center"/>
          </w:tcPr>
          <w:p w:rsidR="007A4B13" w:rsidRDefault="00DD0637">
            <w:pPr>
              <w:jc w:val="right"/>
            </w:pPr>
            <w:r>
              <w:rPr>
                <w:color w:val="000000"/>
                <w:sz w:val="24"/>
                <w:szCs w:val="24"/>
              </w:rPr>
              <w:t>15.84</w:t>
            </w:r>
          </w:p>
        </w:tc>
      </w:tr>
      <w:tr w:rsidR="007A4B13">
        <w:trPr>
          <w:jc w:val="center"/>
        </w:trPr>
        <w:tc>
          <w:tcPr>
            <w:tcW w:w="850" w:type="dxa"/>
            <w:vAlign w:val="center"/>
          </w:tcPr>
          <w:p w:rsidR="007A4B13" w:rsidRDefault="00DD0637">
            <w:pPr>
              <w:jc w:val="center"/>
            </w:pPr>
            <w:r>
              <w:rPr>
                <w:color w:val="000000"/>
                <w:sz w:val="24"/>
                <w:szCs w:val="24"/>
              </w:rPr>
              <w:t>5</w:t>
            </w:r>
          </w:p>
        </w:tc>
        <w:tc>
          <w:tcPr>
            <w:tcW w:w="1475" w:type="dxa"/>
            <w:vAlign w:val="center"/>
          </w:tcPr>
          <w:p w:rsidR="007A4B13" w:rsidRDefault="00DD0637">
            <w:pPr>
              <w:jc w:val="center"/>
            </w:pPr>
            <w:r>
              <w:rPr>
                <w:color w:val="000000"/>
                <w:sz w:val="24"/>
                <w:szCs w:val="24"/>
              </w:rPr>
              <w:t>136133</w:t>
            </w:r>
          </w:p>
        </w:tc>
        <w:tc>
          <w:tcPr>
            <w:tcW w:w="1769" w:type="dxa"/>
            <w:vAlign w:val="center"/>
          </w:tcPr>
          <w:p w:rsidR="007A4B13" w:rsidRDefault="00DD0637">
            <w:pPr>
              <w:jc w:val="center"/>
            </w:pPr>
            <w:r>
              <w:rPr>
                <w:color w:val="000000"/>
                <w:sz w:val="24"/>
                <w:szCs w:val="24"/>
              </w:rPr>
              <w:t>16</w:t>
            </w:r>
            <w:r>
              <w:rPr>
                <w:color w:val="000000"/>
                <w:sz w:val="24"/>
                <w:szCs w:val="24"/>
              </w:rPr>
              <w:t>国电</w:t>
            </w:r>
            <w:r>
              <w:rPr>
                <w:color w:val="000000"/>
                <w:sz w:val="24"/>
                <w:szCs w:val="24"/>
              </w:rPr>
              <w:t>01</w:t>
            </w:r>
          </w:p>
        </w:tc>
        <w:tc>
          <w:tcPr>
            <w:tcW w:w="1387" w:type="dxa"/>
            <w:vAlign w:val="center"/>
          </w:tcPr>
          <w:p w:rsidR="007A4B13" w:rsidRDefault="00DD0637">
            <w:pPr>
              <w:jc w:val="right"/>
            </w:pPr>
            <w:r>
              <w:rPr>
                <w:color w:val="000000"/>
                <w:sz w:val="24"/>
                <w:szCs w:val="24"/>
              </w:rPr>
              <w:t>530,000</w:t>
            </w:r>
          </w:p>
        </w:tc>
        <w:tc>
          <w:tcPr>
            <w:tcW w:w="2150" w:type="dxa"/>
            <w:vAlign w:val="center"/>
          </w:tcPr>
          <w:p w:rsidR="007A4B13" w:rsidRDefault="00DD0637">
            <w:pPr>
              <w:jc w:val="right"/>
            </w:pPr>
            <w:r>
              <w:rPr>
                <w:color w:val="000000"/>
                <w:sz w:val="24"/>
                <w:szCs w:val="24"/>
              </w:rPr>
              <w:t>52,973,500.00</w:t>
            </w:r>
          </w:p>
        </w:tc>
        <w:tc>
          <w:tcPr>
            <w:tcW w:w="1237" w:type="dxa"/>
            <w:vAlign w:val="center"/>
          </w:tcPr>
          <w:p w:rsidR="007A4B13" w:rsidRDefault="00DD0637">
            <w:pPr>
              <w:jc w:val="right"/>
            </w:pPr>
            <w:r>
              <w:rPr>
                <w:color w:val="000000"/>
                <w:sz w:val="24"/>
                <w:szCs w:val="24"/>
              </w:rPr>
              <w:t>8.79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CD027</w:t>
      </w:r>
      <w:r w:rsidRPr="00BE5388">
        <w:rPr>
          <w:bCs/>
          <w:color w:val="000000"/>
          <w:kern w:val="0"/>
          <w:sz w:val="24"/>
          <w:szCs w:val="24"/>
        </w:rPr>
        <w:t>（证券代码：</w:t>
      </w:r>
      <w:r w:rsidRPr="00BE5388">
        <w:rPr>
          <w:bCs/>
          <w:color w:val="000000"/>
          <w:kern w:val="0"/>
          <w:sz w:val="24"/>
          <w:szCs w:val="24"/>
        </w:rPr>
        <w:t>111892301</w:t>
      </w:r>
      <w:r w:rsidRPr="00BE5388">
        <w:rPr>
          <w:bCs/>
          <w:color w:val="000000"/>
          <w:kern w:val="0"/>
          <w:sz w:val="24"/>
          <w:szCs w:val="24"/>
        </w:rPr>
        <w:t>）外，未出现被监管部门立案调查，或在报告编制日前一年内受到公开谴责、处罚的情形。</w:t>
      </w:r>
    </w:p>
    <w:p w:rsidR="007A4B13" w:rsidRDefault="00DD0637">
      <w:pPr>
        <w:autoSpaceDE w:val="0"/>
        <w:autoSpaceDN w:val="0"/>
        <w:adjustRightInd w:val="0"/>
        <w:spacing w:before="29" w:line="288" w:lineRule="auto"/>
        <w:jc w:val="left"/>
        <w:rPr>
          <w:bCs/>
          <w:color w:val="000000"/>
          <w:kern w:val="0"/>
          <w:sz w:val="24"/>
          <w:szCs w:val="24"/>
        </w:rPr>
      </w:pPr>
      <w:r>
        <w:rPr>
          <w:bCs/>
          <w:color w:val="000000"/>
          <w:kern w:val="0"/>
          <w:sz w:val="24"/>
          <w:szCs w:val="24"/>
        </w:rPr>
        <w:lastRenderedPageBreak/>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CD027</w:t>
      </w:r>
      <w:r>
        <w:rPr>
          <w:bCs/>
          <w:color w:val="000000"/>
          <w:kern w:val="0"/>
          <w:sz w:val="24"/>
          <w:szCs w:val="24"/>
        </w:rPr>
        <w:t>（证券代码：</w:t>
      </w:r>
      <w:r>
        <w:rPr>
          <w:bCs/>
          <w:color w:val="000000"/>
          <w:kern w:val="0"/>
          <w:sz w:val="24"/>
          <w:szCs w:val="24"/>
        </w:rPr>
        <w:t>111892301</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1</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7A4B13" w:rsidRDefault="00DD063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w:t>
      </w:r>
      <w:r>
        <w:rPr>
          <w:bCs/>
          <w:color w:val="000000"/>
          <w:kern w:val="0"/>
          <w:sz w:val="24"/>
          <w:szCs w:val="24"/>
        </w:rPr>
        <w:t>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3,348.01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32,119,085.92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1,782.18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32,124,216.11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570,379,695.46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237,887.15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7,539,835.90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563,077,746.71</w:t>
            </w:r>
          </w:p>
        </w:tc>
      </w:tr>
    </w:tbl>
    <w:p w:rsidR="007A4B13" w:rsidRDefault="00DD06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7A4B13">
        <w:tc>
          <w:tcPr>
            <w:tcW w:w="993" w:type="dxa"/>
            <w:vMerge w:val="restart"/>
          </w:tcPr>
          <w:p w:rsidR="007A4B13" w:rsidRDefault="007A4B13"/>
          <w:p w:rsidR="007A4B13" w:rsidRDefault="00DD0637">
            <w:r>
              <w:rPr>
                <w:rFonts w:ascii="宋体" w:hAnsi="宋体" w:hint="eastAsia"/>
                <w:bCs/>
                <w:color w:val="000000"/>
                <w:kern w:val="0"/>
              </w:rPr>
              <w:t>机构</w:t>
            </w:r>
          </w:p>
        </w:tc>
        <w:tc>
          <w:tcPr>
            <w:tcW w:w="992" w:type="dxa"/>
            <w:vAlign w:val="center"/>
          </w:tcPr>
          <w:p w:rsidR="007A4B13" w:rsidRDefault="00DD0637">
            <w:pPr>
              <w:jc w:val="center"/>
            </w:pPr>
            <w:r>
              <w:rPr>
                <w:rFonts w:ascii="宋体" w:hAnsi="宋体"/>
                <w:color w:val="000000"/>
                <w:kern w:val="0"/>
              </w:rPr>
              <w:t>1</w:t>
            </w:r>
          </w:p>
        </w:tc>
        <w:tc>
          <w:tcPr>
            <w:tcW w:w="1843" w:type="dxa"/>
            <w:vAlign w:val="center"/>
          </w:tcPr>
          <w:p w:rsidR="007A4B13" w:rsidRDefault="00DD0637">
            <w:pPr>
              <w:jc w:val="center"/>
            </w:pPr>
            <w:r>
              <w:rPr>
                <w:rFonts w:ascii="宋体" w:hAnsi="宋体"/>
                <w:color w:val="000000"/>
                <w:kern w:val="0"/>
              </w:rPr>
              <w:t>2018/10/1-2018/12/31</w:t>
            </w:r>
          </w:p>
        </w:tc>
        <w:tc>
          <w:tcPr>
            <w:tcW w:w="851" w:type="dxa"/>
            <w:vAlign w:val="center"/>
          </w:tcPr>
          <w:p w:rsidR="007A4B13" w:rsidRDefault="00DD0637">
            <w:pPr>
              <w:jc w:val="center"/>
            </w:pPr>
            <w:r>
              <w:rPr>
                <w:rFonts w:ascii="宋体" w:hAnsi="宋体"/>
                <w:color w:val="000000"/>
                <w:kern w:val="0"/>
              </w:rPr>
              <w:t>200,017,000.00</w:t>
            </w:r>
          </w:p>
        </w:tc>
        <w:tc>
          <w:tcPr>
            <w:tcW w:w="850" w:type="dxa"/>
            <w:vAlign w:val="center"/>
          </w:tcPr>
          <w:p w:rsidR="007A4B13" w:rsidRDefault="00DD0637">
            <w:pPr>
              <w:jc w:val="center"/>
            </w:pPr>
            <w:r>
              <w:rPr>
                <w:rFonts w:ascii="宋体" w:hAnsi="宋体"/>
                <w:color w:val="000000"/>
                <w:kern w:val="0"/>
              </w:rPr>
              <w:t>-</w:t>
            </w:r>
          </w:p>
        </w:tc>
        <w:tc>
          <w:tcPr>
            <w:tcW w:w="1134" w:type="dxa"/>
            <w:vAlign w:val="center"/>
          </w:tcPr>
          <w:p w:rsidR="007A4B13" w:rsidRDefault="00DD0637">
            <w:pPr>
              <w:jc w:val="center"/>
            </w:pPr>
            <w:r>
              <w:rPr>
                <w:rFonts w:ascii="宋体" w:hAnsi="宋体"/>
                <w:color w:val="000000"/>
                <w:kern w:val="0"/>
              </w:rPr>
              <w:t>-</w:t>
            </w:r>
          </w:p>
        </w:tc>
        <w:tc>
          <w:tcPr>
            <w:tcW w:w="1419" w:type="dxa"/>
            <w:vAlign w:val="center"/>
          </w:tcPr>
          <w:p w:rsidR="007A4B13" w:rsidRDefault="00DD0637">
            <w:pPr>
              <w:jc w:val="center"/>
            </w:pPr>
            <w:r>
              <w:rPr>
                <w:rFonts w:ascii="宋体" w:hAnsi="宋体"/>
                <w:color w:val="000000"/>
                <w:kern w:val="0"/>
              </w:rPr>
              <w:t>200,017,000.00</w:t>
            </w:r>
          </w:p>
        </w:tc>
        <w:tc>
          <w:tcPr>
            <w:tcW w:w="1130" w:type="dxa"/>
            <w:vAlign w:val="center"/>
          </w:tcPr>
          <w:p w:rsidR="007A4B13" w:rsidRDefault="00DD0637">
            <w:pPr>
              <w:jc w:val="center"/>
            </w:pPr>
            <w:r>
              <w:rPr>
                <w:rFonts w:ascii="宋体" w:hAnsi="宋体"/>
                <w:color w:val="000000"/>
                <w:kern w:val="0"/>
              </w:rPr>
              <w:t>35.52%</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A4B13" w:rsidRDefault="00DD063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7A4B13" w:rsidRDefault="00DD063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A4B13" w:rsidRDefault="00DD063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w:t>
      </w:r>
      <w:r w:rsidRPr="00414345">
        <w:rPr>
          <w:color w:val="000000"/>
          <w:sz w:val="24"/>
          <w:szCs w:val="24"/>
        </w:rPr>
        <w:lastRenderedPageBreak/>
        <w:t>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37" w:rsidRDefault="00DD0637" w:rsidP="00876D65">
      <w:r>
        <w:separator/>
      </w:r>
    </w:p>
  </w:endnote>
  <w:endnote w:type="continuationSeparator" w:id="0">
    <w:p w:rsidR="00DD0637" w:rsidRDefault="00DD063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694">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694">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37" w:rsidRDefault="00DD0637" w:rsidP="00876D65">
      <w:r>
        <w:separator/>
      </w:r>
    </w:p>
  </w:footnote>
  <w:footnote w:type="continuationSeparator" w:id="0">
    <w:p w:rsidR="00DD0637" w:rsidRDefault="00DD063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交银施罗德荣鑫保本混合型证券投资基金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15694"/>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4B13"/>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0637"/>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BDB71-5CE2-4B4A-96AB-3F9B5FEF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5B95-6C03-4F8A-89BF-F8D4EC01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2019-01-17T01:48:00Z</dcterms:modified>
</cp:coreProperties>
</file>