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2018年第4季度报告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2018年12月31日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本报告期自2018年10月1日起至12月31日止。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2015年6月2日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86,961,200.02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519755</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86,843,711.81</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117,488.21</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(2018年10月1日-2018年12月31日)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交银多策略回报灵活配置混合A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交银多策略回报灵活配置混合C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216,138.10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391.26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-3,383,126.44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-3,442.90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-0.0343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-0.0306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100,591,825.80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136,309.39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1.158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1.160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注：1、上述基金A类业绩指标不包括持有人认购或交易基金的各项费用，计入费用后的实际收益水平要低于所列数字；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交银多策略回报灵活配置混合A</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-2.69%</w:t>
            </w:r>
          </w:p>
        </w:tc>
        <w:tc>
          <w:tcPr>
            <w:vAlign w:val="center"/>
          </w:tcPr>
          <w:p>
            <w:pPr>
              <w:jc w:val="center"/>
            </w:pPr>
            <w:r>
              <w:rPr>
                <w:color w:val="000000"/>
                <w:sz w:val="24"/>
              </w:rPr>
              <w:t>0.44%</w:t>
            </w:r>
          </w:p>
        </w:tc>
        <w:tc>
          <w:tcPr>
            <w:vAlign w:val="center"/>
          </w:tcPr>
          <w:p>
            <w:pPr>
              <w:jc w:val="center"/>
            </w:pPr>
            <w:r>
              <w:rPr>
                <w:color w:val="000000"/>
                <w:sz w:val="24"/>
              </w:rPr>
              <w:t>-5.31%</w:t>
            </w:r>
          </w:p>
        </w:tc>
        <w:tc>
          <w:tcPr>
            <w:vAlign w:val="center"/>
          </w:tcPr>
          <w:p>
            <w:pPr>
              <w:jc w:val="center"/>
            </w:pPr>
            <w:r>
              <w:rPr>
                <w:color w:val="000000"/>
                <w:sz w:val="24"/>
              </w:rPr>
              <w:t>0.81%</w:t>
            </w:r>
          </w:p>
        </w:tc>
        <w:tc>
          <w:tcPr>
            <w:vAlign w:val="center"/>
          </w:tcPr>
          <w:p>
            <w:pPr>
              <w:jc w:val="center"/>
            </w:pPr>
            <w:r>
              <w:rPr>
                <w:color w:val="000000"/>
                <w:sz w:val="24"/>
              </w:rPr>
              <w:t>2.62%</w:t>
            </w:r>
          </w:p>
        </w:tc>
        <w:tc>
          <w:tcPr>
            <w:vAlign w:val="center"/>
          </w:tcPr>
          <w:p>
            <w:pPr>
              <w:jc w:val="center"/>
            </w:pPr>
            <w:r>
              <w:rPr>
                <w:color w:val="000000"/>
                <w:sz w:val="24"/>
              </w:rPr>
              <w:t>-0.37%</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交银多策略回报灵活配置混合C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-2.52%</w:t>
            </w:r>
          </w:p>
        </w:tc>
        <w:tc>
          <w:tcPr>
            <w:vAlign w:val="center"/>
          </w:tcPr>
          <w:p>
            <w:pPr>
              <w:jc w:val="center"/>
            </w:pPr>
            <w:r>
              <w:rPr>
                <w:color w:val="000000"/>
                <w:sz w:val="24"/>
              </w:rPr>
              <w:t>0.45%</w:t>
            </w:r>
          </w:p>
        </w:tc>
        <w:tc>
          <w:tcPr>
            <w:vAlign w:val="center"/>
          </w:tcPr>
          <w:p>
            <w:pPr>
              <w:jc w:val="center"/>
            </w:pPr>
            <w:r>
              <w:rPr>
                <w:color w:val="000000"/>
                <w:sz w:val="24"/>
              </w:rPr>
              <w:t>-5.31%</w:t>
            </w:r>
          </w:p>
        </w:tc>
        <w:tc>
          <w:tcPr>
            <w:vAlign w:val="center"/>
          </w:tcPr>
          <w:p>
            <w:pPr>
              <w:jc w:val="center"/>
            </w:pPr>
            <w:r>
              <w:rPr>
                <w:color w:val="000000"/>
                <w:sz w:val="24"/>
              </w:rPr>
              <w:t>0.81%</w:t>
            </w:r>
          </w:p>
        </w:tc>
        <w:tc>
          <w:tcPr>
            <w:vAlign w:val="center"/>
          </w:tcPr>
          <w:p>
            <w:pPr>
              <w:jc w:val="center"/>
            </w:pPr>
            <w:r>
              <w:rPr>
                <w:color w:val="000000"/>
                <w:sz w:val="24"/>
              </w:rPr>
              <w:t>2.79%</w:t>
            </w:r>
          </w:p>
        </w:tc>
        <w:tc>
          <w:tcPr>
            <w:vAlign w:val="center"/>
          </w:tcPr>
          <w:p>
            <w:pPr>
              <w:jc w:val="center"/>
            </w:pPr>
            <w:r>
              <w:rPr>
                <w:color w:val="000000"/>
                <w:sz w:val="24"/>
              </w:rPr>
              <w:t>-0.36%</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交银施罗德多策略回报灵活配置混合型证券投资基金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2015年6月2日</w:t>
      </w:r>
      <w:r w:rsidR="009A045B" w:rsidRPr="007F52FA">
        <w:rPr>
          <w:rFonts w:ascii="Times New Roman" w:hAnsi="Times New Roman"/>
          <w:sz w:val="24"/>
          <w:szCs w:val="24"/>
        </w:rPr>
        <w:t>至</w:t>
      </w:r>
      <w:r w:rsidRPr="007F52FA">
        <w:rPr>
          <w:rFonts w:ascii="Times New Roman" w:hAnsi="Times New Roman"/>
          <w:sz w:val="24"/>
          <w:szCs w:val="24"/>
        </w:rPr>
        <w:t>2018年12月31日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注：图示日期为2015年6月2日至2018年12月31日。本基金建仓期为自基金合同生效日起的6个月。截至建仓期结束，本基金各项资产配置比例符合基金合同及招募说明书有关投资比例的约定。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交银多策略回报灵活配置混合C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注：本基金自2015年11月19日起，开始销售C类份额，投资者提交的申购申请于2015年11月20日被确认并将有效份额登记在册。图示日期为2015年11月20日至2018年12月31日。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领先回报灵活配置混合、交银瑞鑫定期开放灵活配置混合、交银裕祥纯债债券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增速呈现下行态势，通胀维持低位，市场在两条逻辑线条相互角力下演进，一方面是“宽信用”政策陆续出台，影响基本面预期，从而对债券市场形成阶段性扰动；另一方面，金融数据持续走弱，原油价格快速回落，美联储加息预期下行，工业企业利润和PMI数据走弱等因素，带动债券市场收益率再度下行。年末资金面呈现季节性结构性紧张，整个收益率曲线呈现牛平态势。权益市场在基本面预期下，面临风险偏好持续回落，呈现震荡下行态势。报告期内，上证综指和创业板指分别下跌11.61%和11.39%，十年期国债收益率大幅下行39BP至3.22%，十年期国开债收益率大幅下行56BP至3.65%。</w:t>
      </w:r>
    </w:p>
    <w:p>
      <w:pPr>
        <w:spacing w:before="29" w:line="288" w:lineRule="auto"/>
        <w:ind w:firstLine="480" w:firstLineChars="20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P="007C14DF" w:rsidR="00952A72" w:rsidRDefault="00323F25" w:rsidRPr="007F52FA">
      <w:pPr>
        <w:spacing w:before="29" w:line="288" w:lineRule="auto"/>
        <w:ind w:firstLine="480" w:firstLineChars="200"/>
        <w:rPr>
          <w:color w:val="000000"/>
          <w:sz w:val="24"/>
        </w:rPr>
      </w:pPr>
      <w:r w:rsidRPr="007F52FA">
        <w:rPr>
          <w:color w:val="000000"/>
          <w:sz w:val="24"/>
        </w:rPr>
        <w:t xml:space="preserve">展望2019年一季度，市场对于基本面下滑的预期相对较为充分，需要关注基本面下滑预期的兑现路径；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 </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28,105,390.40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28,105,390.40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64,628,450.00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55.80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64,628,450.00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55.80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10,000,000.00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8.63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1,387,765.71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11,704,249.81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10.11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115,825,855.92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公允价值（元）</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2,020,000.00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2.01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18,260,190.40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18.13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1,439,600.00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507,600.00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lastRenderedPageBreak/>
              <w:t/>
            </w:r>
            <w:r w:rsidRPr="007F52FA">
              <w:rPr>
                <w:sz w:val="24"/>
              </w:rPr>
              <w:lastRenderedPageBreak/>
              <w:t>0.50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3,752,000.00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3.72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589,500.00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1,536,500.00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1.53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28,105,390.40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27.90</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400,000</w:t>
            </w:r>
          </w:p>
        </w:tc>
        <w:tc>
          <w:tcPr>
            <w:vAlign w:val="center"/>
          </w:tcPr>
          <w:p>
            <w:pPr>
              <w:jc w:val="right"/>
            </w:pPr>
            <w:r>
              <w:rPr>
                <w:color w:val="000000"/>
                <w:sz w:val="24"/>
              </w:rPr>
              <w:t>3,752,000.00</w:t>
            </w:r>
          </w:p>
        </w:tc>
        <w:tc>
          <w:tcPr>
            <w:vAlign w:val="center"/>
          </w:tcPr>
          <w:p>
            <w:pPr>
              <w:jc w:val="right"/>
            </w:pPr>
            <w:r>
              <w:rPr>
                <w:color w:val="000000"/>
                <w:sz w:val="24"/>
              </w:rPr>
              <w:t>3.72</w:t>
            </w:r>
          </w:p>
        </w:tc>
      </w:tr>
      <w:tr>
        <w:tc>
          <w:tcPr>
            <w:vAlign w:val="center"/>
          </w:tcPr>
          <w:p>
            <w:pPr>
              <w:jc w:val="center"/>
            </w:pPr>
            <w:r>
              <w:rPr>
                <w:color w:val="000000"/>
                <w:sz w:val="24"/>
              </w:rPr>
              <w:t>2</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6,000</w:t>
            </w:r>
          </w:p>
        </w:tc>
        <w:tc>
          <w:tcPr>
            <w:vAlign w:val="center"/>
          </w:tcPr>
          <w:p>
            <w:pPr>
              <w:jc w:val="right"/>
            </w:pPr>
            <w:r>
              <w:rPr>
                <w:color w:val="000000"/>
                <w:sz w:val="24"/>
              </w:rPr>
              <w:t>3,540,060.00</w:t>
            </w:r>
          </w:p>
        </w:tc>
        <w:tc>
          <w:tcPr>
            <w:vAlign w:val="center"/>
          </w:tcPr>
          <w:p>
            <w:pPr>
              <w:jc w:val="right"/>
            </w:pPr>
            <w:r>
              <w:rPr>
                <w:color w:val="000000"/>
                <w:sz w:val="24"/>
              </w:rPr>
              <w:t>3.51</w:t>
            </w:r>
          </w:p>
        </w:tc>
      </w:tr>
      <w:tr>
        <w:tc>
          <w:tcPr>
            <w:vAlign w:val="center"/>
          </w:tcPr>
          <w:p>
            <w:pPr>
              <w:jc w:val="center"/>
            </w:pPr>
            <w:r>
              <w:rPr>
                <w:color w:val="000000"/>
                <w:sz w:val="24"/>
              </w:rPr>
              <w:t>3</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150,000</w:t>
            </w:r>
          </w:p>
        </w:tc>
        <w:tc>
          <w:tcPr>
            <w:vAlign w:val="center"/>
          </w:tcPr>
          <w:p>
            <w:pPr>
              <w:jc w:val="right"/>
            </w:pPr>
            <w:r>
              <w:rPr>
                <w:color w:val="000000"/>
                <w:sz w:val="24"/>
              </w:rPr>
              <w:t>3,432,000.00</w:t>
            </w:r>
          </w:p>
        </w:tc>
        <w:tc>
          <w:tcPr>
            <w:vAlign w:val="center"/>
          </w:tcPr>
          <w:p>
            <w:pPr>
              <w:jc w:val="right"/>
            </w:pPr>
            <w:r>
              <w:rPr>
                <w:color w:val="000000"/>
                <w:sz w:val="24"/>
              </w:rPr>
              <w:t>3.41</w:t>
            </w:r>
          </w:p>
        </w:tc>
      </w:tr>
      <w:tr>
        <w:tc>
          <w:tcPr>
            <w:vAlign w:val="center"/>
          </w:tcPr>
          <w:p>
            <w:pPr>
              <w:jc w:val="center"/>
            </w:pPr>
            <w:r>
              <w:rPr>
                <w:color w:val="000000"/>
                <w:sz w:val="24"/>
              </w:rPr>
              <w:t>4</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200,000</w:t>
            </w:r>
          </w:p>
        </w:tc>
        <w:tc>
          <w:tcPr>
            <w:vAlign w:val="center"/>
          </w:tcPr>
          <w:p>
            <w:pPr>
              <w:jc w:val="right"/>
            </w:pPr>
            <w:r>
              <w:rPr>
                <w:color w:val="000000"/>
                <w:sz w:val="24"/>
              </w:rPr>
              <w:t>2,590,000.00</w:t>
            </w:r>
          </w:p>
        </w:tc>
        <w:tc>
          <w:tcPr>
            <w:vAlign w:val="center"/>
          </w:tcPr>
          <w:p>
            <w:pPr>
              <w:jc w:val="right"/>
            </w:pPr>
            <w:r>
              <w:rPr>
                <w:color w:val="000000"/>
                <w:sz w:val="24"/>
              </w:rPr>
              <w:t>2.57</w:t>
            </w:r>
          </w:p>
        </w:tc>
      </w:tr>
      <w:tr>
        <w:tc>
          <w:tcPr>
            <w:vAlign w:val="center"/>
          </w:tcPr>
          <w:p>
            <w:pPr>
              <w:jc w:val="center"/>
            </w:pPr>
            <w:r>
              <w:rPr>
                <w:color w:val="000000"/>
                <w:sz w:val="24"/>
              </w:rPr>
              <w:t>5</w:t>
            </w:r>
          </w:p>
        </w:tc>
        <w:tc>
          <w:tcPr>
            <w:vAlign w:val="center"/>
          </w:tcPr>
          <w:p>
            <w:pPr>
              <w:jc w:val="center"/>
            </w:pPr>
            <w:r>
              <w:rPr>
                <w:color w:val="000000"/>
                <w:sz w:val="24"/>
              </w:rPr>
              <w:t>600028</w:t>
            </w:r>
          </w:p>
        </w:tc>
        <w:tc>
          <w:tcPr>
            <w:vAlign w:val="center"/>
          </w:tcPr>
          <w:p>
            <w:pPr>
              <w:jc w:val="center"/>
            </w:pPr>
            <w:r>
              <w:rPr>
                <w:color w:val="000000"/>
                <w:sz w:val="24"/>
              </w:rPr>
              <w:t>中国石化</w:t>
            </w:r>
          </w:p>
        </w:tc>
        <w:tc>
          <w:tcPr>
            <w:vAlign w:val="center"/>
          </w:tcPr>
          <w:p>
            <w:pPr>
              <w:jc w:val="right"/>
            </w:pPr>
            <w:r>
              <w:rPr>
                <w:color w:val="000000"/>
                <w:sz w:val="24"/>
              </w:rPr>
              <w:t>400,000</w:t>
            </w:r>
          </w:p>
        </w:tc>
        <w:tc>
          <w:tcPr>
            <w:vAlign w:val="center"/>
          </w:tcPr>
          <w:p>
            <w:pPr>
              <w:jc w:val="right"/>
            </w:pPr>
            <w:r>
              <w:rPr>
                <w:color w:val="000000"/>
                <w:sz w:val="24"/>
              </w:rPr>
              <w:t>2,020,000.00</w:t>
            </w:r>
          </w:p>
        </w:tc>
        <w:tc>
          <w:tcPr>
            <w:vAlign w:val="center"/>
          </w:tcPr>
          <w:p>
            <w:pPr>
              <w:jc w:val="right"/>
            </w:pPr>
            <w:r>
              <w:rPr>
                <w:color w:val="000000"/>
                <w:sz w:val="24"/>
              </w:rPr>
              <w:t>2.01</w:t>
            </w:r>
          </w:p>
        </w:tc>
      </w:tr>
      <w:tr>
        <w:tc>
          <w:tcPr>
            <w:vAlign w:val="center"/>
          </w:tcPr>
          <w:p>
            <w:pPr>
              <w:jc w:val="center"/>
            </w:pPr>
            <w:r>
              <w:rPr>
                <w:color w:val="000000"/>
                <w:sz w:val="24"/>
              </w:rPr>
              <w:t>6</w:t>
            </w:r>
          </w:p>
        </w:tc>
        <w:tc>
          <w:tcPr>
            <w:vAlign w:val="center"/>
          </w:tcPr>
          <w:p>
            <w:pPr>
              <w:jc w:val="center"/>
            </w:pPr>
            <w:r>
              <w:rPr>
                <w:color w:val="000000"/>
                <w:sz w:val="24"/>
              </w:rPr>
              <w:t>601877</w:t>
            </w:r>
          </w:p>
        </w:tc>
        <w:tc>
          <w:tcPr>
            <w:vAlign w:val="center"/>
          </w:tcPr>
          <w:p>
            <w:pPr>
              <w:jc w:val="center"/>
            </w:pPr>
            <w:r>
              <w:rPr>
                <w:color w:val="000000"/>
                <w:sz w:val="24"/>
              </w:rPr>
              <w:t>正泰电器</w:t>
            </w:r>
          </w:p>
        </w:tc>
        <w:tc>
          <w:tcPr>
            <w:vAlign w:val="center"/>
          </w:tcPr>
          <w:p>
            <w:pPr>
              <w:jc w:val="right"/>
            </w:pPr>
            <w:r>
              <w:rPr>
                <w:color w:val="000000"/>
                <w:sz w:val="24"/>
              </w:rPr>
              <w:t>70,000</w:t>
            </w:r>
          </w:p>
        </w:tc>
        <w:tc>
          <w:tcPr>
            <w:vAlign w:val="center"/>
          </w:tcPr>
          <w:p>
            <w:pPr>
              <w:jc w:val="right"/>
            </w:pPr>
            <w:r>
              <w:rPr>
                <w:color w:val="000000"/>
                <w:sz w:val="24"/>
              </w:rPr>
              <w:t>1,696,800.00</w:t>
            </w:r>
          </w:p>
        </w:tc>
        <w:tc>
          <w:tcPr>
            <w:vAlign w:val="center"/>
          </w:tcPr>
          <w:p>
            <w:pPr>
              <w:jc w:val="right"/>
            </w:pPr>
            <w:r>
              <w:rPr>
                <w:color w:val="000000"/>
                <w:sz w:val="24"/>
              </w:rPr>
              <w:t>1.68</w:t>
            </w:r>
          </w:p>
        </w:tc>
      </w:tr>
      <w:tr>
        <w:tc>
          <w:tcPr>
            <w:vAlign w:val="center"/>
          </w:tcPr>
          <w:p>
            <w:pPr>
              <w:jc w:val="center"/>
            </w:pPr>
            <w:r>
              <w:rPr>
                <w:color w:val="000000"/>
                <w:sz w:val="24"/>
              </w:rPr>
              <w:t>7</w:t>
            </w:r>
          </w:p>
        </w:tc>
        <w:tc>
          <w:tcPr>
            <w:vAlign w:val="center"/>
          </w:tcPr>
          <w:p>
            <w:pPr>
              <w:jc w:val="center"/>
            </w:pPr>
            <w:r>
              <w:rPr>
                <w:color w:val="000000"/>
                <w:sz w:val="24"/>
              </w:rPr>
              <w:t>600276</w:t>
            </w:r>
          </w:p>
        </w:tc>
        <w:tc>
          <w:tcPr>
            <w:vAlign w:val="center"/>
          </w:tcPr>
          <w:p>
            <w:pPr>
              <w:jc w:val="center"/>
            </w:pPr>
            <w:r>
              <w:rPr>
                <w:color w:val="000000"/>
                <w:sz w:val="24"/>
              </w:rPr>
              <w:t>恒瑞医药</w:t>
            </w:r>
          </w:p>
        </w:tc>
        <w:tc>
          <w:tcPr>
            <w:vAlign w:val="center"/>
          </w:tcPr>
          <w:p>
            <w:pPr>
              <w:jc w:val="right"/>
            </w:pPr>
            <w:r>
              <w:rPr>
                <w:color w:val="000000"/>
                <w:sz w:val="24"/>
              </w:rPr>
              <w:t>30,000</w:t>
            </w:r>
          </w:p>
        </w:tc>
        <w:tc>
          <w:tcPr>
            <w:vAlign w:val="center"/>
          </w:tcPr>
          <w:p>
            <w:pPr>
              <w:jc w:val="right"/>
            </w:pPr>
            <w:r>
              <w:rPr>
                <w:color w:val="000000"/>
                <w:sz w:val="24"/>
              </w:rPr>
              <w:t>1,582,500.00</w:t>
            </w:r>
          </w:p>
        </w:tc>
        <w:tc>
          <w:tcPr>
            <w:vAlign w:val="center"/>
          </w:tcPr>
          <w:p>
            <w:pPr>
              <w:jc w:val="right"/>
            </w:pPr>
            <w:r>
              <w:rPr>
                <w:color w:val="000000"/>
                <w:sz w:val="24"/>
              </w:rPr>
              <w:t>1.57</w:t>
            </w:r>
          </w:p>
        </w:tc>
      </w:tr>
      <w:tr>
        <w:tc>
          <w:tcPr>
            <w:vAlign w:val="center"/>
          </w:tcPr>
          <w:p>
            <w:pPr>
              <w:jc w:val="center"/>
            </w:pPr>
            <w:r>
              <w:rPr>
                <w:color w:val="000000"/>
                <w:sz w:val="24"/>
              </w:rPr>
              <w:t>8</w:t>
            </w:r>
          </w:p>
        </w:tc>
        <w:tc>
          <w:tcPr>
            <w:vAlign w:val="center"/>
          </w:tcPr>
          <w:p>
            <w:pPr>
              <w:jc w:val="center"/>
            </w:pPr>
            <w:r>
              <w:rPr>
                <w:color w:val="000000"/>
                <w:sz w:val="24"/>
              </w:rPr>
              <w:t>601100</w:t>
            </w:r>
          </w:p>
        </w:tc>
        <w:tc>
          <w:tcPr>
            <w:vAlign w:val="center"/>
          </w:tcPr>
          <w:p>
            <w:pPr>
              <w:jc w:val="center"/>
            </w:pPr>
            <w:r>
              <w:rPr>
                <w:color w:val="000000"/>
                <w:sz w:val="24"/>
              </w:rPr>
              <w:t>恒立液压</w:t>
            </w:r>
          </w:p>
        </w:tc>
        <w:tc>
          <w:tcPr>
            <w:vAlign w:val="center"/>
          </w:tcPr>
          <w:p>
            <w:pPr>
              <w:jc w:val="right"/>
            </w:pPr>
            <w:r>
              <w:rPr>
                <w:color w:val="000000"/>
                <w:sz w:val="24"/>
              </w:rPr>
              <w:t>49,840</w:t>
            </w:r>
          </w:p>
        </w:tc>
        <w:tc>
          <w:tcPr>
            <w:vAlign w:val="center"/>
          </w:tcPr>
          <w:p>
            <w:pPr>
              <w:jc w:val="right"/>
            </w:pPr>
            <w:r>
              <w:rPr>
                <w:color w:val="000000"/>
                <w:sz w:val="24"/>
              </w:rPr>
              <w:t>987,330.40</w:t>
            </w:r>
          </w:p>
        </w:tc>
        <w:tc>
          <w:tcPr>
            <w:vAlign w:val="center"/>
          </w:tcPr>
          <w:p>
            <w:pPr>
              <w:jc w:val="right"/>
            </w:pPr>
            <w:r>
              <w:rPr>
                <w:color w:val="000000"/>
                <w:sz w:val="24"/>
              </w:rPr>
              <w:t>0.98</w:t>
            </w:r>
          </w:p>
        </w:tc>
      </w:tr>
      <w:tr>
        <w:tc>
          <w:tcPr>
            <w:vAlign w:val="center"/>
          </w:tcPr>
          <w:p>
            <w:pPr>
              <w:jc w:val="center"/>
            </w:pPr>
            <w:r>
              <w:rPr>
                <w:color w:val="000000"/>
                <w:sz w:val="24"/>
              </w:rPr>
              <w:t>9</w:t>
            </w:r>
          </w:p>
        </w:tc>
        <w:tc>
          <w:tcPr>
            <w:vAlign w:val="center"/>
          </w:tcPr>
          <w:p>
            <w:pPr>
              <w:jc w:val="center"/>
            </w:pPr>
            <w:r>
              <w:rPr>
                <w:color w:val="000000"/>
                <w:sz w:val="24"/>
              </w:rPr>
              <w:t>601186</w:t>
            </w:r>
          </w:p>
        </w:tc>
        <w:tc>
          <w:tcPr>
            <w:vAlign w:val="center"/>
          </w:tcPr>
          <w:p>
            <w:pPr>
              <w:jc w:val="center"/>
            </w:pPr>
            <w:r>
              <w:rPr>
                <w:color w:val="000000"/>
                <w:sz w:val="24"/>
              </w:rPr>
              <w:t>中国铁建</w:t>
            </w:r>
          </w:p>
        </w:tc>
        <w:tc>
          <w:tcPr>
            <w:vAlign w:val="center"/>
          </w:tcPr>
          <w:p>
            <w:pPr>
              <w:jc w:val="right"/>
            </w:pPr>
            <w:r>
              <w:rPr>
                <w:color w:val="000000"/>
                <w:sz w:val="24"/>
              </w:rPr>
              <w:t>80,000</w:t>
            </w:r>
          </w:p>
        </w:tc>
        <w:tc>
          <w:tcPr>
            <w:vAlign w:val="center"/>
          </w:tcPr>
          <w:p>
            <w:pPr>
              <w:jc w:val="right"/>
            </w:pPr>
            <w:r>
              <w:rPr>
                <w:color w:val="000000"/>
                <w:sz w:val="24"/>
              </w:rPr>
              <w:t>869,600.00</w:t>
            </w:r>
          </w:p>
        </w:tc>
        <w:tc>
          <w:tcPr>
            <w:vAlign w:val="center"/>
          </w:tcPr>
          <w:p>
            <w:pPr>
              <w:jc w:val="right"/>
            </w:pPr>
            <w:r>
              <w:rPr>
                <w:color w:val="000000"/>
                <w:sz w:val="24"/>
              </w:rPr>
              <w:t>0.86</w:t>
            </w:r>
          </w:p>
        </w:tc>
      </w:tr>
      <w:tr>
        <w:tc>
          <w:tcPr>
            <w:vAlign w:val="center"/>
          </w:tcPr>
          <w:p>
            <w:pPr>
              <w:jc w:val="center"/>
            </w:pPr>
            <w:r>
              <w:rPr>
                <w:color w:val="000000"/>
                <w:sz w:val="24"/>
              </w:rPr>
              <w:t>10</w:t>
            </w:r>
          </w:p>
        </w:tc>
        <w:tc>
          <w:tcPr>
            <w:vAlign w:val="center"/>
          </w:tcPr>
          <w:p>
            <w:pPr>
              <w:jc w:val="center"/>
            </w:pPr>
            <w:r>
              <w:rPr>
                <w:color w:val="000000"/>
                <w:sz w:val="24"/>
              </w:rPr>
              <w:t>600436</w:t>
            </w:r>
          </w:p>
        </w:tc>
        <w:tc>
          <w:tcPr>
            <w:vAlign w:val="center"/>
          </w:tcPr>
          <w:p>
            <w:pPr>
              <w:jc w:val="center"/>
            </w:pPr>
            <w:r>
              <w:rPr>
                <w:color w:val="000000"/>
                <w:sz w:val="24"/>
              </w:rPr>
              <w:t>片仔癀</w:t>
            </w:r>
          </w:p>
        </w:tc>
        <w:tc>
          <w:tcPr>
            <w:vAlign w:val="center"/>
          </w:tcPr>
          <w:p>
            <w:pPr>
              <w:jc w:val="right"/>
            </w:pPr>
            <w:r>
              <w:rPr>
                <w:color w:val="000000"/>
                <w:sz w:val="24"/>
              </w:rPr>
              <w:t>10,000</w:t>
            </w:r>
          </w:p>
        </w:tc>
        <w:tc>
          <w:tcPr>
            <w:vAlign w:val="center"/>
          </w:tcPr>
          <w:p>
            <w:pPr>
              <w:jc w:val="right"/>
            </w:pPr>
            <w:r>
              <w:rPr>
                <w:color w:val="000000"/>
                <w:sz w:val="24"/>
              </w:rPr>
              <w:t>866,500.00</w:t>
            </w:r>
          </w:p>
        </w:tc>
        <w:tc>
          <w:tcPr>
            <w:vAlign w:val="center"/>
          </w:tcPr>
          <w:p>
            <w:pPr>
              <w:jc w:val="right"/>
            </w:pPr>
            <w:r>
              <w:rPr>
                <w:color w:val="000000"/>
                <w:sz w:val="24"/>
              </w:rPr>
              <w:t>0.86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26,652,400.00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26.46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26,652,400.00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26.46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27,920,050.00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27.72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10,031,000.00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9.96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25,000.00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64,628,450.00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64.16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180210</w:t>
            </w:r>
          </w:p>
        </w:tc>
        <w:tc>
          <w:tcPr>
            <w:vAlign w:val="center"/>
          </w:tcPr>
          <w:p>
            <w:pPr>
              <w:jc w:val="center"/>
            </w:pPr>
            <w:r>
              <w:rPr>
                <w:color w:val="000000"/>
                <w:sz w:val="24"/>
              </w:rPr>
              <w:t>18国开10</w:t>
            </w:r>
          </w:p>
        </w:tc>
        <w:tc>
          <w:tcPr>
            <w:vAlign w:val="center"/>
          </w:tcPr>
          <w:p>
            <w:pPr>
              <w:jc w:val="right"/>
            </w:pPr>
            <w:r>
              <w:rPr>
                <w:color w:val="000000"/>
                <w:sz w:val="24"/>
              </w:rPr>
              <w:t>200,000</w:t>
            </w:r>
          </w:p>
        </w:tc>
        <w:tc>
          <w:tcPr>
            <w:vAlign w:val="center"/>
          </w:tcPr>
          <w:p>
            <w:pPr>
              <w:jc w:val="right"/>
            </w:pPr>
            <w:r>
              <w:rPr>
                <w:color w:val="000000"/>
                <w:sz w:val="24"/>
              </w:rPr>
              <w:t>20,626,000.00</w:t>
            </w:r>
          </w:p>
        </w:tc>
        <w:tc>
          <w:tcPr>
            <w:vAlign w:val="center"/>
          </w:tcPr>
          <w:p>
            <w:pPr>
              <w:jc w:val="right"/>
            </w:pPr>
            <w:r>
              <w:rPr>
                <w:color w:val="000000"/>
                <w:sz w:val="24"/>
              </w:rPr>
              <w:t>20.48</w:t>
            </w:r>
          </w:p>
        </w:tc>
      </w:tr>
      <w:tr>
        <w:tc>
          <w:tcPr>
            <w:vAlign w:val="center"/>
          </w:tcPr>
          <w:p>
            <w:pPr>
              <w:jc w:val="center"/>
            </w:pPr>
            <w:r>
              <w:rPr>
                <w:color w:val="000000"/>
                <w:sz w:val="24"/>
              </w:rPr>
              <w:t>2</w:t>
            </w:r>
          </w:p>
        </w:tc>
        <w:tc>
          <w:tcPr>
            <w:vAlign w:val="center"/>
          </w:tcPr>
          <w:p>
            <w:pPr>
              <w:jc w:val="center"/>
            </w:pPr>
            <w:r>
              <w:rPr>
                <w:color w:val="000000"/>
                <w:sz w:val="24"/>
              </w:rPr>
              <w:t>101673001</w:t>
            </w:r>
          </w:p>
        </w:tc>
        <w:tc>
          <w:tcPr>
            <w:vAlign w:val="center"/>
          </w:tcPr>
          <w:p>
            <w:pPr>
              <w:jc w:val="center"/>
            </w:pPr>
            <w:r>
              <w:rPr>
                <w:color w:val="000000"/>
                <w:sz w:val="24"/>
              </w:rPr>
              <w:t>16生态城投MTN001</w:t>
            </w:r>
          </w:p>
        </w:tc>
        <w:tc>
          <w:tcPr>
            <w:vAlign w:val="center"/>
          </w:tcPr>
          <w:p>
            <w:pPr>
              <w:jc w:val="right"/>
            </w:pPr>
            <w:r>
              <w:rPr>
                <w:color w:val="000000"/>
                <w:sz w:val="24"/>
              </w:rPr>
              <w:t>100,000</w:t>
            </w:r>
          </w:p>
        </w:tc>
        <w:tc>
          <w:tcPr>
            <w:vAlign w:val="center"/>
          </w:tcPr>
          <w:p>
            <w:pPr>
              <w:jc w:val="right"/>
            </w:pPr>
            <w:r>
              <w:rPr>
                <w:color w:val="000000"/>
                <w:sz w:val="24"/>
              </w:rPr>
              <w:t>10,031,000.00</w:t>
            </w:r>
          </w:p>
        </w:tc>
        <w:tc>
          <w:tcPr>
            <w:vAlign w:val="center"/>
          </w:tcPr>
          <w:p>
            <w:pPr>
              <w:jc w:val="right"/>
            </w:pPr>
            <w:r>
              <w:rPr>
                <w:color w:val="000000"/>
                <w:sz w:val="24"/>
              </w:rPr>
              <w:t>9.96</w:t>
            </w:r>
          </w:p>
        </w:tc>
      </w:tr>
      <w:tr>
        <w:tc>
          <w:tcPr>
            <w:vAlign w:val="center"/>
          </w:tcPr>
          <w:p>
            <w:pPr>
              <w:jc w:val="center"/>
            </w:pPr>
            <w:r>
              <w:rPr>
                <w:color w:val="000000"/>
                <w:sz w:val="24"/>
              </w:rPr>
              <w:t>3</w:t>
            </w:r>
          </w:p>
        </w:tc>
        <w:tc>
          <w:tcPr>
            <w:vAlign w:val="center"/>
          </w:tcPr>
          <w:p>
            <w:pPr>
              <w:jc w:val="center"/>
            </w:pPr>
            <w:r>
              <w:rPr>
                <w:color w:val="000000"/>
                <w:sz w:val="24"/>
              </w:rPr>
              <w:t>143260</w:t>
            </w:r>
          </w:p>
        </w:tc>
        <w:tc>
          <w:tcPr>
            <w:vAlign w:val="center"/>
          </w:tcPr>
          <w:p>
            <w:pPr>
              <w:jc w:val="center"/>
            </w:pPr>
            <w:r>
              <w:rPr>
                <w:color w:val="000000"/>
                <w:sz w:val="24"/>
              </w:rPr>
              <w:t>17国投01</w:t>
            </w:r>
          </w:p>
        </w:tc>
        <w:tc>
          <w:tcPr>
            <w:vAlign w:val="center"/>
          </w:tcPr>
          <w:p>
            <w:pPr>
              <w:jc w:val="right"/>
            </w:pPr>
            <w:r>
              <w:rPr>
                <w:color w:val="000000"/>
                <w:sz w:val="24"/>
              </w:rPr>
              <w:t>95,000</w:t>
            </w:r>
          </w:p>
        </w:tc>
        <w:tc>
          <w:tcPr>
            <w:vAlign w:val="center"/>
          </w:tcPr>
          <w:p>
            <w:pPr>
              <w:jc w:val="right"/>
            </w:pPr>
            <w:r>
              <w:rPr>
                <w:color w:val="000000"/>
                <w:sz w:val="24"/>
              </w:rPr>
              <w:t>9,624,450.00</w:t>
            </w:r>
          </w:p>
        </w:tc>
        <w:tc>
          <w:tcPr>
            <w:vAlign w:val="center"/>
          </w:tcPr>
          <w:p>
            <w:pPr>
              <w:jc w:val="right"/>
            </w:pPr>
            <w:r>
              <w:rPr>
                <w:color w:val="000000"/>
                <w:sz w:val="24"/>
              </w:rPr>
              <w:t>9.55</w:t>
            </w:r>
          </w:p>
        </w:tc>
      </w:tr>
      <w:tr>
        <w:tc>
          <w:tcPr>
            <w:vAlign w:val="center"/>
          </w:tcPr>
          <w:p>
            <w:pPr>
              <w:jc w:val="center"/>
            </w:pPr>
            <w:r>
              <w:rPr>
                <w:color w:val="000000"/>
                <w:sz w:val="24"/>
              </w:rPr>
              <w:t>4</w:t>
            </w:r>
          </w:p>
        </w:tc>
        <w:tc>
          <w:tcPr>
            <w:vAlign w:val="center"/>
          </w:tcPr>
          <w:p>
            <w:pPr>
              <w:jc w:val="center"/>
            </w:pPr>
            <w:r>
              <w:rPr>
                <w:color w:val="000000"/>
                <w:sz w:val="24"/>
              </w:rPr>
              <w:t>143647</w:t>
            </w:r>
          </w:p>
        </w:tc>
        <w:tc>
          <w:tcPr>
            <w:vAlign w:val="center"/>
          </w:tcPr>
          <w:p>
            <w:pPr>
              <w:jc w:val="center"/>
            </w:pPr>
            <w:r>
              <w:rPr>
                <w:color w:val="000000"/>
                <w:sz w:val="24"/>
              </w:rPr>
              <w:t>18电投03</w:t>
            </w:r>
          </w:p>
        </w:tc>
        <w:tc>
          <w:tcPr>
            <w:vAlign w:val="center"/>
          </w:tcPr>
          <w:p>
            <w:pPr>
              <w:jc w:val="right"/>
            </w:pPr>
            <w:r>
              <w:rPr>
                <w:color w:val="000000"/>
                <w:sz w:val="24"/>
              </w:rPr>
              <w:t>90,000</w:t>
            </w:r>
          </w:p>
        </w:tc>
        <w:tc>
          <w:tcPr>
            <w:vAlign w:val="center"/>
          </w:tcPr>
          <w:p>
            <w:pPr>
              <w:jc w:val="right"/>
            </w:pPr>
            <w:r>
              <w:rPr>
                <w:color w:val="000000"/>
                <w:sz w:val="24"/>
              </w:rPr>
              <w:t>9,186,300.00</w:t>
            </w:r>
          </w:p>
        </w:tc>
        <w:tc>
          <w:tcPr>
            <w:vAlign w:val="center"/>
          </w:tcPr>
          <w:p>
            <w:pPr>
              <w:jc w:val="right"/>
            </w:pPr>
            <w:r>
              <w:rPr>
                <w:color w:val="000000"/>
                <w:sz w:val="24"/>
              </w:rPr>
              <w:t>9.12</w:t>
            </w:r>
          </w:p>
        </w:tc>
      </w:tr>
      <w:tr>
        <w:tc>
          <w:tcPr>
            <w:vAlign w:val="center"/>
          </w:tcPr>
          <w:p>
            <w:pPr>
              <w:jc w:val="center"/>
            </w:pPr>
            <w:r>
              <w:rPr>
                <w:color w:val="000000"/>
                <w:sz w:val="24"/>
              </w:rPr>
              <w:t>5</w:t>
            </w:r>
          </w:p>
        </w:tc>
        <w:tc>
          <w:tcPr>
            <w:vAlign w:val="center"/>
          </w:tcPr>
          <w:p>
            <w:pPr>
              <w:jc w:val="center"/>
            </w:pPr>
            <w:r>
              <w:rPr>
                <w:color w:val="000000"/>
                <w:sz w:val="24"/>
              </w:rPr>
              <w:t>143010</w:t>
            </w:r>
          </w:p>
        </w:tc>
        <w:tc>
          <w:tcPr>
            <w:vAlign w:val="center"/>
          </w:tcPr>
          <w:p>
            <w:pPr>
              <w:jc w:val="center"/>
            </w:pPr>
            <w:r>
              <w:rPr>
                <w:color w:val="000000"/>
                <w:sz w:val="24"/>
              </w:rPr>
              <w:t>17鲁资01</w:t>
            </w:r>
          </w:p>
        </w:tc>
        <w:tc>
          <w:tcPr>
            <w:vAlign w:val="center"/>
          </w:tcPr>
          <w:p>
            <w:pPr>
              <w:jc w:val="right"/>
            </w:pPr>
            <w:r>
              <w:rPr>
                <w:color w:val="000000"/>
                <w:sz w:val="24"/>
              </w:rPr>
              <w:t>70,000</w:t>
            </w:r>
          </w:p>
        </w:tc>
        <w:tc>
          <w:tcPr>
            <w:vAlign w:val="center"/>
          </w:tcPr>
          <w:p>
            <w:pPr>
              <w:jc w:val="right"/>
            </w:pPr>
            <w:r>
              <w:rPr>
                <w:color w:val="000000"/>
                <w:sz w:val="24"/>
              </w:rPr>
              <w:t>7,115,500.00</w:t>
            </w:r>
          </w:p>
        </w:tc>
        <w:tc>
          <w:tcPr>
            <w:vAlign w:val="center"/>
          </w:tcPr>
          <w:p>
            <w:pPr>
              <w:jc w:val="right"/>
            </w:pPr>
            <w:r>
              <w:rPr>
                <w:color w:val="000000"/>
                <w:sz w:val="24"/>
              </w:rPr>
              <w:t>7.06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3,900.75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10,333,360.90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1,356,244.25</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10,743.91</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11,704,249.81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交银多策略回报灵活配置混合A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交银多策略回报灵活配置混合C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121,057,277.63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104,001.07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3,878,130.00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60,556.67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38,091,695.82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47,069.53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86,843,711.81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117,488.21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Lines="100"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§9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47,482,431.15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30,000,000.00</w:t>
            </w:r>
          </w:p>
        </w:tc>
        <w:tc>
          <w:tcPr>
            <w:vAlign w:val="center"/>
          </w:tcPr>
          <w:p>
            <w:pPr>
              <w:jc w:val="center"/>
            </w:pPr>
            <w:r>
              <w:rPr>
                <w:rFonts w:ascii="宋体" w:hAnsi="宋体" w:hint="eastAsia"/>
                <w:color w:val="000000"/>
                <w:kern w:val="0"/>
                <w:szCs w:val="21"/>
              </w:rPr>
              <w:t>17,482,431.15</w:t>
            </w:r>
          </w:p>
        </w:tc>
        <w:tc>
          <w:tcPr>
            <w:vAlign w:val="center"/>
          </w:tcPr>
          <w:p>
            <w:pPr>
              <w:jc w:val="center"/>
            </w:pPr>
            <w:r>
              <w:rPr>
                <w:rFonts w:ascii="宋体" w:hAnsi="宋体" w:hint="eastAsia"/>
                <w:color w:val="000000"/>
                <w:kern w:val="0"/>
                <w:szCs w:val="21"/>
              </w:rPr>
              <w:t>20.10%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1、中国证监会准予交银施罗德多策略回报灵活配置混合型证券投资基金募集注册的文件；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2、《交银施罗德多策略回报灵活配置混合型证券投资基金基金合同》；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3、《交银施罗德多策略回报灵活配置混合型证券投资基金招募说明书》；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4、《交银施罗德多策略回报灵活配置混合型证券投资基金托管协议》；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7、关于申请募集注册交银施罗德多策略回报灵活配置混合型证券投资基金的法律意见书；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8、报告期内交银施罗德多策略回报灵活配置混合型证券投资基金在指定报刊上各项公告的原稿。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