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交银施罗德裕利纯债债券型证券投资基金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二〇一九年一月二十一日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AC07C7" w:rsidRDefault="004A1D4E">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AC07C7" w:rsidRDefault="004A1D4E">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18</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AC07C7" w:rsidRDefault="004A1D4E">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AC07C7" w:rsidRDefault="004A1D4E">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AC07C7" w:rsidRDefault="004A1D4E">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交银裕利纯债债券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519786</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2016</w:t>
            </w:r>
            <w:r w:rsidRPr="007F52FA">
              <w:rPr>
                <w:color w:val="000000"/>
                <w:kern w:val="0"/>
                <w:sz w:val="24"/>
              </w:rPr>
              <w:t>年</w:t>
            </w:r>
            <w:r w:rsidRPr="007F52FA">
              <w:rPr>
                <w:color w:val="000000"/>
                <w:kern w:val="0"/>
                <w:sz w:val="24"/>
              </w:rPr>
              <w:t>11</w:t>
            </w:r>
            <w:r w:rsidRPr="007F52FA">
              <w:rPr>
                <w:color w:val="000000"/>
                <w:kern w:val="0"/>
                <w:sz w:val="24"/>
              </w:rPr>
              <w:t>月</w:t>
            </w:r>
            <w:r w:rsidRPr="007F52FA">
              <w:rPr>
                <w:color w:val="000000"/>
                <w:kern w:val="0"/>
                <w:sz w:val="24"/>
              </w:rPr>
              <w:t>23</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3,382,876,214.92</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本基金在严格控制风险和保持资产流动性的基础上，通过积极主动的投资管理，力争持续稳定地实现超越业绩比较基准的投资回报。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对宏观经济运行趋势、财政以及货币政策变化趋势作出分析和判断，对未来市场利率趋势及市场信用环境变化作出预测，确定本基金债券组合久期、期限结构、债券类别配置策略，在严谨深入的分析和严格的风险控制基础上，综合考虑经济变量的变动对不同券种收益率、信用趋势和风险的潜在影响，深入挖掘价值被低估的标的券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w:t>
            </w:r>
            <w:r w:rsidRPr="007F52FA">
              <w:rPr>
                <w:color w:val="000000"/>
                <w:kern w:val="0"/>
                <w:sz w:val="24"/>
              </w:rPr>
              <w:lastRenderedPageBreak/>
              <w:t>资基金中中低风险的品种。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交银裕利纯债债券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交银裕利纯债债券</w:t>
            </w:r>
            <w:r w:rsidRPr="007F52FA">
              <w:rPr>
                <w:sz w:val="24"/>
              </w:rPr>
              <w:t>C</w:t>
            </w:r>
          </w:p>
        </w:tc>
      </w:tr>
      <w:tr w:rsidR="00C23B30" w:rsidRPr="007F52FA" w:rsidTr="009416C9">
        <w:trPr>
          <w:jc w:val="center"/>
        </w:trPr>
        <w:tc>
          <w:tcPr>
            <w:tcW w:w="3023" w:type="dxa"/>
            <w:vAlign w:val="center"/>
          </w:tcPr>
          <w:p w:rsidR="00C01EF2" w:rsidRPr="007F52FA" w:rsidRDefault="007C3DC6" w:rsidP="00FC6C9C">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0E4C40" w:rsidRDefault="00C23B30" w:rsidP="007F50FB">
            <w:pPr>
              <w:spacing w:before="29" w:line="288" w:lineRule="auto"/>
              <w:jc w:val="left"/>
              <w:rPr>
                <w:sz w:val="24"/>
              </w:rPr>
            </w:pPr>
            <w:r w:rsidRPr="000E4C40">
              <w:rPr>
                <w:sz w:val="24"/>
              </w:rPr>
              <w:t>519786</w:t>
            </w:r>
          </w:p>
        </w:tc>
        <w:tc>
          <w:tcPr>
            <w:tcW w:w="3048" w:type="dxa"/>
            <w:vAlign w:val="center"/>
          </w:tcPr>
          <w:p w:rsidR="00C23B30" w:rsidRPr="000E4C40" w:rsidRDefault="00C23B30" w:rsidP="00A52A9E">
            <w:pPr>
              <w:spacing w:before="29" w:line="288" w:lineRule="auto"/>
              <w:jc w:val="left"/>
              <w:rPr>
                <w:sz w:val="24"/>
              </w:rPr>
            </w:pPr>
            <w:r w:rsidRPr="000E4C40">
              <w:rPr>
                <w:sz w:val="24"/>
              </w:rPr>
              <w:t>519787</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3,382,750,110.28</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126,104.64</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交银裕利纯债债券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交银裕利纯债债券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40,022,583.98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1,444.27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38,716,634.01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1,392.76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0.0114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0.0110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3,455,396,491.47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136,432.99</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1.0215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1.0819</w:t>
            </w:r>
          </w:p>
        </w:tc>
      </w:tr>
    </w:tbl>
    <w:p w:rsidR="00AC07C7" w:rsidRDefault="004A1D4E">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5E01A3" w:rsidRPr="007F52FA" w:rsidRDefault="005E01A3" w:rsidP="005102E0">
      <w:pPr>
        <w:autoSpaceDE w:val="0"/>
        <w:autoSpaceDN w:val="0"/>
        <w:adjustRightInd w:val="0"/>
        <w:spacing w:before="29" w:line="288" w:lineRule="auto"/>
        <w:ind w:firstLineChars="200" w:firstLine="480"/>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交银裕利纯债债券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AC07C7">
        <w:trPr>
          <w:jc w:val="center"/>
        </w:trPr>
        <w:tc>
          <w:tcPr>
            <w:tcW w:w="1266" w:type="dxa"/>
            <w:vAlign w:val="center"/>
          </w:tcPr>
          <w:p w:rsidR="00AC07C7" w:rsidRDefault="004A1D4E">
            <w:pPr>
              <w:jc w:val="left"/>
            </w:pPr>
            <w:r>
              <w:rPr>
                <w:color w:val="000000"/>
                <w:sz w:val="24"/>
              </w:rPr>
              <w:lastRenderedPageBreak/>
              <w:t>过去三个月</w:t>
            </w:r>
          </w:p>
        </w:tc>
        <w:tc>
          <w:tcPr>
            <w:tcW w:w="1267" w:type="dxa"/>
            <w:vAlign w:val="center"/>
          </w:tcPr>
          <w:p w:rsidR="00AC07C7" w:rsidRDefault="004A1D4E">
            <w:pPr>
              <w:jc w:val="center"/>
            </w:pPr>
            <w:r>
              <w:rPr>
                <w:color w:val="000000"/>
                <w:sz w:val="24"/>
              </w:rPr>
              <w:t>1.14%</w:t>
            </w:r>
          </w:p>
        </w:tc>
        <w:tc>
          <w:tcPr>
            <w:tcW w:w="1267" w:type="dxa"/>
            <w:vAlign w:val="center"/>
          </w:tcPr>
          <w:p w:rsidR="00AC07C7" w:rsidRDefault="004A1D4E">
            <w:pPr>
              <w:jc w:val="center"/>
            </w:pPr>
            <w:r>
              <w:rPr>
                <w:color w:val="000000"/>
                <w:sz w:val="24"/>
              </w:rPr>
              <w:t>0.02%</w:t>
            </w:r>
          </w:p>
        </w:tc>
        <w:tc>
          <w:tcPr>
            <w:tcW w:w="1267" w:type="dxa"/>
            <w:vAlign w:val="center"/>
          </w:tcPr>
          <w:p w:rsidR="00AC07C7" w:rsidRDefault="004A1D4E">
            <w:pPr>
              <w:jc w:val="center"/>
            </w:pPr>
            <w:r>
              <w:rPr>
                <w:color w:val="000000"/>
                <w:sz w:val="24"/>
              </w:rPr>
              <w:t>1.99%</w:t>
            </w:r>
          </w:p>
        </w:tc>
        <w:tc>
          <w:tcPr>
            <w:tcW w:w="1267" w:type="dxa"/>
            <w:vAlign w:val="center"/>
          </w:tcPr>
          <w:p w:rsidR="00AC07C7" w:rsidRDefault="004A1D4E">
            <w:pPr>
              <w:jc w:val="center"/>
            </w:pPr>
            <w:r>
              <w:rPr>
                <w:color w:val="000000"/>
                <w:sz w:val="24"/>
              </w:rPr>
              <w:t>0.05%</w:t>
            </w:r>
          </w:p>
        </w:tc>
        <w:tc>
          <w:tcPr>
            <w:tcW w:w="1267" w:type="dxa"/>
            <w:vAlign w:val="center"/>
          </w:tcPr>
          <w:p w:rsidR="00AC07C7" w:rsidRDefault="004A1D4E">
            <w:pPr>
              <w:jc w:val="center"/>
            </w:pPr>
            <w:r>
              <w:rPr>
                <w:color w:val="000000"/>
                <w:sz w:val="24"/>
              </w:rPr>
              <w:t>-0.85%</w:t>
            </w:r>
          </w:p>
        </w:tc>
        <w:tc>
          <w:tcPr>
            <w:tcW w:w="1267" w:type="dxa"/>
            <w:vAlign w:val="center"/>
          </w:tcPr>
          <w:p w:rsidR="00AC07C7" w:rsidRDefault="004A1D4E">
            <w:pPr>
              <w:jc w:val="center"/>
            </w:pPr>
            <w:r>
              <w:rPr>
                <w:color w:val="000000"/>
                <w:sz w:val="24"/>
              </w:rPr>
              <w:t>-0.03%</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交银裕利纯债债券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AC07C7">
        <w:trPr>
          <w:jc w:val="center"/>
        </w:trPr>
        <w:tc>
          <w:tcPr>
            <w:tcW w:w="1266" w:type="dxa"/>
            <w:vAlign w:val="center"/>
          </w:tcPr>
          <w:p w:rsidR="00AC07C7" w:rsidRDefault="004A1D4E">
            <w:pPr>
              <w:jc w:val="left"/>
            </w:pPr>
            <w:r>
              <w:rPr>
                <w:color w:val="000000"/>
                <w:sz w:val="24"/>
              </w:rPr>
              <w:t>过去三个月</w:t>
            </w:r>
          </w:p>
        </w:tc>
        <w:tc>
          <w:tcPr>
            <w:tcW w:w="1267" w:type="dxa"/>
            <w:vAlign w:val="center"/>
          </w:tcPr>
          <w:p w:rsidR="00AC07C7" w:rsidRDefault="004A1D4E">
            <w:pPr>
              <w:jc w:val="center"/>
            </w:pPr>
            <w:r>
              <w:rPr>
                <w:color w:val="000000"/>
                <w:sz w:val="24"/>
              </w:rPr>
              <w:t>1.03%</w:t>
            </w:r>
          </w:p>
        </w:tc>
        <w:tc>
          <w:tcPr>
            <w:tcW w:w="1267" w:type="dxa"/>
            <w:vAlign w:val="center"/>
          </w:tcPr>
          <w:p w:rsidR="00AC07C7" w:rsidRDefault="004A1D4E">
            <w:pPr>
              <w:jc w:val="center"/>
            </w:pPr>
            <w:r>
              <w:rPr>
                <w:color w:val="000000"/>
                <w:sz w:val="24"/>
              </w:rPr>
              <w:t>0.02%</w:t>
            </w:r>
          </w:p>
        </w:tc>
        <w:tc>
          <w:tcPr>
            <w:tcW w:w="1267" w:type="dxa"/>
            <w:vAlign w:val="center"/>
          </w:tcPr>
          <w:p w:rsidR="00AC07C7" w:rsidRDefault="004A1D4E">
            <w:pPr>
              <w:jc w:val="center"/>
            </w:pPr>
            <w:r>
              <w:rPr>
                <w:color w:val="000000"/>
                <w:sz w:val="24"/>
              </w:rPr>
              <w:t>1.99%</w:t>
            </w:r>
          </w:p>
        </w:tc>
        <w:tc>
          <w:tcPr>
            <w:tcW w:w="1267" w:type="dxa"/>
            <w:vAlign w:val="center"/>
          </w:tcPr>
          <w:p w:rsidR="00AC07C7" w:rsidRDefault="004A1D4E">
            <w:pPr>
              <w:jc w:val="center"/>
            </w:pPr>
            <w:r>
              <w:rPr>
                <w:color w:val="000000"/>
                <w:sz w:val="24"/>
              </w:rPr>
              <w:t>0.05%</w:t>
            </w:r>
          </w:p>
        </w:tc>
        <w:tc>
          <w:tcPr>
            <w:tcW w:w="1267" w:type="dxa"/>
            <w:vAlign w:val="center"/>
          </w:tcPr>
          <w:p w:rsidR="00AC07C7" w:rsidRDefault="004A1D4E">
            <w:pPr>
              <w:jc w:val="center"/>
            </w:pPr>
            <w:r>
              <w:rPr>
                <w:color w:val="000000"/>
                <w:sz w:val="24"/>
              </w:rPr>
              <w:t>-0.96%</w:t>
            </w:r>
          </w:p>
        </w:tc>
        <w:tc>
          <w:tcPr>
            <w:tcW w:w="1267" w:type="dxa"/>
            <w:vAlign w:val="center"/>
          </w:tcPr>
          <w:p w:rsidR="00AC07C7" w:rsidRDefault="004A1D4E">
            <w:pPr>
              <w:jc w:val="center"/>
            </w:pPr>
            <w:r>
              <w:rPr>
                <w:color w:val="000000"/>
                <w:sz w:val="24"/>
              </w:rPr>
              <w:t>-0.03%</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交银施罗德裕利纯债债券型证券投资基金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w:t>
      </w:r>
      <w:r w:rsidR="00D04410" w:rsidRPr="007F52FA">
        <w:rPr>
          <w:rFonts w:ascii="Times New Roman" w:hAnsi="Times New Roman"/>
          <w:sz w:val="24"/>
          <w:szCs w:val="24"/>
        </w:rPr>
        <w:t>年</w:t>
      </w:r>
      <w:r w:rsidR="00D04410" w:rsidRPr="007F52FA">
        <w:rPr>
          <w:rFonts w:ascii="Times New Roman" w:hAnsi="Times New Roman"/>
          <w:sz w:val="24"/>
          <w:szCs w:val="24"/>
        </w:rPr>
        <w:t>11</w:t>
      </w:r>
      <w:r w:rsidR="00D04410" w:rsidRPr="007F52FA">
        <w:rPr>
          <w:rFonts w:ascii="Times New Roman" w:hAnsi="Times New Roman"/>
          <w:sz w:val="24"/>
          <w:szCs w:val="24"/>
        </w:rPr>
        <w:t>月</w:t>
      </w:r>
      <w:r w:rsidR="00D04410" w:rsidRPr="007F52FA">
        <w:rPr>
          <w:rFonts w:ascii="Times New Roman" w:hAnsi="Times New Roman"/>
          <w:sz w:val="24"/>
          <w:szCs w:val="24"/>
        </w:rPr>
        <w:t>23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交银裕利纯债债券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5102E0">
      <w:pPr>
        <w:spacing w:before="29" w:line="288" w:lineRule="auto"/>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交银裕利纯债债券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5102E0">
      <w:pPr>
        <w:spacing w:before="29" w:line="288" w:lineRule="auto"/>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AC07C7">
        <w:trPr>
          <w:jc w:val="center"/>
        </w:trPr>
        <w:tc>
          <w:tcPr>
            <w:tcW w:w="946" w:type="dxa"/>
            <w:vAlign w:val="center"/>
          </w:tcPr>
          <w:p w:rsidR="00AC07C7" w:rsidRDefault="004A1D4E">
            <w:pPr>
              <w:jc w:val="center"/>
            </w:pPr>
            <w:r>
              <w:rPr>
                <w:color w:val="000000"/>
                <w:sz w:val="24"/>
              </w:rPr>
              <w:t>连端清</w:t>
            </w:r>
          </w:p>
        </w:tc>
        <w:tc>
          <w:tcPr>
            <w:tcW w:w="924" w:type="dxa"/>
            <w:vAlign w:val="center"/>
          </w:tcPr>
          <w:p w:rsidR="00AC07C7" w:rsidRDefault="004A1D4E">
            <w:pPr>
              <w:jc w:val="center"/>
            </w:pPr>
            <w:r>
              <w:rPr>
                <w:color w:val="000000"/>
                <w:sz w:val="24"/>
              </w:rPr>
              <w:t>交银货币、交银理财</w:t>
            </w:r>
            <w:r>
              <w:rPr>
                <w:color w:val="000000"/>
                <w:sz w:val="24"/>
              </w:rPr>
              <w:t>60</w:t>
            </w:r>
            <w:r>
              <w:rPr>
                <w:color w:val="000000"/>
                <w:sz w:val="24"/>
              </w:rPr>
              <w:t>天债券、交银丰盈收益债券、交银现金宝货币、交</w:t>
            </w:r>
            <w:r>
              <w:rPr>
                <w:color w:val="000000"/>
                <w:sz w:val="24"/>
              </w:rPr>
              <w:lastRenderedPageBreak/>
              <w:t>银丰润收益债券、交银活期通货币、交银天利宝货币、交银裕盈纯债债券、交银裕利纯债债券、交银裕隆纯债债券、交银天鑫宝货币、交银天益宝货币、交银境尚收益债券、交银天运宝货币的基金经理</w:t>
            </w:r>
          </w:p>
        </w:tc>
        <w:tc>
          <w:tcPr>
            <w:tcW w:w="1202" w:type="dxa"/>
            <w:vAlign w:val="center"/>
          </w:tcPr>
          <w:p w:rsidR="00AC07C7" w:rsidRDefault="004A1D4E">
            <w:pPr>
              <w:jc w:val="center"/>
            </w:pPr>
            <w:r>
              <w:rPr>
                <w:color w:val="000000"/>
                <w:sz w:val="24"/>
              </w:rPr>
              <w:lastRenderedPageBreak/>
              <w:t>2017-03-31</w:t>
            </w:r>
          </w:p>
        </w:tc>
        <w:tc>
          <w:tcPr>
            <w:tcW w:w="1300" w:type="dxa"/>
            <w:vAlign w:val="center"/>
          </w:tcPr>
          <w:p w:rsidR="00AC07C7" w:rsidRDefault="004A1D4E">
            <w:pPr>
              <w:jc w:val="center"/>
            </w:pPr>
            <w:r>
              <w:rPr>
                <w:color w:val="000000"/>
                <w:sz w:val="24"/>
              </w:rPr>
              <w:t>-</w:t>
            </w:r>
          </w:p>
        </w:tc>
        <w:tc>
          <w:tcPr>
            <w:tcW w:w="1245" w:type="dxa"/>
            <w:vAlign w:val="center"/>
          </w:tcPr>
          <w:p w:rsidR="00AC07C7" w:rsidRDefault="004A1D4E">
            <w:pPr>
              <w:jc w:val="center"/>
            </w:pPr>
            <w:r>
              <w:rPr>
                <w:color w:val="000000"/>
                <w:sz w:val="24"/>
              </w:rPr>
              <w:t>5</w:t>
            </w:r>
            <w:r>
              <w:rPr>
                <w:color w:val="000000"/>
                <w:sz w:val="24"/>
              </w:rPr>
              <w:t>年</w:t>
            </w:r>
          </w:p>
        </w:tc>
        <w:tc>
          <w:tcPr>
            <w:tcW w:w="3251" w:type="dxa"/>
            <w:vAlign w:val="center"/>
          </w:tcPr>
          <w:p w:rsidR="00AC07C7" w:rsidRDefault="004A1D4E">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日担任交银施罗德裕兴纯债债券型证券投资基金的基金经理。</w:t>
            </w:r>
          </w:p>
        </w:tc>
      </w:tr>
    </w:tbl>
    <w:p w:rsidR="00AC07C7" w:rsidRDefault="004A1D4E">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AC07C7" w:rsidRDefault="004A1D4E">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w:t>
      </w:r>
      <w:r>
        <w:rPr>
          <w:color w:val="000000"/>
          <w:sz w:val="24"/>
        </w:rPr>
        <w:lastRenderedPageBreak/>
        <w:t>会《证券业从业人员资格管理办法》的相关规定；</w:t>
      </w:r>
      <w:r>
        <w:rPr>
          <w:color w:val="000000"/>
          <w:sz w:val="24"/>
        </w:rPr>
        <w:t xml:space="preserve"> </w:t>
      </w:r>
    </w:p>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3</w:t>
      </w:r>
      <w:r w:rsidRPr="007F52FA">
        <w:rPr>
          <w:color w:val="000000"/>
          <w:sz w:val="24"/>
        </w:rPr>
        <w:t>、基金经理（或基金经理小组）期后变动（如有）敬请关注基金管理人发布的相关公告。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AC07C7" w:rsidRDefault="004A1D4E">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C07C7" w:rsidRDefault="004A1D4E">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C07C7" w:rsidRDefault="004A1D4E">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AC07C7" w:rsidRDefault="004A1D4E">
      <w:pPr>
        <w:spacing w:before="29" w:line="288" w:lineRule="auto"/>
        <w:ind w:firstLineChars="200" w:firstLine="480"/>
        <w:rPr>
          <w:color w:val="000000"/>
          <w:sz w:val="24"/>
        </w:rPr>
      </w:pPr>
      <w:r>
        <w:rPr>
          <w:color w:val="000000"/>
          <w:sz w:val="24"/>
        </w:rPr>
        <w:t>2018</w:t>
      </w:r>
      <w:r>
        <w:rPr>
          <w:color w:val="000000"/>
          <w:sz w:val="24"/>
        </w:rPr>
        <w:t>年四季度，国内经济继续放缓，且下行压力加大。国内制造业景气度持续减弱且在十二月已降至荣枯线以下。十二月中采制造业</w:t>
      </w:r>
      <w:r>
        <w:rPr>
          <w:color w:val="000000"/>
          <w:sz w:val="24"/>
        </w:rPr>
        <w:t>PMI</w:t>
      </w:r>
      <w:r>
        <w:rPr>
          <w:color w:val="000000"/>
          <w:sz w:val="24"/>
        </w:rPr>
        <w:t>仅</w:t>
      </w:r>
      <w:r>
        <w:rPr>
          <w:color w:val="000000"/>
          <w:sz w:val="24"/>
        </w:rPr>
        <w:t>49.40%</w:t>
      </w:r>
      <w:r>
        <w:rPr>
          <w:color w:val="000000"/>
          <w:sz w:val="24"/>
        </w:rPr>
        <w:t>，分项数据显示供需正在全面下滑。四季度固定资产投资有所企稳回升。基建</w:t>
      </w:r>
      <w:r>
        <w:rPr>
          <w:color w:val="000000"/>
          <w:sz w:val="24"/>
        </w:rPr>
        <w:t>FAI</w:t>
      </w:r>
      <w:r>
        <w:rPr>
          <w:color w:val="000000"/>
          <w:sz w:val="24"/>
        </w:rPr>
        <w:t>同比增速触底企稳，且</w:t>
      </w:r>
      <w:r>
        <w:rPr>
          <w:color w:val="000000"/>
          <w:sz w:val="24"/>
        </w:rPr>
        <w:lastRenderedPageBreak/>
        <w:t>制造业</w:t>
      </w:r>
      <w:r>
        <w:rPr>
          <w:color w:val="000000"/>
          <w:sz w:val="24"/>
        </w:rPr>
        <w:t>FAI</w:t>
      </w:r>
      <w:r>
        <w:rPr>
          <w:color w:val="000000"/>
          <w:sz w:val="24"/>
        </w:rPr>
        <w:t>与房地产</w:t>
      </w:r>
      <w:r>
        <w:rPr>
          <w:color w:val="000000"/>
          <w:sz w:val="24"/>
        </w:rPr>
        <w:t>FAI</w:t>
      </w:r>
      <w:r>
        <w:rPr>
          <w:color w:val="000000"/>
          <w:sz w:val="24"/>
        </w:rPr>
        <w:t>同比增速依然相对较高。</w:t>
      </w:r>
      <w:r w:rsidR="00471DAA" w:rsidRPr="00471DAA">
        <w:rPr>
          <w:rFonts w:hint="eastAsia"/>
          <w:color w:val="000000"/>
          <w:sz w:val="24"/>
        </w:rPr>
        <w:t>2018</w:t>
      </w:r>
      <w:r w:rsidR="00471DAA" w:rsidRPr="00471DAA">
        <w:rPr>
          <w:rFonts w:hint="eastAsia"/>
          <w:color w:val="000000"/>
          <w:sz w:val="24"/>
        </w:rPr>
        <w:t>年</w:t>
      </w:r>
      <w:r>
        <w:rPr>
          <w:color w:val="000000"/>
          <w:sz w:val="24"/>
        </w:rPr>
        <w:t>12</w:t>
      </w:r>
      <w:r>
        <w:rPr>
          <w:color w:val="000000"/>
          <w:sz w:val="24"/>
        </w:rPr>
        <w:t>月</w:t>
      </w:r>
      <w:r>
        <w:rPr>
          <w:color w:val="000000"/>
          <w:sz w:val="24"/>
        </w:rPr>
        <w:t>1</w:t>
      </w:r>
      <w:r>
        <w:rPr>
          <w:color w:val="000000"/>
          <w:sz w:val="24"/>
        </w:rPr>
        <w:t>日中美元首会晤，中美双方暂停升级贸易限制措施，并将在</w:t>
      </w:r>
      <w:r>
        <w:rPr>
          <w:color w:val="000000"/>
          <w:sz w:val="24"/>
        </w:rPr>
        <w:t>90</w:t>
      </w:r>
      <w:r>
        <w:rPr>
          <w:color w:val="000000"/>
          <w:sz w:val="24"/>
        </w:rPr>
        <w:t>天内就具体经贸问题进行磋商。今年爆发的中美贸易战似乎出现了缓和的希望，但贸易战造成</w:t>
      </w:r>
      <w:bookmarkStart w:id="0" w:name="_GoBack"/>
      <w:bookmarkEnd w:id="0"/>
      <w:r>
        <w:rPr>
          <w:color w:val="000000"/>
          <w:sz w:val="24"/>
        </w:rPr>
        <w:t>的负面影响短期内难以消除，十一月出口同比增速大幅下滑至</w:t>
      </w:r>
      <w:r>
        <w:rPr>
          <w:color w:val="000000"/>
          <w:sz w:val="24"/>
        </w:rPr>
        <w:t>5.40%</w:t>
      </w:r>
      <w:r>
        <w:rPr>
          <w:color w:val="000000"/>
          <w:sz w:val="24"/>
        </w:rPr>
        <w:t>。经济趋冷，</w:t>
      </w:r>
      <w:r>
        <w:rPr>
          <w:color w:val="000000"/>
          <w:sz w:val="24"/>
        </w:rPr>
        <w:t>CPI</w:t>
      </w:r>
      <w:r>
        <w:rPr>
          <w:color w:val="000000"/>
          <w:sz w:val="24"/>
        </w:rPr>
        <w:t>冲高后呈回落之势，</w:t>
      </w:r>
      <w:r>
        <w:rPr>
          <w:color w:val="000000"/>
          <w:sz w:val="24"/>
        </w:rPr>
        <w:t>PPI</w:t>
      </w:r>
      <w:r>
        <w:rPr>
          <w:color w:val="000000"/>
          <w:sz w:val="24"/>
        </w:rPr>
        <w:t>则在持续下行。货币政策上，四季度央行维持中性偏松的货币政策。尽管十月下旬至十二月上旬央行在公开市场上持续进行回笼资金操作，但随着跨年临近央行在十二月中旬重启逆回购操作投放资金，精心呵护货币市场平稳跨年。</w:t>
      </w:r>
    </w:p>
    <w:p w:rsidR="00AC07C7" w:rsidRDefault="004A1D4E">
      <w:pPr>
        <w:spacing w:before="29" w:line="288" w:lineRule="auto"/>
        <w:ind w:firstLineChars="200" w:firstLine="480"/>
        <w:rPr>
          <w:color w:val="000000"/>
          <w:sz w:val="24"/>
        </w:rPr>
      </w:pPr>
      <w:r>
        <w:rPr>
          <w:color w:val="000000"/>
          <w:sz w:val="24"/>
        </w:rPr>
        <w:t>资金面上，尽管受银行跨年考核指标等因素影响，十二月份最后一周货币市场跨年资金曾一度比较紧张，但隔夜资金依然宽松。四季度货币市场流动性整体上保持宽裕格局。十二月底银行间市场</w:t>
      </w:r>
      <w:r>
        <w:rPr>
          <w:color w:val="000000"/>
          <w:sz w:val="24"/>
        </w:rPr>
        <w:t>R001</w:t>
      </w:r>
      <w:r>
        <w:rPr>
          <w:color w:val="000000"/>
          <w:sz w:val="24"/>
        </w:rPr>
        <w:t>较九月底下降</w:t>
      </w:r>
      <w:r>
        <w:rPr>
          <w:color w:val="000000"/>
          <w:sz w:val="24"/>
        </w:rPr>
        <w:t>17</w:t>
      </w:r>
      <w:r>
        <w:rPr>
          <w:color w:val="000000"/>
          <w:sz w:val="24"/>
        </w:rPr>
        <w:t>个</w:t>
      </w:r>
      <w:r>
        <w:rPr>
          <w:color w:val="000000"/>
          <w:sz w:val="24"/>
        </w:rPr>
        <w:t>BP</w:t>
      </w:r>
      <w:r>
        <w:rPr>
          <w:color w:val="000000"/>
          <w:sz w:val="24"/>
        </w:rPr>
        <w:t>以上。四季度受跨年等因素影响，同业存单利率回升。十二月下旬跨年资金紧张时，股份制行三个月同业存单利率曾一度涨至</w:t>
      </w:r>
      <w:r>
        <w:rPr>
          <w:color w:val="000000"/>
          <w:sz w:val="24"/>
        </w:rPr>
        <w:t>3.50%</w:t>
      </w:r>
      <w:r>
        <w:rPr>
          <w:color w:val="000000"/>
          <w:sz w:val="24"/>
        </w:rPr>
        <w:t>左右。由于经济下行压力加大，叠加流动性宽松，四季度债市上涨迅猛。十二月底十年期国开债</w:t>
      </w:r>
      <w:r>
        <w:rPr>
          <w:color w:val="000000"/>
          <w:sz w:val="24"/>
        </w:rPr>
        <w:t>YTM</w:t>
      </w:r>
      <w:r>
        <w:rPr>
          <w:color w:val="000000"/>
          <w:sz w:val="24"/>
        </w:rPr>
        <w:t>较九月底下降</w:t>
      </w:r>
      <w:r>
        <w:rPr>
          <w:color w:val="000000"/>
          <w:sz w:val="24"/>
        </w:rPr>
        <w:t>55</w:t>
      </w:r>
      <w:r>
        <w:rPr>
          <w:color w:val="000000"/>
          <w:sz w:val="24"/>
        </w:rPr>
        <w:t>个</w:t>
      </w:r>
      <w:r>
        <w:rPr>
          <w:color w:val="000000"/>
          <w:sz w:val="24"/>
        </w:rPr>
        <w:t>BP</w:t>
      </w:r>
      <w:r>
        <w:rPr>
          <w:color w:val="000000"/>
          <w:sz w:val="24"/>
        </w:rPr>
        <w:t>以上。十二月底三年期与五年期</w:t>
      </w:r>
      <w:r>
        <w:rPr>
          <w:color w:val="000000"/>
          <w:sz w:val="24"/>
        </w:rPr>
        <w:t>AAA</w:t>
      </w:r>
      <w:r>
        <w:rPr>
          <w:color w:val="000000"/>
          <w:sz w:val="24"/>
        </w:rPr>
        <w:t>中票</w:t>
      </w:r>
      <w:r>
        <w:rPr>
          <w:color w:val="000000"/>
          <w:sz w:val="24"/>
        </w:rPr>
        <w:t>YTM</w:t>
      </w:r>
      <w:r>
        <w:rPr>
          <w:color w:val="000000"/>
          <w:sz w:val="24"/>
        </w:rPr>
        <w:t>较九月底分别下降</w:t>
      </w:r>
      <w:r>
        <w:rPr>
          <w:color w:val="000000"/>
          <w:sz w:val="24"/>
        </w:rPr>
        <w:t>35</w:t>
      </w:r>
      <w:r>
        <w:rPr>
          <w:color w:val="000000"/>
          <w:sz w:val="24"/>
        </w:rPr>
        <w:t>个</w:t>
      </w:r>
      <w:r>
        <w:rPr>
          <w:color w:val="000000"/>
          <w:sz w:val="24"/>
        </w:rPr>
        <w:t>BP</w:t>
      </w:r>
      <w:r>
        <w:rPr>
          <w:color w:val="000000"/>
          <w:sz w:val="24"/>
        </w:rPr>
        <w:t>与</w:t>
      </w:r>
      <w:r>
        <w:rPr>
          <w:color w:val="000000"/>
          <w:sz w:val="24"/>
        </w:rPr>
        <w:t>41</w:t>
      </w:r>
      <w:r>
        <w:rPr>
          <w:color w:val="000000"/>
          <w:sz w:val="24"/>
        </w:rPr>
        <w:t>个</w:t>
      </w:r>
      <w:r>
        <w:rPr>
          <w:color w:val="000000"/>
          <w:sz w:val="24"/>
        </w:rPr>
        <w:t>BP</w:t>
      </w:r>
      <w:r>
        <w:rPr>
          <w:color w:val="000000"/>
          <w:sz w:val="24"/>
        </w:rPr>
        <w:t>以上，且中低评级信用债表现更好。</w:t>
      </w:r>
    </w:p>
    <w:p w:rsidR="00AC07C7" w:rsidRDefault="004A1D4E">
      <w:pPr>
        <w:spacing w:before="29" w:line="288" w:lineRule="auto"/>
        <w:ind w:firstLineChars="200" w:firstLine="480"/>
        <w:rPr>
          <w:color w:val="000000"/>
          <w:sz w:val="24"/>
        </w:rPr>
      </w:pPr>
      <w:r>
        <w:rPr>
          <w:color w:val="000000"/>
          <w:sz w:val="24"/>
        </w:rPr>
        <w:t>基金操作方面，报告期内本基金顺应市场走势，调整组合杠杆与持仓债券，同时严格管控信用风险，为持有人创造稳健的回报。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2019</w:t>
      </w:r>
      <w:r w:rsidRPr="007F52FA">
        <w:rPr>
          <w:color w:val="000000"/>
          <w:sz w:val="24"/>
        </w:rPr>
        <w:t>年一季度，中美重启贸易磋商预示着中美贸易谈判有望朝着向好的方向进展。但是受</w:t>
      </w:r>
      <w:r w:rsidRPr="007F52FA">
        <w:rPr>
          <w:color w:val="000000"/>
          <w:sz w:val="24"/>
        </w:rPr>
        <w:t>“</w:t>
      </w:r>
      <w:r w:rsidRPr="007F52FA">
        <w:rPr>
          <w:color w:val="000000"/>
          <w:sz w:val="24"/>
        </w:rPr>
        <w:t>抢出口</w:t>
      </w:r>
      <w:r w:rsidRPr="007F52FA">
        <w:rPr>
          <w:color w:val="000000"/>
          <w:sz w:val="24"/>
        </w:rPr>
        <w:t>”</w:t>
      </w:r>
      <w:r w:rsidRPr="007F52FA">
        <w:rPr>
          <w:color w:val="000000"/>
          <w:sz w:val="24"/>
        </w:rPr>
        <w:t>造成的滞后效应等影响，</w:t>
      </w:r>
      <w:r w:rsidRPr="007F52FA">
        <w:rPr>
          <w:color w:val="000000"/>
          <w:sz w:val="24"/>
        </w:rPr>
        <w:t>2019</w:t>
      </w:r>
      <w:r w:rsidRPr="007F52FA">
        <w:rPr>
          <w:color w:val="000000"/>
          <w:sz w:val="24"/>
        </w:rPr>
        <w:t>年一季度国内经济可能承受较大压力。同时，中央经济政策托底工作进一步增强，十二月中央经济工作会议提出要加大积极财政政策力度，解决好民企融资问题，加快经济体制改革等措施。预计</w:t>
      </w:r>
      <w:r w:rsidRPr="007F52FA">
        <w:rPr>
          <w:color w:val="000000"/>
          <w:sz w:val="24"/>
        </w:rPr>
        <w:t>2019</w:t>
      </w:r>
      <w:r w:rsidRPr="007F52FA">
        <w:rPr>
          <w:color w:val="000000"/>
          <w:sz w:val="24"/>
        </w:rPr>
        <w:t>年一季度经济放缓的压力可能进一步加大，央行短期内仍可能坚持中性偏松的货币政策。我们将密切关注</w:t>
      </w:r>
      <w:r w:rsidRPr="007F52FA">
        <w:rPr>
          <w:color w:val="000000"/>
          <w:sz w:val="24"/>
        </w:rPr>
        <w:t>2019</w:t>
      </w:r>
      <w:r w:rsidRPr="007F52FA">
        <w:rPr>
          <w:color w:val="000000"/>
          <w:sz w:val="24"/>
        </w:rPr>
        <w:t>年一季度中美贸易谈判的进展与政府经济政策动态。组合管理方面，本基金将努力研判宏观经济走势，密切跟踪央行货币政策操作与监管政策动态，同时严格管控风险，积极跟踪把握市场机会，努力为份额持有人创造稳健的回报。</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本基金本报告期内曾连续二十个工作日以上出现基金份额持有人数量不满</w:t>
      </w:r>
      <w:r w:rsidRPr="002070B4">
        <w:rPr>
          <w:color w:val="000000"/>
          <w:sz w:val="24"/>
        </w:rPr>
        <w:t>200</w:t>
      </w:r>
      <w:r w:rsidRPr="002070B4">
        <w:rPr>
          <w:color w:val="000000"/>
          <w:sz w:val="24"/>
        </w:rPr>
        <w:t>人的情形，截至本报告期末，本基金基金份额持有人数量已高于</w:t>
      </w:r>
      <w:r w:rsidRPr="002070B4">
        <w:rPr>
          <w:color w:val="000000"/>
          <w:sz w:val="24"/>
        </w:rPr>
        <w:t>200</w:t>
      </w:r>
      <w:r w:rsidRPr="002070B4">
        <w:rPr>
          <w:color w:val="000000"/>
          <w:sz w:val="24"/>
        </w:rPr>
        <w:t>人。</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3,344,260,000.00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96.73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2,960,876,000.00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85.64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383,384,000.00</w:t>
            </w:r>
          </w:p>
        </w:tc>
        <w:tc>
          <w:tcPr>
            <w:tcW w:w="2801" w:type="dxa"/>
            <w:vAlign w:val="center"/>
          </w:tcPr>
          <w:p w:rsidR="00C51B4E" w:rsidRPr="0028293E" w:rsidRDefault="00C51B4E" w:rsidP="004A1D4E">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w:t>
            </w:r>
            <w:r w:rsidR="004A1D4E">
              <w:rPr>
                <w:rFonts w:eastAsiaTheme="minorEastAsia"/>
                <w:color w:val="000000" w:themeColor="text1"/>
                <w:sz w:val="24"/>
              </w:rPr>
              <w:t>1</w:t>
            </w:r>
            <w:r w:rsidRPr="0028293E">
              <w:rPr>
                <w:rFonts w:eastAsiaTheme="minorEastAsia"/>
                <w:color w:val="000000" w:themeColor="text1"/>
                <w:sz w:val="24"/>
              </w:rPr>
              <w:t>.</w:t>
            </w:r>
            <w:r w:rsidR="004A1D4E">
              <w:rPr>
                <w:rFonts w:eastAsiaTheme="minorEastAsia"/>
                <w:color w:val="000000" w:themeColor="text1"/>
                <w:sz w:val="24"/>
              </w:rPr>
              <w:t>0</w:t>
            </w:r>
            <w:r w:rsidRPr="0028293E">
              <w:rPr>
                <w:rFonts w:eastAsiaTheme="minorEastAsia"/>
                <w:color w:val="000000" w:themeColor="text1"/>
                <w:sz w:val="24"/>
              </w:rPr>
              <w:t>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66,000,219.00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1.91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1,441,383.58</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0.04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45,515,413.17</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1.32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3,457,217,015.75</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5102E0" w:rsidRPr="007F52FA" w:rsidRDefault="005102E0" w:rsidP="007C14DF">
      <w:pPr>
        <w:autoSpaceDE w:val="0"/>
        <w:autoSpaceDN w:val="0"/>
        <w:adjustRightInd w:val="0"/>
        <w:spacing w:before="29" w:line="288" w:lineRule="auto"/>
        <w:jc w:val="left"/>
        <w:rPr>
          <w:color w:val="00000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lastRenderedPageBreak/>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1,667,910,000.00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48.27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230,565,000.00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6.67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394,908,000.00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11.43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602,045,000.00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17.42</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151,008,000.00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4.37</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145,005,000.00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4.20</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2,960,876,000.00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85.69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AC07C7">
        <w:trPr>
          <w:jc w:val="center"/>
        </w:trPr>
        <w:tc>
          <w:tcPr>
            <w:tcW w:w="1075" w:type="dxa"/>
            <w:vAlign w:val="center"/>
          </w:tcPr>
          <w:p w:rsidR="00AC07C7" w:rsidRDefault="004A1D4E">
            <w:pPr>
              <w:jc w:val="center"/>
            </w:pPr>
            <w:r>
              <w:rPr>
                <w:color w:val="000000"/>
                <w:sz w:val="24"/>
              </w:rPr>
              <w:t>1</w:t>
            </w:r>
          </w:p>
        </w:tc>
        <w:tc>
          <w:tcPr>
            <w:tcW w:w="1533" w:type="dxa"/>
            <w:vAlign w:val="center"/>
          </w:tcPr>
          <w:p w:rsidR="00AC07C7" w:rsidRDefault="004A1D4E">
            <w:pPr>
              <w:jc w:val="center"/>
            </w:pPr>
            <w:r>
              <w:rPr>
                <w:color w:val="000000"/>
                <w:sz w:val="24"/>
              </w:rPr>
              <w:t>1728015</w:t>
            </w:r>
          </w:p>
        </w:tc>
        <w:tc>
          <w:tcPr>
            <w:tcW w:w="1533" w:type="dxa"/>
            <w:vAlign w:val="center"/>
          </w:tcPr>
          <w:p w:rsidR="00AC07C7" w:rsidRDefault="004A1D4E">
            <w:pPr>
              <w:jc w:val="center"/>
            </w:pPr>
            <w:r>
              <w:rPr>
                <w:color w:val="000000"/>
                <w:sz w:val="24"/>
              </w:rPr>
              <w:t>17</w:t>
            </w:r>
            <w:r>
              <w:rPr>
                <w:color w:val="000000"/>
                <w:sz w:val="24"/>
              </w:rPr>
              <w:t>招商银行</w:t>
            </w:r>
            <w:r>
              <w:rPr>
                <w:color w:val="000000"/>
                <w:sz w:val="24"/>
              </w:rPr>
              <w:t>02</w:t>
            </w:r>
          </w:p>
        </w:tc>
        <w:tc>
          <w:tcPr>
            <w:tcW w:w="1394" w:type="dxa"/>
            <w:vAlign w:val="center"/>
          </w:tcPr>
          <w:p w:rsidR="00AC07C7" w:rsidRDefault="004A1D4E">
            <w:pPr>
              <w:jc w:val="right"/>
            </w:pPr>
            <w:r>
              <w:rPr>
                <w:color w:val="000000"/>
                <w:sz w:val="24"/>
              </w:rPr>
              <w:t>3,000,000</w:t>
            </w:r>
          </w:p>
        </w:tc>
        <w:tc>
          <w:tcPr>
            <w:tcW w:w="1944" w:type="dxa"/>
            <w:vAlign w:val="center"/>
          </w:tcPr>
          <w:p w:rsidR="00AC07C7" w:rsidRDefault="004A1D4E">
            <w:pPr>
              <w:jc w:val="right"/>
            </w:pPr>
            <w:r>
              <w:rPr>
                <w:color w:val="000000"/>
                <w:sz w:val="24"/>
              </w:rPr>
              <w:t>303,510,000.00</w:t>
            </w:r>
          </w:p>
        </w:tc>
        <w:tc>
          <w:tcPr>
            <w:tcW w:w="1389" w:type="dxa"/>
            <w:vAlign w:val="center"/>
          </w:tcPr>
          <w:p w:rsidR="00AC07C7" w:rsidRDefault="004A1D4E">
            <w:pPr>
              <w:jc w:val="right"/>
            </w:pPr>
            <w:r>
              <w:rPr>
                <w:color w:val="000000"/>
                <w:sz w:val="24"/>
              </w:rPr>
              <w:t>8.78</w:t>
            </w:r>
          </w:p>
        </w:tc>
      </w:tr>
      <w:tr w:rsidR="00AC07C7">
        <w:trPr>
          <w:jc w:val="center"/>
        </w:trPr>
        <w:tc>
          <w:tcPr>
            <w:tcW w:w="1075" w:type="dxa"/>
            <w:vAlign w:val="center"/>
          </w:tcPr>
          <w:p w:rsidR="00AC07C7" w:rsidRDefault="004A1D4E">
            <w:pPr>
              <w:jc w:val="center"/>
            </w:pPr>
            <w:r>
              <w:rPr>
                <w:color w:val="000000"/>
                <w:sz w:val="24"/>
              </w:rPr>
              <w:t>2</w:t>
            </w:r>
          </w:p>
        </w:tc>
        <w:tc>
          <w:tcPr>
            <w:tcW w:w="1533" w:type="dxa"/>
            <w:vAlign w:val="center"/>
          </w:tcPr>
          <w:p w:rsidR="00AC07C7" w:rsidRDefault="004A1D4E">
            <w:pPr>
              <w:jc w:val="center"/>
            </w:pPr>
            <w:r>
              <w:rPr>
                <w:color w:val="000000"/>
                <w:sz w:val="24"/>
              </w:rPr>
              <w:t>1728012</w:t>
            </w:r>
          </w:p>
        </w:tc>
        <w:tc>
          <w:tcPr>
            <w:tcW w:w="1533" w:type="dxa"/>
            <w:vAlign w:val="center"/>
          </w:tcPr>
          <w:p w:rsidR="00AC07C7" w:rsidRDefault="004A1D4E">
            <w:pPr>
              <w:jc w:val="center"/>
            </w:pPr>
            <w:r>
              <w:rPr>
                <w:color w:val="000000"/>
                <w:sz w:val="24"/>
              </w:rPr>
              <w:t>17</w:t>
            </w:r>
            <w:r>
              <w:rPr>
                <w:color w:val="000000"/>
                <w:sz w:val="24"/>
              </w:rPr>
              <w:t>浦发银行</w:t>
            </w:r>
            <w:r>
              <w:rPr>
                <w:color w:val="000000"/>
                <w:sz w:val="24"/>
              </w:rPr>
              <w:t>03</w:t>
            </w:r>
          </w:p>
        </w:tc>
        <w:tc>
          <w:tcPr>
            <w:tcW w:w="1394" w:type="dxa"/>
            <w:vAlign w:val="center"/>
          </w:tcPr>
          <w:p w:rsidR="00AC07C7" w:rsidRDefault="004A1D4E">
            <w:pPr>
              <w:jc w:val="right"/>
            </w:pPr>
            <w:r>
              <w:rPr>
                <w:color w:val="000000"/>
                <w:sz w:val="24"/>
              </w:rPr>
              <w:t>2,500,000</w:t>
            </w:r>
          </w:p>
        </w:tc>
        <w:tc>
          <w:tcPr>
            <w:tcW w:w="1944" w:type="dxa"/>
            <w:vAlign w:val="center"/>
          </w:tcPr>
          <w:p w:rsidR="00AC07C7" w:rsidRDefault="004A1D4E">
            <w:pPr>
              <w:jc w:val="right"/>
            </w:pPr>
            <w:r>
              <w:rPr>
                <w:color w:val="000000"/>
                <w:sz w:val="24"/>
              </w:rPr>
              <w:t>252,750,000.00</w:t>
            </w:r>
          </w:p>
        </w:tc>
        <w:tc>
          <w:tcPr>
            <w:tcW w:w="1389" w:type="dxa"/>
            <w:vAlign w:val="center"/>
          </w:tcPr>
          <w:p w:rsidR="00AC07C7" w:rsidRDefault="004A1D4E">
            <w:pPr>
              <w:jc w:val="right"/>
            </w:pPr>
            <w:r>
              <w:rPr>
                <w:color w:val="000000"/>
                <w:sz w:val="24"/>
              </w:rPr>
              <w:t>7.31</w:t>
            </w:r>
          </w:p>
        </w:tc>
      </w:tr>
      <w:tr w:rsidR="00AC07C7">
        <w:trPr>
          <w:jc w:val="center"/>
        </w:trPr>
        <w:tc>
          <w:tcPr>
            <w:tcW w:w="1075" w:type="dxa"/>
            <w:vAlign w:val="center"/>
          </w:tcPr>
          <w:p w:rsidR="00AC07C7" w:rsidRDefault="004A1D4E">
            <w:pPr>
              <w:jc w:val="center"/>
            </w:pPr>
            <w:r>
              <w:rPr>
                <w:color w:val="000000"/>
                <w:sz w:val="24"/>
              </w:rPr>
              <w:t>3</w:t>
            </w:r>
          </w:p>
        </w:tc>
        <w:tc>
          <w:tcPr>
            <w:tcW w:w="1533" w:type="dxa"/>
            <w:vAlign w:val="center"/>
          </w:tcPr>
          <w:p w:rsidR="00AC07C7" w:rsidRDefault="004A1D4E">
            <w:pPr>
              <w:jc w:val="center"/>
            </w:pPr>
            <w:r>
              <w:rPr>
                <w:color w:val="000000"/>
                <w:sz w:val="24"/>
              </w:rPr>
              <w:t>1728001</w:t>
            </w:r>
          </w:p>
        </w:tc>
        <w:tc>
          <w:tcPr>
            <w:tcW w:w="1533" w:type="dxa"/>
            <w:vAlign w:val="center"/>
          </w:tcPr>
          <w:p w:rsidR="00AC07C7" w:rsidRDefault="004A1D4E">
            <w:pPr>
              <w:jc w:val="center"/>
            </w:pPr>
            <w:r>
              <w:rPr>
                <w:color w:val="000000"/>
                <w:sz w:val="24"/>
              </w:rPr>
              <w:t>17</w:t>
            </w:r>
            <w:r>
              <w:rPr>
                <w:color w:val="000000"/>
                <w:sz w:val="24"/>
              </w:rPr>
              <w:t>光大银行</w:t>
            </w:r>
            <w:r>
              <w:rPr>
                <w:color w:val="000000"/>
                <w:sz w:val="24"/>
              </w:rPr>
              <w:t>01</w:t>
            </w:r>
          </w:p>
        </w:tc>
        <w:tc>
          <w:tcPr>
            <w:tcW w:w="1394" w:type="dxa"/>
            <w:vAlign w:val="center"/>
          </w:tcPr>
          <w:p w:rsidR="00AC07C7" w:rsidRDefault="004A1D4E">
            <w:pPr>
              <w:jc w:val="right"/>
            </w:pPr>
            <w:r>
              <w:rPr>
                <w:color w:val="000000"/>
                <w:sz w:val="24"/>
              </w:rPr>
              <w:t>2,000,000</w:t>
            </w:r>
          </w:p>
        </w:tc>
        <w:tc>
          <w:tcPr>
            <w:tcW w:w="1944" w:type="dxa"/>
            <w:vAlign w:val="center"/>
          </w:tcPr>
          <w:p w:rsidR="00AC07C7" w:rsidRDefault="004A1D4E">
            <w:pPr>
              <w:jc w:val="right"/>
            </w:pPr>
            <w:r>
              <w:rPr>
                <w:color w:val="000000"/>
                <w:sz w:val="24"/>
              </w:rPr>
              <w:t>202,500,000.00</w:t>
            </w:r>
          </w:p>
        </w:tc>
        <w:tc>
          <w:tcPr>
            <w:tcW w:w="1389" w:type="dxa"/>
            <w:vAlign w:val="center"/>
          </w:tcPr>
          <w:p w:rsidR="00AC07C7" w:rsidRDefault="004A1D4E">
            <w:pPr>
              <w:jc w:val="right"/>
            </w:pPr>
            <w:r>
              <w:rPr>
                <w:color w:val="000000"/>
                <w:sz w:val="24"/>
              </w:rPr>
              <w:t>5.86</w:t>
            </w:r>
          </w:p>
        </w:tc>
      </w:tr>
      <w:tr w:rsidR="00AC07C7">
        <w:trPr>
          <w:jc w:val="center"/>
        </w:trPr>
        <w:tc>
          <w:tcPr>
            <w:tcW w:w="1075" w:type="dxa"/>
            <w:vAlign w:val="center"/>
          </w:tcPr>
          <w:p w:rsidR="00AC07C7" w:rsidRDefault="004A1D4E">
            <w:pPr>
              <w:jc w:val="center"/>
            </w:pPr>
            <w:r>
              <w:rPr>
                <w:color w:val="000000"/>
                <w:sz w:val="24"/>
              </w:rPr>
              <w:t>4</w:t>
            </w:r>
          </w:p>
        </w:tc>
        <w:tc>
          <w:tcPr>
            <w:tcW w:w="1533" w:type="dxa"/>
            <w:vAlign w:val="center"/>
          </w:tcPr>
          <w:p w:rsidR="00AC07C7" w:rsidRDefault="004A1D4E">
            <w:pPr>
              <w:jc w:val="center"/>
            </w:pPr>
            <w:r>
              <w:rPr>
                <w:color w:val="000000"/>
                <w:sz w:val="24"/>
              </w:rPr>
              <w:t>1728004</w:t>
            </w:r>
          </w:p>
        </w:tc>
        <w:tc>
          <w:tcPr>
            <w:tcW w:w="1533" w:type="dxa"/>
            <w:vAlign w:val="center"/>
          </w:tcPr>
          <w:p w:rsidR="00AC07C7" w:rsidRDefault="004A1D4E">
            <w:pPr>
              <w:jc w:val="center"/>
            </w:pPr>
            <w:r>
              <w:rPr>
                <w:color w:val="000000"/>
                <w:sz w:val="24"/>
              </w:rPr>
              <w:t>17</w:t>
            </w:r>
            <w:r>
              <w:rPr>
                <w:color w:val="000000"/>
                <w:sz w:val="24"/>
              </w:rPr>
              <w:t>民生银行</w:t>
            </w:r>
            <w:r>
              <w:rPr>
                <w:color w:val="000000"/>
                <w:sz w:val="24"/>
              </w:rPr>
              <w:t>01</w:t>
            </w:r>
          </w:p>
        </w:tc>
        <w:tc>
          <w:tcPr>
            <w:tcW w:w="1394" w:type="dxa"/>
            <w:vAlign w:val="center"/>
          </w:tcPr>
          <w:p w:rsidR="00AC07C7" w:rsidRDefault="004A1D4E">
            <w:pPr>
              <w:jc w:val="right"/>
            </w:pPr>
            <w:r>
              <w:rPr>
                <w:color w:val="000000"/>
                <w:sz w:val="24"/>
              </w:rPr>
              <w:t>2,000,000</w:t>
            </w:r>
          </w:p>
        </w:tc>
        <w:tc>
          <w:tcPr>
            <w:tcW w:w="1944" w:type="dxa"/>
            <w:vAlign w:val="center"/>
          </w:tcPr>
          <w:p w:rsidR="00AC07C7" w:rsidRDefault="004A1D4E">
            <w:pPr>
              <w:jc w:val="right"/>
            </w:pPr>
            <w:r>
              <w:rPr>
                <w:color w:val="000000"/>
                <w:sz w:val="24"/>
              </w:rPr>
              <w:t>202,460,000.00</w:t>
            </w:r>
          </w:p>
        </w:tc>
        <w:tc>
          <w:tcPr>
            <w:tcW w:w="1389" w:type="dxa"/>
            <w:vAlign w:val="center"/>
          </w:tcPr>
          <w:p w:rsidR="00AC07C7" w:rsidRDefault="004A1D4E">
            <w:pPr>
              <w:jc w:val="right"/>
            </w:pPr>
            <w:r>
              <w:rPr>
                <w:color w:val="000000"/>
                <w:sz w:val="24"/>
              </w:rPr>
              <w:t>5.86</w:t>
            </w:r>
          </w:p>
        </w:tc>
      </w:tr>
      <w:tr w:rsidR="00AC07C7">
        <w:trPr>
          <w:jc w:val="center"/>
        </w:trPr>
        <w:tc>
          <w:tcPr>
            <w:tcW w:w="1075" w:type="dxa"/>
            <w:vAlign w:val="center"/>
          </w:tcPr>
          <w:p w:rsidR="00AC07C7" w:rsidRDefault="004A1D4E">
            <w:pPr>
              <w:jc w:val="center"/>
            </w:pPr>
            <w:r>
              <w:rPr>
                <w:color w:val="000000"/>
                <w:sz w:val="24"/>
              </w:rPr>
              <w:t>5</w:t>
            </w:r>
          </w:p>
        </w:tc>
        <w:tc>
          <w:tcPr>
            <w:tcW w:w="1533" w:type="dxa"/>
            <w:vAlign w:val="center"/>
          </w:tcPr>
          <w:p w:rsidR="00AC07C7" w:rsidRDefault="004A1D4E">
            <w:pPr>
              <w:jc w:val="center"/>
            </w:pPr>
            <w:r>
              <w:rPr>
                <w:color w:val="000000"/>
                <w:sz w:val="24"/>
              </w:rPr>
              <w:t>0980165</w:t>
            </w:r>
          </w:p>
        </w:tc>
        <w:tc>
          <w:tcPr>
            <w:tcW w:w="1533" w:type="dxa"/>
            <w:vAlign w:val="center"/>
          </w:tcPr>
          <w:p w:rsidR="00AC07C7" w:rsidRDefault="004A1D4E">
            <w:pPr>
              <w:jc w:val="center"/>
            </w:pPr>
            <w:r>
              <w:rPr>
                <w:color w:val="000000"/>
                <w:sz w:val="24"/>
              </w:rPr>
              <w:t>09</w:t>
            </w:r>
            <w:r>
              <w:rPr>
                <w:color w:val="000000"/>
                <w:sz w:val="24"/>
              </w:rPr>
              <w:t>铁道</w:t>
            </w:r>
            <w:r>
              <w:rPr>
                <w:color w:val="000000"/>
                <w:sz w:val="24"/>
              </w:rPr>
              <w:t>09</w:t>
            </w:r>
          </w:p>
        </w:tc>
        <w:tc>
          <w:tcPr>
            <w:tcW w:w="1394" w:type="dxa"/>
            <w:vAlign w:val="center"/>
          </w:tcPr>
          <w:p w:rsidR="00AC07C7" w:rsidRDefault="004A1D4E">
            <w:pPr>
              <w:jc w:val="right"/>
            </w:pPr>
            <w:r>
              <w:rPr>
                <w:color w:val="000000"/>
                <w:sz w:val="24"/>
              </w:rPr>
              <w:t>2,000,000</w:t>
            </w:r>
          </w:p>
        </w:tc>
        <w:tc>
          <w:tcPr>
            <w:tcW w:w="1944" w:type="dxa"/>
            <w:vAlign w:val="center"/>
          </w:tcPr>
          <w:p w:rsidR="00AC07C7" w:rsidRDefault="004A1D4E">
            <w:pPr>
              <w:jc w:val="right"/>
            </w:pPr>
            <w:r>
              <w:rPr>
                <w:color w:val="000000"/>
                <w:sz w:val="24"/>
              </w:rPr>
              <w:t>202,240,000.00</w:t>
            </w:r>
          </w:p>
        </w:tc>
        <w:tc>
          <w:tcPr>
            <w:tcW w:w="1389" w:type="dxa"/>
            <w:vAlign w:val="center"/>
          </w:tcPr>
          <w:p w:rsidR="00AC07C7" w:rsidRDefault="004A1D4E">
            <w:pPr>
              <w:jc w:val="right"/>
            </w:pPr>
            <w:r>
              <w:rPr>
                <w:color w:val="000000"/>
                <w:sz w:val="24"/>
              </w:rPr>
              <w:t>5.85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tbl>
      <w:tblPr>
        <w:tblStyle w:val="af2"/>
        <w:tblW w:w="8868" w:type="dxa"/>
        <w:jc w:val="center"/>
        <w:tblCellMar>
          <w:top w:w="57" w:type="dxa"/>
          <w:bottom w:w="57" w:type="dxa"/>
        </w:tblCellMar>
        <w:tblLook w:val="04A0" w:firstRow="1" w:lastRow="0" w:firstColumn="1" w:lastColumn="0" w:noHBand="0" w:noVBand="1"/>
      </w:tblPr>
      <w:tblGrid>
        <w:gridCol w:w="1387"/>
        <w:gridCol w:w="1453"/>
        <w:gridCol w:w="1405"/>
        <w:gridCol w:w="1466"/>
        <w:gridCol w:w="1716"/>
        <w:gridCol w:w="1441"/>
      </w:tblGrid>
      <w:tr w:rsidR="009A0513" w:rsidRPr="007F52FA" w:rsidTr="00B236A5">
        <w:trPr>
          <w:jc w:val="center"/>
        </w:trPr>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CB7A3B" w:rsidRPr="007F52FA">
              <w:rPr>
                <w:color w:val="000000"/>
                <w:kern w:val="0"/>
                <w:sz w:val="24"/>
              </w:rPr>
              <w:t>（</w:t>
            </w:r>
            <w:r w:rsidR="007627C8">
              <w:rPr>
                <w:rFonts w:hint="eastAsia"/>
                <w:color w:val="000000"/>
                <w:kern w:val="0"/>
                <w:sz w:val="24"/>
              </w:rPr>
              <w:t>份</w:t>
            </w:r>
            <w:r w:rsidR="00CB7A3B"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1B5C86" w:rsidRPr="007F52FA">
              <w:rPr>
                <w:color w:val="000000"/>
                <w:kern w:val="0"/>
                <w:sz w:val="24"/>
              </w:rPr>
              <w:t>（</w:t>
            </w:r>
            <w:r w:rsidR="001B5C86" w:rsidRPr="007F52FA">
              <w:rPr>
                <w:sz w:val="24"/>
              </w:rPr>
              <w:t>元</w:t>
            </w:r>
            <w:r w:rsidR="001B5C86"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sidR="00E412F2">
              <w:rPr>
                <w:rFonts w:hint="eastAsia"/>
                <w:color w:val="000000"/>
                <w:kern w:val="0"/>
                <w:sz w:val="24"/>
              </w:rPr>
              <w:t>比例</w:t>
            </w:r>
            <w:r w:rsidR="001B5C86" w:rsidRPr="007F52FA">
              <w:rPr>
                <w:color w:val="000000"/>
                <w:kern w:val="0"/>
                <w:sz w:val="24"/>
              </w:rPr>
              <w:t>（％）</w:t>
            </w:r>
          </w:p>
        </w:tc>
      </w:tr>
      <w:tr w:rsidR="00AC07C7">
        <w:trPr>
          <w:jc w:val="center"/>
        </w:trPr>
        <w:tc>
          <w:tcPr>
            <w:tcW w:w="0" w:type="auto"/>
            <w:vAlign w:val="center"/>
          </w:tcPr>
          <w:p w:rsidR="00AC07C7" w:rsidRDefault="004A1D4E">
            <w:pPr>
              <w:jc w:val="center"/>
            </w:pPr>
            <w:r>
              <w:rPr>
                <w:color w:val="000000"/>
                <w:sz w:val="24"/>
              </w:rPr>
              <w:t>1</w:t>
            </w:r>
          </w:p>
        </w:tc>
        <w:tc>
          <w:tcPr>
            <w:tcW w:w="0" w:type="auto"/>
            <w:vAlign w:val="center"/>
          </w:tcPr>
          <w:p w:rsidR="00AC07C7" w:rsidRDefault="004A1D4E">
            <w:pPr>
              <w:jc w:val="center"/>
            </w:pPr>
            <w:r>
              <w:rPr>
                <w:color w:val="000000"/>
                <w:sz w:val="24"/>
              </w:rPr>
              <w:t>1889284</w:t>
            </w:r>
          </w:p>
        </w:tc>
        <w:tc>
          <w:tcPr>
            <w:tcW w:w="0" w:type="auto"/>
            <w:vAlign w:val="center"/>
          </w:tcPr>
          <w:p w:rsidR="00AC07C7" w:rsidRDefault="004A1D4E">
            <w:pPr>
              <w:jc w:val="center"/>
            </w:pPr>
            <w:r>
              <w:rPr>
                <w:color w:val="000000"/>
                <w:sz w:val="24"/>
              </w:rPr>
              <w:t>18</w:t>
            </w:r>
            <w:r>
              <w:rPr>
                <w:color w:val="000000"/>
                <w:sz w:val="24"/>
              </w:rPr>
              <w:t>开元</w:t>
            </w:r>
            <w:r>
              <w:rPr>
                <w:color w:val="000000"/>
                <w:sz w:val="24"/>
              </w:rPr>
              <w:t>2A</w:t>
            </w:r>
          </w:p>
        </w:tc>
        <w:tc>
          <w:tcPr>
            <w:tcW w:w="0" w:type="auto"/>
            <w:vAlign w:val="center"/>
          </w:tcPr>
          <w:p w:rsidR="00AC07C7" w:rsidRDefault="004A1D4E">
            <w:pPr>
              <w:jc w:val="right"/>
            </w:pPr>
            <w:r>
              <w:rPr>
                <w:color w:val="000000"/>
                <w:sz w:val="24"/>
              </w:rPr>
              <w:t>2,000,000</w:t>
            </w:r>
          </w:p>
        </w:tc>
        <w:tc>
          <w:tcPr>
            <w:tcW w:w="0" w:type="auto"/>
            <w:vAlign w:val="center"/>
          </w:tcPr>
          <w:p w:rsidR="00AC07C7" w:rsidRDefault="004A1D4E">
            <w:pPr>
              <w:jc w:val="right"/>
            </w:pPr>
            <w:r>
              <w:rPr>
                <w:color w:val="000000"/>
                <w:sz w:val="24"/>
              </w:rPr>
              <w:t>200,360,000.00</w:t>
            </w:r>
          </w:p>
        </w:tc>
        <w:tc>
          <w:tcPr>
            <w:tcW w:w="0" w:type="auto"/>
            <w:vAlign w:val="center"/>
          </w:tcPr>
          <w:p w:rsidR="00AC07C7" w:rsidRDefault="004A1D4E">
            <w:pPr>
              <w:jc w:val="right"/>
            </w:pPr>
            <w:r>
              <w:rPr>
                <w:color w:val="000000"/>
                <w:sz w:val="24"/>
              </w:rPr>
              <w:t>5.80</w:t>
            </w:r>
          </w:p>
        </w:tc>
      </w:tr>
      <w:tr w:rsidR="00AC07C7">
        <w:trPr>
          <w:jc w:val="center"/>
        </w:trPr>
        <w:tc>
          <w:tcPr>
            <w:tcW w:w="0" w:type="auto"/>
            <w:vAlign w:val="center"/>
          </w:tcPr>
          <w:p w:rsidR="00AC07C7" w:rsidRDefault="004A1D4E">
            <w:pPr>
              <w:jc w:val="center"/>
            </w:pPr>
            <w:r>
              <w:rPr>
                <w:color w:val="000000"/>
                <w:sz w:val="24"/>
              </w:rPr>
              <w:lastRenderedPageBreak/>
              <w:t>2</w:t>
            </w:r>
          </w:p>
        </w:tc>
        <w:tc>
          <w:tcPr>
            <w:tcW w:w="0" w:type="auto"/>
            <w:vAlign w:val="center"/>
          </w:tcPr>
          <w:p w:rsidR="00AC07C7" w:rsidRDefault="004A1D4E">
            <w:pPr>
              <w:jc w:val="center"/>
            </w:pPr>
            <w:r>
              <w:rPr>
                <w:color w:val="000000"/>
                <w:sz w:val="24"/>
              </w:rPr>
              <w:t>1889203</w:t>
            </w:r>
          </w:p>
        </w:tc>
        <w:tc>
          <w:tcPr>
            <w:tcW w:w="0" w:type="auto"/>
            <w:vAlign w:val="center"/>
          </w:tcPr>
          <w:p w:rsidR="00AC07C7" w:rsidRDefault="004A1D4E">
            <w:pPr>
              <w:jc w:val="center"/>
            </w:pPr>
            <w:r>
              <w:rPr>
                <w:color w:val="000000"/>
                <w:sz w:val="24"/>
              </w:rPr>
              <w:t>18</w:t>
            </w:r>
            <w:r>
              <w:rPr>
                <w:color w:val="000000"/>
                <w:sz w:val="24"/>
              </w:rPr>
              <w:t>工元</w:t>
            </w:r>
            <w:r>
              <w:rPr>
                <w:color w:val="000000"/>
                <w:sz w:val="24"/>
              </w:rPr>
              <w:t>9A1</w:t>
            </w:r>
          </w:p>
        </w:tc>
        <w:tc>
          <w:tcPr>
            <w:tcW w:w="0" w:type="auto"/>
            <w:vAlign w:val="center"/>
          </w:tcPr>
          <w:p w:rsidR="00AC07C7" w:rsidRDefault="004A1D4E">
            <w:pPr>
              <w:jc w:val="right"/>
            </w:pPr>
            <w:r>
              <w:rPr>
                <w:color w:val="000000"/>
                <w:sz w:val="24"/>
              </w:rPr>
              <w:t>2,400,000</w:t>
            </w:r>
          </w:p>
        </w:tc>
        <w:tc>
          <w:tcPr>
            <w:tcW w:w="0" w:type="auto"/>
            <w:vAlign w:val="center"/>
          </w:tcPr>
          <w:p w:rsidR="00AC07C7" w:rsidRDefault="004A1D4E">
            <w:pPr>
              <w:jc w:val="right"/>
            </w:pPr>
            <w:r>
              <w:rPr>
                <w:color w:val="000000"/>
                <w:sz w:val="24"/>
              </w:rPr>
              <w:t>183,024,000.00</w:t>
            </w:r>
          </w:p>
        </w:tc>
        <w:tc>
          <w:tcPr>
            <w:tcW w:w="0" w:type="auto"/>
            <w:vAlign w:val="center"/>
          </w:tcPr>
          <w:p w:rsidR="00AC07C7" w:rsidRDefault="004A1D4E">
            <w:pPr>
              <w:jc w:val="right"/>
            </w:pPr>
            <w:r>
              <w:rPr>
                <w:color w:val="000000"/>
                <w:sz w:val="24"/>
              </w:rPr>
              <w:t>5.30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5102E0">
      <w:pPr>
        <w:autoSpaceDE w:val="0"/>
        <w:autoSpaceDN w:val="0"/>
        <w:adjustRightInd w:val="0"/>
        <w:spacing w:before="29" w:line="288" w:lineRule="auto"/>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报告期内本基金投资的前十名证券的发行主体除</w:t>
      </w:r>
      <w:r w:rsidRPr="00384E65">
        <w:rPr>
          <w:kern w:val="0"/>
          <w:sz w:val="24"/>
        </w:rPr>
        <w:t>17</w:t>
      </w:r>
      <w:r w:rsidRPr="00384E65">
        <w:rPr>
          <w:kern w:val="0"/>
          <w:sz w:val="24"/>
        </w:rPr>
        <w:t>浦发银行</w:t>
      </w:r>
      <w:r w:rsidRPr="00384E65">
        <w:rPr>
          <w:kern w:val="0"/>
          <w:sz w:val="24"/>
        </w:rPr>
        <w:t>03</w:t>
      </w:r>
      <w:r w:rsidRPr="00384E65">
        <w:rPr>
          <w:kern w:val="0"/>
          <w:sz w:val="24"/>
        </w:rPr>
        <w:t>（证券代码：</w:t>
      </w:r>
      <w:r w:rsidRPr="00384E65">
        <w:rPr>
          <w:kern w:val="0"/>
          <w:sz w:val="24"/>
        </w:rPr>
        <w:t>1728012</w:t>
      </w:r>
      <w:r w:rsidRPr="00384E65">
        <w:rPr>
          <w:kern w:val="0"/>
          <w:sz w:val="24"/>
        </w:rPr>
        <w:t>）外，未出现被监管部门立案调查，或在报告编制日前一年内受到公开谴责、处罚的情形。</w:t>
      </w:r>
    </w:p>
    <w:p w:rsidR="00AC07C7" w:rsidRDefault="004A1D4E">
      <w:pPr>
        <w:autoSpaceDE w:val="0"/>
        <w:autoSpaceDN w:val="0"/>
        <w:adjustRightInd w:val="0"/>
        <w:spacing w:before="29" w:line="288" w:lineRule="auto"/>
        <w:rPr>
          <w:kern w:val="0"/>
          <w:sz w:val="24"/>
        </w:rPr>
      </w:pPr>
      <w:r>
        <w:rPr>
          <w:kern w:val="0"/>
          <w:sz w:val="24"/>
        </w:rPr>
        <w:t>报告期内本基金投资的前十名证券之一</w:t>
      </w:r>
      <w:r>
        <w:rPr>
          <w:kern w:val="0"/>
          <w:sz w:val="24"/>
        </w:rPr>
        <w:t>17</w:t>
      </w:r>
      <w:r>
        <w:rPr>
          <w:kern w:val="0"/>
          <w:sz w:val="24"/>
        </w:rPr>
        <w:t>浦发银行</w:t>
      </w:r>
      <w:r>
        <w:rPr>
          <w:kern w:val="0"/>
          <w:sz w:val="24"/>
        </w:rPr>
        <w:t>03</w:t>
      </w:r>
      <w:r>
        <w:rPr>
          <w:kern w:val="0"/>
          <w:sz w:val="24"/>
        </w:rPr>
        <w:t>（证券代码：</w:t>
      </w:r>
      <w:r>
        <w:rPr>
          <w:kern w:val="0"/>
          <w:sz w:val="24"/>
        </w:rPr>
        <w:t>1728012</w:t>
      </w:r>
      <w:r>
        <w:rPr>
          <w:kern w:val="0"/>
          <w:sz w:val="24"/>
        </w:rPr>
        <w:t>）的发行主体浦发银行于</w:t>
      </w:r>
      <w:r>
        <w:rPr>
          <w:kern w:val="0"/>
          <w:sz w:val="24"/>
        </w:rPr>
        <w:t>2018</w:t>
      </w:r>
      <w:r>
        <w:rPr>
          <w:kern w:val="0"/>
          <w:sz w:val="24"/>
        </w:rPr>
        <w:t>年</w:t>
      </w:r>
      <w:r>
        <w:rPr>
          <w:kern w:val="0"/>
          <w:sz w:val="24"/>
        </w:rPr>
        <w:t>1</w:t>
      </w:r>
      <w:r>
        <w:rPr>
          <w:kern w:val="0"/>
          <w:sz w:val="24"/>
        </w:rPr>
        <w:t>月</w:t>
      </w:r>
      <w:r>
        <w:rPr>
          <w:kern w:val="0"/>
          <w:sz w:val="24"/>
        </w:rPr>
        <w:t>20</w:t>
      </w:r>
      <w:r>
        <w:rPr>
          <w:kern w:val="0"/>
          <w:sz w:val="24"/>
        </w:rPr>
        <w:t>日公告，公司收到中国银行业监督管理委员会四川监管局（以下简称</w:t>
      </w:r>
      <w:r>
        <w:rPr>
          <w:kern w:val="0"/>
          <w:sz w:val="24"/>
        </w:rPr>
        <w:t>“</w:t>
      </w:r>
      <w:r>
        <w:rPr>
          <w:kern w:val="0"/>
          <w:sz w:val="24"/>
        </w:rPr>
        <w:t>银监会四川监管局</w:t>
      </w:r>
      <w:r>
        <w:rPr>
          <w:kern w:val="0"/>
          <w:sz w:val="24"/>
        </w:rPr>
        <w:t>”</w:t>
      </w:r>
      <w:r>
        <w:rPr>
          <w:kern w:val="0"/>
          <w:sz w:val="24"/>
        </w:rPr>
        <w:t>）行政处罚决定书（川银监罚字【</w:t>
      </w:r>
      <w:r>
        <w:rPr>
          <w:kern w:val="0"/>
          <w:sz w:val="24"/>
        </w:rPr>
        <w:t>2018</w:t>
      </w:r>
      <w:r>
        <w:rPr>
          <w:kern w:val="0"/>
          <w:sz w:val="24"/>
        </w:rPr>
        <w:t>】</w:t>
      </w:r>
      <w:r>
        <w:rPr>
          <w:kern w:val="0"/>
          <w:sz w:val="24"/>
        </w:rPr>
        <w:t>2</w:t>
      </w:r>
      <w:r>
        <w:rPr>
          <w:kern w:val="0"/>
          <w:sz w:val="24"/>
        </w:rPr>
        <w:t>号）</w:t>
      </w:r>
      <w:r>
        <w:rPr>
          <w:kern w:val="0"/>
          <w:sz w:val="24"/>
        </w:rPr>
        <w:t>,</w:t>
      </w:r>
      <w:r>
        <w:rPr>
          <w:kern w:val="0"/>
          <w:sz w:val="24"/>
        </w:rPr>
        <w:t>对成都分行内控管理严重失效</w:t>
      </w:r>
      <w:r>
        <w:rPr>
          <w:kern w:val="0"/>
          <w:sz w:val="24"/>
        </w:rPr>
        <w:t>,</w:t>
      </w:r>
      <w:r>
        <w:rPr>
          <w:kern w:val="0"/>
          <w:sz w:val="24"/>
        </w:rPr>
        <w:t>授信管理违规，违规办理信贷业务等严重违反审慎经营规则的违规行为依法查处，执行罚款</w:t>
      </w:r>
      <w:r>
        <w:rPr>
          <w:kern w:val="0"/>
          <w:sz w:val="24"/>
        </w:rPr>
        <w:t>46,175</w:t>
      </w:r>
      <w:r>
        <w:rPr>
          <w:kern w:val="0"/>
          <w:sz w:val="24"/>
        </w:rPr>
        <w:t>万元人民币。</w:t>
      </w:r>
    </w:p>
    <w:p w:rsidR="00AC07C7" w:rsidRDefault="004A1D4E">
      <w:pPr>
        <w:autoSpaceDE w:val="0"/>
        <w:autoSpaceDN w:val="0"/>
        <w:adjustRightInd w:val="0"/>
        <w:spacing w:before="29" w:line="288" w:lineRule="auto"/>
        <w:rPr>
          <w:kern w:val="0"/>
          <w:sz w:val="24"/>
        </w:rPr>
      </w:pPr>
      <w:r>
        <w:rPr>
          <w:kern w:val="0"/>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45,515,063.64</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349.53</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45,515,413.17</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5102E0" w:rsidRDefault="00C51B4E" w:rsidP="000A2988">
      <w:pPr>
        <w:pStyle w:val="1"/>
        <w:spacing w:beforeLines="100" w:before="312" w:afterLines="100" w:after="312" w:line="360" w:lineRule="auto"/>
        <w:jc w:val="center"/>
        <w:rPr>
          <w:rFonts w:eastAsiaTheme="minorEastAsia"/>
          <w:color w:val="000000" w:themeColor="text1"/>
          <w:kern w:val="0"/>
          <w:sz w:val="24"/>
          <w:szCs w:val="24"/>
        </w:rPr>
      </w:pPr>
      <w:r w:rsidRPr="005102E0">
        <w:rPr>
          <w:rFonts w:eastAsiaTheme="minorEastAsia"/>
          <w:color w:val="000000" w:themeColor="text1"/>
          <w:kern w:val="0"/>
          <w:sz w:val="24"/>
          <w:szCs w:val="24"/>
        </w:rPr>
        <w:t>§6</w:t>
      </w:r>
      <w:r w:rsidRPr="005102E0">
        <w:rPr>
          <w:rFonts w:eastAsiaTheme="minorEastAsia" w:hint="eastAsia"/>
          <w:color w:val="000000" w:themeColor="text1"/>
          <w:kern w:val="0"/>
          <w:sz w:val="24"/>
          <w:szCs w:val="24"/>
        </w:rPr>
        <w:t xml:space="preserve">  </w:t>
      </w:r>
      <w:r w:rsidRPr="005102E0">
        <w:rPr>
          <w:rFonts w:eastAsiaTheme="minorEastAsia" w:hint="eastAsia"/>
          <w:color w:val="000000" w:themeColor="text1"/>
          <w:kern w:val="0"/>
          <w:sz w:val="24"/>
          <w:szCs w:val="24"/>
        </w:rPr>
        <w:t>基金中基金</w:t>
      </w:r>
    </w:p>
    <w:p w:rsidR="00C51B4E" w:rsidRPr="005102E0" w:rsidRDefault="00C51B4E" w:rsidP="00C51B4E">
      <w:pPr>
        <w:adjustRightInd w:val="0"/>
        <w:snapToGrid w:val="0"/>
        <w:spacing w:line="360" w:lineRule="auto"/>
        <w:rPr>
          <w:rFonts w:eastAsiaTheme="minorEastAsia"/>
          <w:b/>
          <w:color w:val="000000" w:themeColor="text1"/>
          <w:kern w:val="0"/>
          <w:sz w:val="24"/>
        </w:rPr>
      </w:pPr>
      <w:r w:rsidRPr="005102E0">
        <w:rPr>
          <w:rFonts w:eastAsiaTheme="minorEastAsia"/>
          <w:b/>
          <w:color w:val="000000" w:themeColor="text1"/>
          <w:kern w:val="0"/>
          <w:sz w:val="24"/>
        </w:rPr>
        <w:t>6.1</w:t>
      </w:r>
      <w:r w:rsidRPr="005102E0">
        <w:rPr>
          <w:rFonts w:eastAsiaTheme="minorEastAsia" w:hint="eastAsia"/>
          <w:b/>
          <w:color w:val="000000" w:themeColor="text1"/>
          <w:kern w:val="0"/>
          <w:sz w:val="24"/>
        </w:rPr>
        <w:t xml:space="preserve"> </w:t>
      </w:r>
      <w:r w:rsidRPr="005102E0">
        <w:rPr>
          <w:rFonts w:eastAsiaTheme="minorEastAsia" w:hint="eastAsia"/>
          <w:b/>
          <w:color w:val="000000" w:themeColor="text1"/>
          <w:kern w:val="0"/>
          <w:sz w:val="24"/>
        </w:rPr>
        <w:t>报告期末按公允价值占基金资产净值比例大小排序的前十名基金投资明细</w:t>
      </w:r>
    </w:p>
    <w:p w:rsidR="00C51B4E" w:rsidRPr="005102E0" w:rsidRDefault="00C51B4E" w:rsidP="005102E0">
      <w:pPr>
        <w:autoSpaceDE w:val="0"/>
        <w:autoSpaceDN w:val="0"/>
        <w:adjustRightInd w:val="0"/>
        <w:spacing w:line="360" w:lineRule="auto"/>
        <w:ind w:firstLineChars="200" w:firstLine="480"/>
        <w:jc w:val="left"/>
        <w:rPr>
          <w:rFonts w:eastAsiaTheme="minorEastAsia"/>
          <w:color w:val="000000" w:themeColor="text1"/>
          <w:sz w:val="24"/>
        </w:rPr>
      </w:pPr>
      <w:r w:rsidRPr="005102E0">
        <w:rPr>
          <w:rFonts w:eastAsiaTheme="minorEastAsia"/>
          <w:color w:val="000000" w:themeColor="text1"/>
          <w:sz w:val="24"/>
        </w:rPr>
        <w:t>本基金本报告期末未持有基金。</w:t>
      </w:r>
    </w:p>
    <w:p w:rsidR="00C51B4E" w:rsidRPr="005102E0" w:rsidRDefault="00C51B4E" w:rsidP="000A2988">
      <w:pPr>
        <w:adjustRightInd w:val="0"/>
        <w:snapToGrid w:val="0"/>
        <w:spacing w:beforeLines="50" w:before="156" w:line="360" w:lineRule="auto"/>
        <w:rPr>
          <w:rFonts w:eastAsiaTheme="minorEastAsia"/>
          <w:b/>
          <w:color w:val="000000" w:themeColor="text1"/>
          <w:kern w:val="0"/>
          <w:sz w:val="24"/>
        </w:rPr>
      </w:pPr>
      <w:r w:rsidRPr="005102E0">
        <w:rPr>
          <w:rFonts w:eastAsiaTheme="minorEastAsia"/>
          <w:b/>
          <w:color w:val="000000" w:themeColor="text1"/>
          <w:kern w:val="0"/>
          <w:sz w:val="24"/>
        </w:rPr>
        <w:t>6.2</w:t>
      </w:r>
      <w:r w:rsidRPr="005102E0">
        <w:rPr>
          <w:rFonts w:eastAsiaTheme="minorEastAsia" w:hint="eastAsia"/>
          <w:b/>
          <w:color w:val="000000" w:themeColor="text1"/>
          <w:kern w:val="0"/>
          <w:sz w:val="24"/>
        </w:rPr>
        <w:t xml:space="preserve"> </w:t>
      </w:r>
      <w:r w:rsidRPr="005102E0">
        <w:rPr>
          <w:rFonts w:eastAsiaTheme="minorEastAsia" w:hint="eastAsia"/>
          <w:b/>
          <w:color w:val="000000" w:themeColor="text1"/>
          <w:kern w:val="0"/>
          <w:sz w:val="24"/>
        </w:rPr>
        <w:t>当期交易及持有基金产生的费用</w:t>
      </w:r>
    </w:p>
    <w:p w:rsidR="00C51B4E" w:rsidRPr="005102E0" w:rsidRDefault="00C51B4E" w:rsidP="005102E0">
      <w:pPr>
        <w:autoSpaceDE w:val="0"/>
        <w:autoSpaceDN w:val="0"/>
        <w:adjustRightInd w:val="0"/>
        <w:spacing w:line="360" w:lineRule="auto"/>
        <w:ind w:firstLineChars="200" w:firstLine="480"/>
        <w:jc w:val="left"/>
        <w:rPr>
          <w:rFonts w:eastAsiaTheme="minorEastAsia"/>
          <w:color w:val="000000" w:themeColor="text1"/>
          <w:sz w:val="24"/>
        </w:rPr>
      </w:pPr>
      <w:r w:rsidRPr="005102E0">
        <w:rPr>
          <w:rFonts w:eastAsiaTheme="minorEastAsia"/>
          <w:color w:val="000000" w:themeColor="text1"/>
          <w:sz w:val="24"/>
        </w:rPr>
        <w:t>本基金本报告期内未交易或持有基金。</w:t>
      </w:r>
    </w:p>
    <w:p w:rsidR="00C51B4E" w:rsidRPr="005102E0" w:rsidRDefault="00C51B4E" w:rsidP="000A2988">
      <w:pPr>
        <w:adjustRightInd w:val="0"/>
        <w:snapToGrid w:val="0"/>
        <w:spacing w:beforeLines="50" w:before="156" w:line="360" w:lineRule="auto"/>
        <w:rPr>
          <w:rFonts w:eastAsiaTheme="minorEastAsia"/>
          <w:b/>
          <w:color w:val="000000" w:themeColor="text1"/>
          <w:kern w:val="0"/>
          <w:sz w:val="24"/>
        </w:rPr>
      </w:pPr>
      <w:r w:rsidRPr="005102E0">
        <w:rPr>
          <w:rFonts w:eastAsiaTheme="minorEastAsia"/>
          <w:b/>
          <w:color w:val="000000" w:themeColor="text1"/>
          <w:kern w:val="0"/>
          <w:sz w:val="24"/>
        </w:rPr>
        <w:t>6.3</w:t>
      </w:r>
      <w:r w:rsidRPr="005102E0">
        <w:rPr>
          <w:rFonts w:eastAsiaTheme="minorEastAsia" w:hint="eastAsia"/>
          <w:b/>
          <w:color w:val="000000" w:themeColor="text1"/>
          <w:kern w:val="0"/>
          <w:sz w:val="24"/>
        </w:rPr>
        <w:t xml:space="preserve"> </w:t>
      </w:r>
      <w:r w:rsidRPr="005102E0">
        <w:rPr>
          <w:rFonts w:eastAsiaTheme="minorEastAsia" w:hint="eastAsia"/>
          <w:b/>
          <w:color w:val="000000" w:themeColor="text1"/>
          <w:kern w:val="0"/>
          <w:sz w:val="24"/>
        </w:rPr>
        <w:t>本报告期持有的基金发生的重大影响事件</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C51B4E" w:rsidRPr="005102E0" w:rsidTr="00F103C8">
        <w:tc>
          <w:tcPr>
            <w:tcW w:w="9036" w:type="dxa"/>
          </w:tcPr>
          <w:p w:rsidR="00C51B4E" w:rsidRPr="005102E0" w:rsidRDefault="00C51B4E" w:rsidP="005102E0">
            <w:pPr>
              <w:autoSpaceDE w:val="0"/>
              <w:autoSpaceDN w:val="0"/>
              <w:adjustRightInd w:val="0"/>
              <w:spacing w:line="360" w:lineRule="auto"/>
              <w:ind w:firstLineChars="200" w:firstLine="480"/>
              <w:jc w:val="left"/>
              <w:rPr>
                <w:rFonts w:eastAsiaTheme="minorEastAsia"/>
                <w:color w:val="000000" w:themeColor="text1"/>
                <w:sz w:val="24"/>
              </w:rPr>
            </w:pPr>
            <w:r w:rsidRPr="005102E0">
              <w:rPr>
                <w:rFonts w:eastAsiaTheme="minorEastAsia" w:hint="eastAsia"/>
                <w:color w:val="000000" w:themeColor="text1"/>
                <w:sz w:val="24"/>
              </w:rPr>
              <w:t>无。</w:t>
            </w:r>
          </w:p>
        </w:tc>
      </w:tr>
      <w:tr w:rsidR="005102E0" w:rsidRPr="005102E0" w:rsidTr="00F103C8">
        <w:tc>
          <w:tcPr>
            <w:tcW w:w="9036" w:type="dxa"/>
          </w:tcPr>
          <w:p w:rsidR="005102E0" w:rsidRPr="005102E0" w:rsidRDefault="005102E0" w:rsidP="005102E0">
            <w:pPr>
              <w:autoSpaceDE w:val="0"/>
              <w:autoSpaceDN w:val="0"/>
              <w:adjustRightInd w:val="0"/>
              <w:spacing w:line="360" w:lineRule="auto"/>
              <w:ind w:firstLineChars="200" w:firstLine="480"/>
              <w:jc w:val="left"/>
              <w:rPr>
                <w:rFonts w:eastAsiaTheme="minorEastAsia"/>
                <w:color w:val="000000" w:themeColor="text1"/>
                <w:sz w:val="24"/>
              </w:rPr>
            </w:pPr>
          </w:p>
        </w:tc>
      </w:tr>
    </w:tbl>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lastRenderedPageBreak/>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交银裕利纯债债券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交银裕利纯债债券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3,382,737,654.28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126,124.52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12,575.29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119.29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19.88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3,382,750,110.28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126,104.64</w:t>
            </w:r>
          </w:p>
        </w:tc>
      </w:tr>
    </w:tbl>
    <w:p w:rsidR="00AC07C7" w:rsidRDefault="004A1D4E">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w:t>
      </w:r>
      <w:r w:rsidR="00CE54AE">
        <w:rPr>
          <w:rFonts w:eastAsiaTheme="minorEastAsia" w:hint="eastAsia"/>
          <w:color w:val="000000"/>
          <w:sz w:val="24"/>
        </w:rPr>
        <w:t xml:space="preserve">   </w:t>
      </w:r>
      <w:r w:rsidRPr="007F52FA">
        <w:rPr>
          <w:rFonts w:eastAsiaTheme="minorEastAsia"/>
          <w:color w:val="000000"/>
          <w:sz w:val="24"/>
        </w:rPr>
        <w:t>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Pr="002C306A" w:rsidRDefault="00ED0E09" w:rsidP="000A2988">
      <w:pPr>
        <w:pStyle w:val="1"/>
        <w:spacing w:beforeLines="100" w:before="312" w:afterLines="100" w:after="312" w:line="360" w:lineRule="auto"/>
        <w:jc w:val="center"/>
        <w:rPr>
          <w:rFonts w:eastAsiaTheme="minorEastAsia"/>
          <w:color w:val="000000" w:themeColor="text1"/>
          <w:kern w:val="0"/>
          <w:sz w:val="24"/>
          <w:szCs w:val="24"/>
        </w:rPr>
      </w:pPr>
      <w:r w:rsidRPr="002C306A">
        <w:rPr>
          <w:rFonts w:eastAsiaTheme="minorEastAsia"/>
          <w:color w:val="000000" w:themeColor="text1"/>
          <w:kern w:val="0"/>
          <w:sz w:val="24"/>
          <w:szCs w:val="24"/>
        </w:rPr>
        <w:t xml:space="preserve">§9 </w:t>
      </w:r>
      <w:r w:rsidR="00F139D5" w:rsidRPr="002C306A">
        <w:rPr>
          <w:rFonts w:eastAsiaTheme="minorEastAsia"/>
          <w:color w:val="000000" w:themeColor="text1"/>
          <w:kern w:val="0"/>
          <w:sz w:val="24"/>
          <w:szCs w:val="24"/>
        </w:rPr>
        <w:t xml:space="preserve"> </w:t>
      </w:r>
      <w:r w:rsidRPr="002C306A">
        <w:rPr>
          <w:rFonts w:eastAsiaTheme="minorEastAsia"/>
          <w:color w:val="000000" w:themeColor="text1"/>
          <w:kern w:val="0"/>
          <w:sz w:val="24"/>
          <w:szCs w:val="24"/>
        </w:rPr>
        <w:t>影响投资者决策的其他重要信息</w:t>
      </w:r>
    </w:p>
    <w:p w:rsidR="00ED0E09" w:rsidRPr="002C306A" w:rsidRDefault="00ED0E09" w:rsidP="00ED0E09">
      <w:pPr>
        <w:autoSpaceDE w:val="0"/>
        <w:autoSpaceDN w:val="0"/>
        <w:adjustRightInd w:val="0"/>
        <w:spacing w:line="360" w:lineRule="auto"/>
        <w:jc w:val="left"/>
        <w:rPr>
          <w:b/>
          <w:bCs/>
          <w:color w:val="000000"/>
          <w:kern w:val="0"/>
          <w:sz w:val="24"/>
        </w:rPr>
      </w:pPr>
      <w:r w:rsidRPr="002C306A">
        <w:rPr>
          <w:b/>
          <w:bCs/>
          <w:color w:val="000000"/>
          <w:kern w:val="0"/>
          <w:sz w:val="24"/>
        </w:rPr>
        <w:t xml:space="preserve">9.1 </w:t>
      </w:r>
      <w:r w:rsidRPr="002C306A">
        <w:rPr>
          <w:b/>
          <w:bCs/>
          <w:color w:val="000000"/>
          <w:kern w:val="0"/>
          <w:sz w:val="24"/>
        </w:rPr>
        <w:t>报告期内单一投资者持有基金份额比例达到或超过</w:t>
      </w:r>
      <w:r w:rsidRPr="002C306A">
        <w:rPr>
          <w:b/>
          <w:bCs/>
          <w:color w:val="000000"/>
          <w:kern w:val="0"/>
          <w:sz w:val="24"/>
        </w:rPr>
        <w:t>20%</w:t>
      </w:r>
      <w:r w:rsidRPr="002C306A">
        <w:rPr>
          <w:b/>
          <w:bCs/>
          <w:color w:val="000000"/>
          <w:kern w:val="0"/>
          <w:sz w:val="24"/>
        </w:rPr>
        <w:t>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AC07C7">
        <w:tc>
          <w:tcPr>
            <w:tcW w:w="992" w:type="dxa"/>
            <w:vMerge w:val="restart"/>
          </w:tcPr>
          <w:p w:rsidR="00AC07C7" w:rsidRDefault="00AC07C7"/>
          <w:p w:rsidR="00AC07C7" w:rsidRDefault="004A1D4E">
            <w:r>
              <w:rPr>
                <w:rFonts w:ascii="宋体" w:hAnsi="宋体" w:hint="eastAsia"/>
                <w:bCs/>
                <w:color w:val="000000"/>
                <w:kern w:val="0"/>
                <w:szCs w:val="21"/>
              </w:rPr>
              <w:t>机构</w:t>
            </w:r>
          </w:p>
        </w:tc>
        <w:tc>
          <w:tcPr>
            <w:tcW w:w="991" w:type="dxa"/>
            <w:vAlign w:val="center"/>
          </w:tcPr>
          <w:p w:rsidR="00AC07C7" w:rsidRDefault="004A1D4E">
            <w:pPr>
              <w:jc w:val="center"/>
            </w:pPr>
            <w:r>
              <w:rPr>
                <w:rFonts w:ascii="宋体" w:hAnsi="宋体" w:hint="eastAsia"/>
                <w:color w:val="000000"/>
                <w:kern w:val="0"/>
                <w:szCs w:val="21"/>
              </w:rPr>
              <w:t>1</w:t>
            </w:r>
          </w:p>
        </w:tc>
        <w:tc>
          <w:tcPr>
            <w:tcW w:w="1843" w:type="dxa"/>
            <w:vAlign w:val="center"/>
          </w:tcPr>
          <w:p w:rsidR="00AC07C7" w:rsidRDefault="004A1D4E">
            <w:pPr>
              <w:jc w:val="center"/>
            </w:pPr>
            <w:r>
              <w:rPr>
                <w:rFonts w:ascii="宋体" w:hAnsi="宋体" w:hint="eastAsia"/>
                <w:color w:val="000000"/>
                <w:kern w:val="0"/>
                <w:szCs w:val="21"/>
              </w:rPr>
              <w:t>2018/10/1-2018/12/31</w:t>
            </w:r>
          </w:p>
        </w:tc>
        <w:tc>
          <w:tcPr>
            <w:tcW w:w="851" w:type="dxa"/>
            <w:vAlign w:val="center"/>
          </w:tcPr>
          <w:p w:rsidR="00AC07C7" w:rsidRDefault="004A1D4E">
            <w:pPr>
              <w:jc w:val="center"/>
            </w:pPr>
            <w:r>
              <w:rPr>
                <w:rFonts w:ascii="宋体" w:hAnsi="宋体" w:hint="eastAsia"/>
                <w:color w:val="000000"/>
                <w:kern w:val="0"/>
                <w:szCs w:val="21"/>
              </w:rPr>
              <w:t>3,382,690,550.12</w:t>
            </w:r>
          </w:p>
        </w:tc>
        <w:tc>
          <w:tcPr>
            <w:tcW w:w="850" w:type="dxa"/>
            <w:vAlign w:val="center"/>
          </w:tcPr>
          <w:p w:rsidR="00AC07C7" w:rsidRDefault="004A1D4E">
            <w:pPr>
              <w:jc w:val="center"/>
            </w:pPr>
            <w:r>
              <w:rPr>
                <w:rFonts w:ascii="宋体" w:hAnsi="宋体" w:hint="eastAsia"/>
                <w:color w:val="000000"/>
                <w:kern w:val="0"/>
                <w:szCs w:val="21"/>
              </w:rPr>
              <w:t>-</w:t>
            </w:r>
          </w:p>
        </w:tc>
        <w:tc>
          <w:tcPr>
            <w:tcW w:w="1134" w:type="dxa"/>
            <w:vAlign w:val="center"/>
          </w:tcPr>
          <w:p w:rsidR="00AC07C7" w:rsidRDefault="004A1D4E">
            <w:pPr>
              <w:jc w:val="center"/>
            </w:pPr>
            <w:r>
              <w:rPr>
                <w:rFonts w:ascii="宋体" w:hAnsi="宋体" w:hint="eastAsia"/>
                <w:color w:val="000000"/>
                <w:kern w:val="0"/>
                <w:szCs w:val="21"/>
              </w:rPr>
              <w:t>-</w:t>
            </w:r>
          </w:p>
        </w:tc>
        <w:tc>
          <w:tcPr>
            <w:tcW w:w="1419" w:type="dxa"/>
            <w:vAlign w:val="center"/>
          </w:tcPr>
          <w:p w:rsidR="00AC07C7" w:rsidRDefault="004A1D4E">
            <w:pPr>
              <w:jc w:val="center"/>
            </w:pPr>
            <w:r>
              <w:rPr>
                <w:rFonts w:ascii="宋体" w:hAnsi="宋体" w:hint="eastAsia"/>
                <w:color w:val="000000"/>
                <w:kern w:val="0"/>
                <w:szCs w:val="21"/>
              </w:rPr>
              <w:t>3,382,690,550.12</w:t>
            </w:r>
          </w:p>
        </w:tc>
        <w:tc>
          <w:tcPr>
            <w:tcW w:w="1130" w:type="dxa"/>
            <w:vAlign w:val="center"/>
          </w:tcPr>
          <w:p w:rsidR="00AC07C7" w:rsidRDefault="004A1D4E">
            <w:pPr>
              <w:jc w:val="center"/>
            </w:pPr>
            <w:r>
              <w:rPr>
                <w:rFonts w:ascii="宋体" w:hAnsi="宋体" w:hint="eastAsia"/>
                <w:color w:val="000000"/>
                <w:kern w:val="0"/>
                <w:szCs w:val="21"/>
              </w:rPr>
              <w:t>99.99%</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lastRenderedPageBreak/>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AC07C7" w:rsidRDefault="004A1D4E">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、中国证监会准予交银施罗德裕利纯债债券型证券投资基金募集注册的文件；</w:t>
      </w:r>
      <w:r>
        <w:rPr>
          <w:rFonts w:eastAsiaTheme="minorEastAsia"/>
          <w:color w:val="000000"/>
          <w:sz w:val="24"/>
        </w:rPr>
        <w:t xml:space="preserve"> </w:t>
      </w:r>
    </w:p>
    <w:p w:rsidR="00AC07C7" w:rsidRDefault="004A1D4E">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、《交银施罗德裕利纯债债券型证券投资基金基金合同》；</w:t>
      </w:r>
      <w:r>
        <w:rPr>
          <w:rFonts w:eastAsiaTheme="minorEastAsia"/>
          <w:color w:val="000000"/>
          <w:sz w:val="24"/>
        </w:rPr>
        <w:t xml:space="preserve"> </w:t>
      </w:r>
    </w:p>
    <w:p w:rsidR="00AC07C7" w:rsidRDefault="004A1D4E">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、《交银施罗德裕利纯债债券型证券投资基金招募说明书》；</w:t>
      </w:r>
      <w:r>
        <w:rPr>
          <w:rFonts w:eastAsiaTheme="minorEastAsia"/>
          <w:color w:val="000000"/>
          <w:sz w:val="24"/>
        </w:rPr>
        <w:t xml:space="preserve"> </w:t>
      </w:r>
    </w:p>
    <w:p w:rsidR="00AC07C7" w:rsidRDefault="004A1D4E">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、《交银施罗德裕利纯债债券型证券投资基金托管协议》；</w:t>
      </w:r>
      <w:r>
        <w:rPr>
          <w:rFonts w:eastAsiaTheme="minorEastAsia"/>
          <w:color w:val="000000"/>
          <w:sz w:val="24"/>
        </w:rPr>
        <w:t xml:space="preserve"> </w:t>
      </w:r>
    </w:p>
    <w:p w:rsidR="00AC07C7" w:rsidRDefault="004A1D4E">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、关于申请募集注册交银施罗德裕利纯债债券型证券投资基金的法律意见书；</w:t>
      </w:r>
      <w:r>
        <w:rPr>
          <w:rFonts w:eastAsiaTheme="minorEastAsia"/>
          <w:color w:val="000000"/>
          <w:sz w:val="24"/>
        </w:rPr>
        <w:t xml:space="preserve"> </w:t>
      </w:r>
    </w:p>
    <w:p w:rsidR="00AC07C7" w:rsidRDefault="004A1D4E">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AC07C7" w:rsidRDefault="004A1D4E">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、报告期内交银施罗德裕利纯债债券型证券投资基金在指定报刊上各项公告的原稿。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AC07C7" w:rsidRDefault="004A1D4E">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A87" w:rsidRDefault="003C1A87">
      <w:r>
        <w:separator/>
      </w:r>
    </w:p>
  </w:endnote>
  <w:endnote w:type="continuationSeparator" w:id="0">
    <w:p w:rsidR="003C1A87" w:rsidRDefault="003C1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471DAA">
      <w:rPr>
        <w:noProof/>
        <w:kern w:val="0"/>
        <w:szCs w:val="21"/>
      </w:rPr>
      <w:t>7</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471DAA">
      <w:rPr>
        <w:noProof/>
        <w:kern w:val="0"/>
        <w:szCs w:val="21"/>
      </w:rPr>
      <w:t>14</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A87" w:rsidRDefault="003C1A87">
      <w:r>
        <w:separator/>
      </w:r>
    </w:p>
  </w:footnote>
  <w:footnote w:type="continuationSeparator" w:id="0">
    <w:p w:rsidR="003C1A87" w:rsidRDefault="003C1A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交银施罗德裕利纯债债券型证券投资基金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4</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7F1"/>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06A"/>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3DEF"/>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1A87"/>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1DAA"/>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1D4E"/>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2E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07C7"/>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AE"/>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0C0"/>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C9C"/>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F4254515-5C47-46F1-9C44-BC5F4EB12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EA8E4-077C-4F6F-B193-BC5A52D75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213</TotalTime>
  <Pages>14</Pages>
  <Words>1229</Words>
  <Characters>7009</Characters>
  <Application>Microsoft Office Word</Application>
  <DocSecurity>0</DocSecurity>
  <Lines>58</Lines>
  <Paragraphs>16</Paragraphs>
  <ScaleCrop>false</ScaleCrop>
  <Company>TRT. Ltd. Co.</Company>
  <LinksUpToDate>false</LinksUpToDate>
  <CharactersWithSpaces>8222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383</cp:revision>
  <cp:lastPrinted>2007-07-19T00:46:00Z</cp:lastPrinted>
  <dcterms:created xsi:type="dcterms:W3CDTF">2014-01-17T06:19:00Z</dcterms:created>
  <dcterms:modified xsi:type="dcterms:W3CDTF">2019-01-16T09:16:00Z</dcterms:modified>
</cp:coreProperties>
</file>