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1,321,247,206.94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1,132,246,754.01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189,000,452.93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11,723,050.13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1,668,075.95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27,042,876.14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2,169,687.89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1,221,383,265.52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203,432,629.57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1.076</w:t>
            </w:r>
          </w:p>
        </w:tc>
      </w:tr>
    </w:tbl>
    <w:p w:rsidR="00EA4064" w:rsidRDefault="002A4E4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A4064">
        <w:trPr>
          <w:jc w:val="center"/>
        </w:trPr>
        <w:tc>
          <w:tcPr>
            <w:tcW w:w="1266" w:type="dxa"/>
            <w:vAlign w:val="center"/>
          </w:tcPr>
          <w:p w:rsidR="00EA4064" w:rsidRDefault="002A4E4A">
            <w:pPr>
              <w:jc w:val="left"/>
            </w:pPr>
            <w:r>
              <w:rPr>
                <w:color w:val="000000"/>
                <w:sz w:val="24"/>
              </w:rPr>
              <w:t>过去三个月</w:t>
            </w:r>
          </w:p>
        </w:tc>
        <w:tc>
          <w:tcPr>
            <w:tcW w:w="1267" w:type="dxa"/>
            <w:vAlign w:val="center"/>
          </w:tcPr>
          <w:p w:rsidR="00EA4064" w:rsidRDefault="002A4E4A">
            <w:pPr>
              <w:jc w:val="center"/>
            </w:pPr>
            <w:r>
              <w:rPr>
                <w:color w:val="000000"/>
                <w:sz w:val="24"/>
              </w:rPr>
              <w:t>2.46%</w:t>
            </w:r>
          </w:p>
        </w:tc>
        <w:tc>
          <w:tcPr>
            <w:tcW w:w="1267" w:type="dxa"/>
            <w:vAlign w:val="center"/>
          </w:tcPr>
          <w:p w:rsidR="00EA4064" w:rsidRDefault="002A4E4A">
            <w:pPr>
              <w:jc w:val="center"/>
            </w:pPr>
            <w:r>
              <w:rPr>
                <w:color w:val="000000"/>
                <w:sz w:val="24"/>
              </w:rPr>
              <w:t>0.06%</w:t>
            </w:r>
          </w:p>
        </w:tc>
        <w:tc>
          <w:tcPr>
            <w:tcW w:w="1267" w:type="dxa"/>
            <w:vAlign w:val="center"/>
          </w:tcPr>
          <w:p w:rsidR="00EA4064" w:rsidRDefault="002A4E4A">
            <w:pPr>
              <w:jc w:val="center"/>
            </w:pPr>
            <w:r>
              <w:rPr>
                <w:color w:val="000000"/>
                <w:sz w:val="24"/>
              </w:rPr>
              <w:t>1.99%</w:t>
            </w:r>
          </w:p>
        </w:tc>
        <w:tc>
          <w:tcPr>
            <w:tcW w:w="1267" w:type="dxa"/>
            <w:vAlign w:val="center"/>
          </w:tcPr>
          <w:p w:rsidR="00EA4064" w:rsidRDefault="002A4E4A">
            <w:pPr>
              <w:jc w:val="center"/>
            </w:pPr>
            <w:r>
              <w:rPr>
                <w:color w:val="000000"/>
                <w:sz w:val="24"/>
              </w:rPr>
              <w:t>0.05%</w:t>
            </w:r>
          </w:p>
        </w:tc>
        <w:tc>
          <w:tcPr>
            <w:tcW w:w="1267" w:type="dxa"/>
            <w:vAlign w:val="center"/>
          </w:tcPr>
          <w:p w:rsidR="00EA4064" w:rsidRDefault="002A4E4A">
            <w:pPr>
              <w:jc w:val="center"/>
            </w:pPr>
            <w:r>
              <w:rPr>
                <w:color w:val="000000"/>
                <w:sz w:val="24"/>
              </w:rPr>
              <w:t>0.47%</w:t>
            </w:r>
          </w:p>
        </w:tc>
        <w:tc>
          <w:tcPr>
            <w:tcW w:w="1267" w:type="dxa"/>
            <w:vAlign w:val="center"/>
          </w:tcPr>
          <w:p w:rsidR="00EA4064" w:rsidRDefault="002A4E4A">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A4064">
        <w:trPr>
          <w:jc w:val="center"/>
        </w:trPr>
        <w:tc>
          <w:tcPr>
            <w:tcW w:w="1266" w:type="dxa"/>
            <w:vAlign w:val="center"/>
          </w:tcPr>
          <w:p w:rsidR="00EA4064" w:rsidRDefault="002A4E4A">
            <w:pPr>
              <w:jc w:val="left"/>
            </w:pPr>
            <w:r>
              <w:rPr>
                <w:color w:val="000000"/>
                <w:sz w:val="24"/>
              </w:rPr>
              <w:t>过去三个月</w:t>
            </w:r>
          </w:p>
        </w:tc>
        <w:tc>
          <w:tcPr>
            <w:tcW w:w="1267" w:type="dxa"/>
            <w:vAlign w:val="center"/>
          </w:tcPr>
          <w:p w:rsidR="00EA4064" w:rsidRDefault="002A4E4A">
            <w:pPr>
              <w:jc w:val="center"/>
            </w:pPr>
            <w:r>
              <w:rPr>
                <w:color w:val="000000"/>
                <w:sz w:val="24"/>
              </w:rPr>
              <w:t>2.27%</w:t>
            </w:r>
          </w:p>
        </w:tc>
        <w:tc>
          <w:tcPr>
            <w:tcW w:w="1267" w:type="dxa"/>
            <w:vAlign w:val="center"/>
          </w:tcPr>
          <w:p w:rsidR="00EA4064" w:rsidRDefault="002A4E4A">
            <w:pPr>
              <w:jc w:val="center"/>
            </w:pPr>
            <w:r>
              <w:rPr>
                <w:color w:val="000000"/>
                <w:sz w:val="24"/>
              </w:rPr>
              <w:t>0.06%</w:t>
            </w:r>
          </w:p>
        </w:tc>
        <w:tc>
          <w:tcPr>
            <w:tcW w:w="1267" w:type="dxa"/>
            <w:vAlign w:val="center"/>
          </w:tcPr>
          <w:p w:rsidR="00EA4064" w:rsidRDefault="002A4E4A">
            <w:pPr>
              <w:jc w:val="center"/>
            </w:pPr>
            <w:r>
              <w:rPr>
                <w:color w:val="000000"/>
                <w:sz w:val="24"/>
              </w:rPr>
              <w:t>1.99%</w:t>
            </w:r>
          </w:p>
        </w:tc>
        <w:tc>
          <w:tcPr>
            <w:tcW w:w="1267" w:type="dxa"/>
            <w:vAlign w:val="center"/>
          </w:tcPr>
          <w:p w:rsidR="00EA4064" w:rsidRDefault="002A4E4A">
            <w:pPr>
              <w:jc w:val="center"/>
            </w:pPr>
            <w:r>
              <w:rPr>
                <w:color w:val="000000"/>
                <w:sz w:val="24"/>
              </w:rPr>
              <w:t>0.05%</w:t>
            </w:r>
          </w:p>
        </w:tc>
        <w:tc>
          <w:tcPr>
            <w:tcW w:w="1267" w:type="dxa"/>
            <w:vAlign w:val="center"/>
          </w:tcPr>
          <w:p w:rsidR="00EA4064" w:rsidRDefault="002A4E4A">
            <w:pPr>
              <w:jc w:val="center"/>
            </w:pPr>
            <w:r>
              <w:rPr>
                <w:color w:val="000000"/>
                <w:sz w:val="24"/>
              </w:rPr>
              <w:t>0.28%</w:t>
            </w:r>
          </w:p>
        </w:tc>
        <w:tc>
          <w:tcPr>
            <w:tcW w:w="1267" w:type="dxa"/>
            <w:vAlign w:val="center"/>
          </w:tcPr>
          <w:p w:rsidR="00EA4064" w:rsidRDefault="002A4E4A">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A4064">
        <w:trPr>
          <w:jc w:val="center"/>
        </w:trPr>
        <w:tc>
          <w:tcPr>
            <w:tcW w:w="946" w:type="dxa"/>
            <w:vAlign w:val="center"/>
          </w:tcPr>
          <w:p w:rsidR="00EA4064" w:rsidRDefault="002A4E4A">
            <w:pPr>
              <w:jc w:val="center"/>
            </w:pPr>
            <w:r>
              <w:rPr>
                <w:color w:val="000000"/>
                <w:sz w:val="24"/>
              </w:rPr>
              <w:t>唐赟</w:t>
            </w:r>
          </w:p>
        </w:tc>
        <w:tc>
          <w:tcPr>
            <w:tcW w:w="924" w:type="dxa"/>
            <w:vAlign w:val="center"/>
          </w:tcPr>
          <w:p w:rsidR="00EA4064" w:rsidRDefault="002A4E4A">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02" w:type="dxa"/>
            <w:vAlign w:val="center"/>
          </w:tcPr>
          <w:p w:rsidR="00EA4064" w:rsidRDefault="002A4E4A">
            <w:pPr>
              <w:jc w:val="center"/>
            </w:pPr>
            <w:r>
              <w:rPr>
                <w:color w:val="000000"/>
                <w:sz w:val="24"/>
              </w:rPr>
              <w:t>2015-08-04</w:t>
            </w:r>
          </w:p>
        </w:tc>
        <w:tc>
          <w:tcPr>
            <w:tcW w:w="1300" w:type="dxa"/>
            <w:vAlign w:val="center"/>
          </w:tcPr>
          <w:p w:rsidR="00EA4064" w:rsidRDefault="002A4E4A">
            <w:pPr>
              <w:jc w:val="center"/>
            </w:pPr>
            <w:r>
              <w:rPr>
                <w:color w:val="000000"/>
                <w:sz w:val="24"/>
              </w:rPr>
              <w:t>-</w:t>
            </w:r>
          </w:p>
        </w:tc>
        <w:tc>
          <w:tcPr>
            <w:tcW w:w="1245" w:type="dxa"/>
            <w:vAlign w:val="center"/>
          </w:tcPr>
          <w:p w:rsidR="00EA4064" w:rsidRDefault="002A4E4A">
            <w:pPr>
              <w:jc w:val="center"/>
            </w:pPr>
            <w:r>
              <w:rPr>
                <w:color w:val="000000"/>
                <w:sz w:val="24"/>
              </w:rPr>
              <w:t>8</w:t>
            </w:r>
            <w:r>
              <w:rPr>
                <w:color w:val="000000"/>
                <w:sz w:val="24"/>
              </w:rPr>
              <w:t>年</w:t>
            </w:r>
          </w:p>
        </w:tc>
        <w:tc>
          <w:tcPr>
            <w:tcW w:w="3251" w:type="dxa"/>
            <w:vAlign w:val="center"/>
          </w:tcPr>
          <w:p w:rsidR="00EA4064" w:rsidRDefault="002A4E4A">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lastRenderedPageBreak/>
          <w:t>4.3.1</w:t>
        </w:r>
      </w:smartTag>
      <w:r w:rsidRPr="007F52FA">
        <w:rPr>
          <w:sz w:val="24"/>
        </w:rPr>
        <w:t>公平交易制度的执行情况</w:t>
      </w:r>
    </w:p>
    <w:p w:rsidR="00EA4064" w:rsidRDefault="002A4E4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A4064" w:rsidRDefault="002A4E4A">
      <w:pPr>
        <w:spacing w:before="29" w:line="288" w:lineRule="auto"/>
        <w:ind w:firstLineChars="200" w:firstLine="480"/>
        <w:rPr>
          <w:color w:val="000000"/>
          <w:sz w:val="24"/>
        </w:rPr>
      </w:pPr>
      <w:r>
        <w:rPr>
          <w:color w:val="000000"/>
          <w:sz w:val="24"/>
        </w:rPr>
        <w:t>公司建立资</w:t>
      </w:r>
      <w:r>
        <w:rPr>
          <w:color w:val="000000"/>
          <w:sz w:val="24"/>
        </w:rPr>
        <w:t>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A4064" w:rsidRDefault="002A4E4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A4064" w:rsidRDefault="002A4E4A">
      <w:pPr>
        <w:spacing w:before="29" w:line="288" w:lineRule="auto"/>
        <w:ind w:firstLineChars="200" w:firstLine="480"/>
        <w:rPr>
          <w:color w:val="000000"/>
          <w:sz w:val="24"/>
        </w:rPr>
      </w:pPr>
      <w:r>
        <w:rPr>
          <w:color w:val="000000"/>
          <w:sz w:val="24"/>
        </w:rPr>
        <w:t>2018</w:t>
      </w:r>
      <w:r>
        <w:rPr>
          <w:color w:val="000000"/>
          <w:sz w:val="24"/>
        </w:rPr>
        <w:t>年以来中美贸易争端不断发酵和去杠杆政策下非标融资大幅收缩成为主导债市走势的两大基本面因素。四季度伊始，央行公布降准一个百分点且对资金投向方面的限制放宽松，大规模投放流动性使得资金面极度宽松，回购利率中枢一度下行至接近八月份的年内最低水平，加之地方债政府专项债发行量减少、经济基本面数据持续弱势，带动债券市场收益率在十月持续下行。进入十一月，在汇率贬值的压力下，央行连续多个交易日暂停公开市场操作，引导短端利率较十月小幅抬升，同业存单发行利率中枢也随之提高，虽然十月底的政治局会议基调相对于七月的政治局会议</w:t>
      </w:r>
      <w:r>
        <w:rPr>
          <w:color w:val="000000"/>
          <w:sz w:val="24"/>
        </w:rPr>
        <w:t>措辞有所放松，但是十一月公布的信贷和社融数据断崖式下跌、贸易战谈判带动市场情绪波动的影响下，长端利率整体上延续十月的下行趋势。十二月，政治局会议和中央经济工作会议均侧重稳增长，强调逆周期调节，提出稳定总需求，利率债双向波动加大，体现出小幅震荡的格局。</w:t>
      </w:r>
    </w:p>
    <w:p w:rsidR="00EA4064" w:rsidRDefault="002A4E4A">
      <w:pPr>
        <w:spacing w:before="29" w:line="288" w:lineRule="auto"/>
        <w:ind w:firstLineChars="200" w:firstLine="480"/>
        <w:rPr>
          <w:color w:val="000000"/>
          <w:sz w:val="24"/>
        </w:rPr>
      </w:pPr>
      <w:r>
        <w:rPr>
          <w:color w:val="000000"/>
          <w:sz w:val="24"/>
        </w:rPr>
        <w:t>报告期内，基于对经济持续下滑、资金面维持大体宽松、长端利率有下行空间、信用利差主导压缩的判断，本基金在维持债券底仓整体久期的同时，对底仓的结构做出部</w:t>
      </w:r>
      <w:r>
        <w:rPr>
          <w:color w:val="000000"/>
          <w:sz w:val="24"/>
        </w:rPr>
        <w:lastRenderedPageBreak/>
        <w:t>分调整，提升静态收益率和杠杆套息利差，并择机进行长久期利率债的波段操作。</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年一季度，我们认为一方面，国内的宏观基本面整体上仍将有利于债券市场，同时期限利差虽有收窄但仍在高位，利率进一步下行或有空间。海外方面，</w:t>
      </w:r>
      <w:r w:rsidRPr="007F52FA">
        <w:rPr>
          <w:color w:val="000000"/>
          <w:sz w:val="24"/>
        </w:rPr>
        <w:t>G20</w:t>
      </w:r>
      <w:r w:rsidRPr="007F52FA">
        <w:rPr>
          <w:color w:val="000000"/>
          <w:sz w:val="24"/>
        </w:rPr>
        <w:t>会议决定美国对中国商品关税提升暂缓三个月，考虑到中美关税再次提升前</w:t>
      </w:r>
      <w:r w:rsidRPr="007F52FA">
        <w:rPr>
          <w:color w:val="000000"/>
          <w:sz w:val="24"/>
        </w:rPr>
        <w:t>“</w:t>
      </w:r>
      <w:r w:rsidRPr="007F52FA">
        <w:rPr>
          <w:color w:val="000000"/>
          <w:sz w:val="24"/>
        </w:rPr>
        <w:t>抢出口</w:t>
      </w:r>
      <w:r w:rsidRPr="007F52FA">
        <w:rPr>
          <w:color w:val="000000"/>
          <w:sz w:val="24"/>
        </w:rPr>
        <w:t>”</w:t>
      </w:r>
      <w:r w:rsidRPr="007F52FA">
        <w:rPr>
          <w:color w:val="000000"/>
          <w:sz w:val="24"/>
        </w:rPr>
        <w:t>效应已经基本透支，且中方答应美方尽快从美国进口大量农产品，</w:t>
      </w:r>
      <w:r w:rsidRPr="007F52FA">
        <w:rPr>
          <w:color w:val="000000"/>
          <w:sz w:val="24"/>
        </w:rPr>
        <w:t>2019</w:t>
      </w:r>
      <w:r w:rsidRPr="007F52FA">
        <w:rPr>
          <w:color w:val="000000"/>
          <w:sz w:val="24"/>
        </w:rPr>
        <w:t>年一季度的净出口预计会对</w:t>
      </w:r>
      <w:r w:rsidRPr="007F52FA">
        <w:rPr>
          <w:color w:val="000000"/>
          <w:sz w:val="24"/>
        </w:rPr>
        <w:t>GDP</w:t>
      </w:r>
      <w:r w:rsidRPr="007F52FA">
        <w:rPr>
          <w:color w:val="000000"/>
          <w:sz w:val="24"/>
        </w:rPr>
        <w:t>有一定拖累。但是另一方面，为了应对外需和内需同时回落的压力，国内稳增长的诉求将会提高，或在促进消费、基建补短板、减税降费领域出台更加积极的对冲政策。在地方政府隐性债务的监管和资管新规的大框架下，基建投资资金来源会更多依赖地方政府专项债，从而导致专项债的供给可能会超出预期，对利率债产生一定的挤出效应。综合以上，我们认为后期债券市场的主要机会来自于净出口以及地产投资等方面的下行带来的基本面回落，风险点可能来自超预期的稳增长和托底政策。</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1,240,849,604.40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1,235,849,604.40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146,300,558.00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8,761,847.35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0.61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36,577,646.44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1,432,489,656.19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E4AD1" w:rsidRPr="001E4AD1" w:rsidRDefault="001E4AD1"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151,419,604.40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151,419,604.40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298,218,000.00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786,212,000.00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55.18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1,235,849,604.40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86.74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A4064">
        <w:trPr>
          <w:jc w:val="center"/>
        </w:trPr>
        <w:tc>
          <w:tcPr>
            <w:tcW w:w="1075" w:type="dxa"/>
            <w:vAlign w:val="center"/>
          </w:tcPr>
          <w:p w:rsidR="00EA4064" w:rsidRDefault="002A4E4A">
            <w:pPr>
              <w:jc w:val="center"/>
            </w:pPr>
            <w:r>
              <w:rPr>
                <w:color w:val="000000"/>
                <w:sz w:val="24"/>
              </w:rPr>
              <w:t>1</w:t>
            </w:r>
          </w:p>
        </w:tc>
        <w:tc>
          <w:tcPr>
            <w:tcW w:w="1533" w:type="dxa"/>
            <w:vAlign w:val="center"/>
          </w:tcPr>
          <w:p w:rsidR="00EA4064" w:rsidRDefault="002A4E4A">
            <w:pPr>
              <w:jc w:val="center"/>
            </w:pPr>
            <w:r>
              <w:rPr>
                <w:color w:val="000000"/>
                <w:sz w:val="24"/>
              </w:rPr>
              <w:t>180210</w:t>
            </w:r>
          </w:p>
        </w:tc>
        <w:tc>
          <w:tcPr>
            <w:tcW w:w="1533" w:type="dxa"/>
            <w:vAlign w:val="center"/>
          </w:tcPr>
          <w:p w:rsidR="00EA4064" w:rsidRDefault="002A4E4A">
            <w:pPr>
              <w:jc w:val="center"/>
            </w:pPr>
            <w:r>
              <w:rPr>
                <w:color w:val="000000"/>
                <w:sz w:val="24"/>
              </w:rPr>
              <w:t>18</w:t>
            </w:r>
            <w:r>
              <w:rPr>
                <w:color w:val="000000"/>
                <w:sz w:val="24"/>
              </w:rPr>
              <w:t>国开</w:t>
            </w:r>
            <w:r>
              <w:rPr>
                <w:color w:val="000000"/>
                <w:sz w:val="24"/>
              </w:rPr>
              <w:t>10</w:t>
            </w:r>
          </w:p>
        </w:tc>
        <w:tc>
          <w:tcPr>
            <w:tcW w:w="1394" w:type="dxa"/>
            <w:vAlign w:val="center"/>
          </w:tcPr>
          <w:p w:rsidR="00EA4064" w:rsidRDefault="002A4E4A">
            <w:pPr>
              <w:jc w:val="right"/>
            </w:pPr>
            <w:r>
              <w:rPr>
                <w:color w:val="000000"/>
                <w:sz w:val="24"/>
              </w:rPr>
              <w:t>700,000</w:t>
            </w:r>
          </w:p>
        </w:tc>
        <w:tc>
          <w:tcPr>
            <w:tcW w:w="1944" w:type="dxa"/>
            <w:vAlign w:val="center"/>
          </w:tcPr>
          <w:p w:rsidR="00EA4064" w:rsidRDefault="002A4E4A">
            <w:pPr>
              <w:jc w:val="right"/>
            </w:pPr>
            <w:r>
              <w:rPr>
                <w:color w:val="000000"/>
                <w:sz w:val="24"/>
              </w:rPr>
              <w:t>72,191,000.00</w:t>
            </w:r>
          </w:p>
        </w:tc>
        <w:tc>
          <w:tcPr>
            <w:tcW w:w="1389" w:type="dxa"/>
            <w:vAlign w:val="center"/>
          </w:tcPr>
          <w:p w:rsidR="00EA4064" w:rsidRDefault="002A4E4A">
            <w:pPr>
              <w:jc w:val="right"/>
            </w:pPr>
            <w:r>
              <w:rPr>
                <w:color w:val="000000"/>
                <w:sz w:val="24"/>
              </w:rPr>
              <w:t>5.07</w:t>
            </w:r>
          </w:p>
        </w:tc>
      </w:tr>
      <w:tr w:rsidR="00EA4064">
        <w:trPr>
          <w:jc w:val="center"/>
        </w:trPr>
        <w:tc>
          <w:tcPr>
            <w:tcW w:w="1075" w:type="dxa"/>
            <w:vAlign w:val="center"/>
          </w:tcPr>
          <w:p w:rsidR="00EA4064" w:rsidRDefault="002A4E4A">
            <w:pPr>
              <w:jc w:val="center"/>
            </w:pPr>
            <w:r>
              <w:rPr>
                <w:color w:val="000000"/>
                <w:sz w:val="24"/>
              </w:rPr>
              <w:t>2</w:t>
            </w:r>
          </w:p>
        </w:tc>
        <w:tc>
          <w:tcPr>
            <w:tcW w:w="1533" w:type="dxa"/>
            <w:vAlign w:val="center"/>
          </w:tcPr>
          <w:p w:rsidR="00EA4064" w:rsidRDefault="002A4E4A">
            <w:pPr>
              <w:jc w:val="center"/>
            </w:pPr>
            <w:r>
              <w:rPr>
                <w:color w:val="000000"/>
                <w:sz w:val="24"/>
              </w:rPr>
              <w:t>180305</w:t>
            </w:r>
          </w:p>
        </w:tc>
        <w:tc>
          <w:tcPr>
            <w:tcW w:w="1533" w:type="dxa"/>
            <w:vAlign w:val="center"/>
          </w:tcPr>
          <w:p w:rsidR="00EA4064" w:rsidRDefault="002A4E4A">
            <w:pPr>
              <w:jc w:val="center"/>
            </w:pPr>
            <w:r>
              <w:rPr>
                <w:color w:val="000000"/>
                <w:sz w:val="24"/>
              </w:rPr>
              <w:t>18</w:t>
            </w:r>
            <w:r>
              <w:rPr>
                <w:color w:val="000000"/>
                <w:sz w:val="24"/>
              </w:rPr>
              <w:t>进出</w:t>
            </w:r>
            <w:r>
              <w:rPr>
                <w:color w:val="000000"/>
                <w:sz w:val="24"/>
              </w:rPr>
              <w:t>05</w:t>
            </w:r>
          </w:p>
        </w:tc>
        <w:tc>
          <w:tcPr>
            <w:tcW w:w="1394" w:type="dxa"/>
            <w:vAlign w:val="center"/>
          </w:tcPr>
          <w:p w:rsidR="00EA4064" w:rsidRDefault="002A4E4A">
            <w:pPr>
              <w:jc w:val="right"/>
            </w:pPr>
            <w:r>
              <w:rPr>
                <w:color w:val="000000"/>
                <w:sz w:val="24"/>
              </w:rPr>
              <w:t>600,000</w:t>
            </w:r>
          </w:p>
        </w:tc>
        <w:tc>
          <w:tcPr>
            <w:tcW w:w="1944" w:type="dxa"/>
            <w:vAlign w:val="center"/>
          </w:tcPr>
          <w:p w:rsidR="00EA4064" w:rsidRDefault="002A4E4A">
            <w:pPr>
              <w:jc w:val="right"/>
            </w:pPr>
            <w:r>
              <w:rPr>
                <w:color w:val="000000"/>
                <w:sz w:val="24"/>
              </w:rPr>
              <w:t>60,144,000.00</w:t>
            </w:r>
          </w:p>
        </w:tc>
        <w:tc>
          <w:tcPr>
            <w:tcW w:w="1389" w:type="dxa"/>
            <w:vAlign w:val="center"/>
          </w:tcPr>
          <w:p w:rsidR="00EA4064" w:rsidRDefault="002A4E4A">
            <w:pPr>
              <w:jc w:val="right"/>
            </w:pPr>
            <w:r>
              <w:rPr>
                <w:color w:val="000000"/>
                <w:sz w:val="24"/>
              </w:rPr>
              <w:t>4.22</w:t>
            </w:r>
          </w:p>
        </w:tc>
      </w:tr>
      <w:tr w:rsidR="00EA4064">
        <w:trPr>
          <w:jc w:val="center"/>
        </w:trPr>
        <w:tc>
          <w:tcPr>
            <w:tcW w:w="1075" w:type="dxa"/>
            <w:vAlign w:val="center"/>
          </w:tcPr>
          <w:p w:rsidR="00EA4064" w:rsidRDefault="002A4E4A">
            <w:pPr>
              <w:jc w:val="center"/>
            </w:pPr>
            <w:r>
              <w:rPr>
                <w:color w:val="000000"/>
                <w:sz w:val="24"/>
              </w:rPr>
              <w:t>3</w:t>
            </w:r>
          </w:p>
        </w:tc>
        <w:tc>
          <w:tcPr>
            <w:tcW w:w="1533" w:type="dxa"/>
            <w:vAlign w:val="center"/>
          </w:tcPr>
          <w:p w:rsidR="00EA4064" w:rsidRDefault="002A4E4A">
            <w:pPr>
              <w:jc w:val="center"/>
            </w:pPr>
            <w:r>
              <w:rPr>
                <w:color w:val="000000"/>
                <w:sz w:val="24"/>
              </w:rPr>
              <w:t>101800369</w:t>
            </w:r>
          </w:p>
        </w:tc>
        <w:tc>
          <w:tcPr>
            <w:tcW w:w="1533" w:type="dxa"/>
            <w:vAlign w:val="center"/>
          </w:tcPr>
          <w:p w:rsidR="00EA4064" w:rsidRDefault="002A4E4A">
            <w:pPr>
              <w:jc w:val="center"/>
            </w:pPr>
            <w:r>
              <w:rPr>
                <w:color w:val="000000"/>
                <w:sz w:val="24"/>
              </w:rPr>
              <w:t>18</w:t>
            </w:r>
            <w:r>
              <w:rPr>
                <w:color w:val="000000"/>
                <w:sz w:val="24"/>
              </w:rPr>
              <w:t>豫投资</w:t>
            </w:r>
            <w:r>
              <w:rPr>
                <w:color w:val="000000"/>
                <w:sz w:val="24"/>
              </w:rPr>
              <w:t>MTN002</w:t>
            </w:r>
          </w:p>
        </w:tc>
        <w:tc>
          <w:tcPr>
            <w:tcW w:w="1394" w:type="dxa"/>
            <w:vAlign w:val="center"/>
          </w:tcPr>
          <w:p w:rsidR="00EA4064" w:rsidRDefault="002A4E4A">
            <w:pPr>
              <w:jc w:val="right"/>
            </w:pPr>
            <w:r>
              <w:rPr>
                <w:color w:val="000000"/>
                <w:sz w:val="24"/>
              </w:rPr>
              <w:t>500,000</w:t>
            </w:r>
          </w:p>
        </w:tc>
        <w:tc>
          <w:tcPr>
            <w:tcW w:w="1944" w:type="dxa"/>
            <w:vAlign w:val="center"/>
          </w:tcPr>
          <w:p w:rsidR="00EA4064" w:rsidRDefault="002A4E4A">
            <w:pPr>
              <w:jc w:val="right"/>
            </w:pPr>
            <w:r>
              <w:rPr>
                <w:color w:val="000000"/>
                <w:sz w:val="24"/>
              </w:rPr>
              <w:t>51,455,000.00</w:t>
            </w:r>
          </w:p>
        </w:tc>
        <w:tc>
          <w:tcPr>
            <w:tcW w:w="1389" w:type="dxa"/>
            <w:vAlign w:val="center"/>
          </w:tcPr>
          <w:p w:rsidR="00EA4064" w:rsidRDefault="002A4E4A">
            <w:pPr>
              <w:jc w:val="right"/>
            </w:pPr>
            <w:r>
              <w:rPr>
                <w:color w:val="000000"/>
                <w:sz w:val="24"/>
              </w:rPr>
              <w:t>3.61</w:t>
            </w:r>
          </w:p>
        </w:tc>
      </w:tr>
      <w:tr w:rsidR="00EA4064">
        <w:trPr>
          <w:jc w:val="center"/>
        </w:trPr>
        <w:tc>
          <w:tcPr>
            <w:tcW w:w="1075" w:type="dxa"/>
            <w:vAlign w:val="center"/>
          </w:tcPr>
          <w:p w:rsidR="00EA4064" w:rsidRDefault="002A4E4A">
            <w:pPr>
              <w:jc w:val="center"/>
            </w:pPr>
            <w:r>
              <w:rPr>
                <w:color w:val="000000"/>
                <w:sz w:val="24"/>
              </w:rPr>
              <w:t>4</w:t>
            </w:r>
          </w:p>
        </w:tc>
        <w:tc>
          <w:tcPr>
            <w:tcW w:w="1533" w:type="dxa"/>
            <w:vAlign w:val="center"/>
          </w:tcPr>
          <w:p w:rsidR="00EA4064" w:rsidRDefault="002A4E4A">
            <w:pPr>
              <w:jc w:val="center"/>
            </w:pPr>
            <w:r>
              <w:rPr>
                <w:color w:val="000000"/>
                <w:sz w:val="24"/>
              </w:rPr>
              <w:t>101460011</w:t>
            </w:r>
          </w:p>
        </w:tc>
        <w:tc>
          <w:tcPr>
            <w:tcW w:w="1533" w:type="dxa"/>
            <w:vAlign w:val="center"/>
          </w:tcPr>
          <w:p w:rsidR="00EA4064" w:rsidRDefault="002A4E4A">
            <w:pPr>
              <w:jc w:val="center"/>
            </w:pPr>
            <w:r>
              <w:rPr>
                <w:color w:val="000000"/>
                <w:sz w:val="24"/>
              </w:rPr>
              <w:t>14</w:t>
            </w:r>
            <w:r>
              <w:rPr>
                <w:color w:val="000000"/>
                <w:sz w:val="24"/>
              </w:rPr>
              <w:t>合国资</w:t>
            </w:r>
            <w:r>
              <w:rPr>
                <w:color w:val="000000"/>
                <w:sz w:val="24"/>
              </w:rPr>
              <w:t>MTN001</w:t>
            </w:r>
          </w:p>
        </w:tc>
        <w:tc>
          <w:tcPr>
            <w:tcW w:w="1394" w:type="dxa"/>
            <w:vAlign w:val="center"/>
          </w:tcPr>
          <w:p w:rsidR="00EA4064" w:rsidRDefault="002A4E4A">
            <w:pPr>
              <w:jc w:val="right"/>
            </w:pPr>
            <w:r>
              <w:rPr>
                <w:color w:val="000000"/>
                <w:sz w:val="24"/>
              </w:rPr>
              <w:t>500,000</w:t>
            </w:r>
          </w:p>
        </w:tc>
        <w:tc>
          <w:tcPr>
            <w:tcW w:w="1944" w:type="dxa"/>
            <w:vAlign w:val="center"/>
          </w:tcPr>
          <w:p w:rsidR="00EA4064" w:rsidRDefault="002A4E4A">
            <w:pPr>
              <w:jc w:val="right"/>
            </w:pPr>
            <w:r>
              <w:rPr>
                <w:color w:val="000000"/>
                <w:sz w:val="24"/>
              </w:rPr>
              <w:t>50,795,000.00</w:t>
            </w:r>
          </w:p>
        </w:tc>
        <w:tc>
          <w:tcPr>
            <w:tcW w:w="1389" w:type="dxa"/>
            <w:vAlign w:val="center"/>
          </w:tcPr>
          <w:p w:rsidR="00EA4064" w:rsidRDefault="002A4E4A">
            <w:pPr>
              <w:jc w:val="right"/>
            </w:pPr>
            <w:r>
              <w:rPr>
                <w:color w:val="000000"/>
                <w:sz w:val="24"/>
              </w:rPr>
              <w:t>3.57</w:t>
            </w:r>
          </w:p>
        </w:tc>
      </w:tr>
      <w:tr w:rsidR="00EA4064">
        <w:trPr>
          <w:jc w:val="center"/>
        </w:trPr>
        <w:tc>
          <w:tcPr>
            <w:tcW w:w="1075" w:type="dxa"/>
            <w:vAlign w:val="center"/>
          </w:tcPr>
          <w:p w:rsidR="00EA4064" w:rsidRDefault="002A4E4A">
            <w:pPr>
              <w:jc w:val="center"/>
            </w:pPr>
            <w:r>
              <w:rPr>
                <w:color w:val="000000"/>
                <w:sz w:val="24"/>
              </w:rPr>
              <w:t>5</w:t>
            </w:r>
          </w:p>
        </w:tc>
        <w:tc>
          <w:tcPr>
            <w:tcW w:w="1533" w:type="dxa"/>
            <w:vAlign w:val="center"/>
          </w:tcPr>
          <w:p w:rsidR="00EA4064" w:rsidRDefault="002A4E4A">
            <w:pPr>
              <w:jc w:val="center"/>
            </w:pPr>
            <w:r>
              <w:rPr>
                <w:color w:val="000000"/>
                <w:sz w:val="24"/>
              </w:rPr>
              <w:t>101801218</w:t>
            </w:r>
          </w:p>
        </w:tc>
        <w:tc>
          <w:tcPr>
            <w:tcW w:w="1533" w:type="dxa"/>
            <w:vAlign w:val="center"/>
          </w:tcPr>
          <w:p w:rsidR="00EA4064" w:rsidRDefault="002A4E4A">
            <w:pPr>
              <w:jc w:val="center"/>
            </w:pPr>
            <w:r>
              <w:rPr>
                <w:color w:val="000000"/>
                <w:sz w:val="24"/>
              </w:rPr>
              <w:t>18</w:t>
            </w:r>
            <w:r>
              <w:rPr>
                <w:color w:val="000000"/>
                <w:sz w:val="24"/>
              </w:rPr>
              <w:t>中铝集</w:t>
            </w:r>
            <w:r>
              <w:rPr>
                <w:color w:val="000000"/>
                <w:sz w:val="24"/>
              </w:rPr>
              <w:t>MTN004</w:t>
            </w:r>
          </w:p>
        </w:tc>
        <w:tc>
          <w:tcPr>
            <w:tcW w:w="1394" w:type="dxa"/>
            <w:vAlign w:val="center"/>
          </w:tcPr>
          <w:p w:rsidR="00EA4064" w:rsidRDefault="002A4E4A">
            <w:pPr>
              <w:jc w:val="right"/>
            </w:pPr>
            <w:r>
              <w:rPr>
                <w:color w:val="000000"/>
                <w:sz w:val="24"/>
              </w:rPr>
              <w:t>500,000</w:t>
            </w:r>
          </w:p>
        </w:tc>
        <w:tc>
          <w:tcPr>
            <w:tcW w:w="1944" w:type="dxa"/>
            <w:vAlign w:val="center"/>
          </w:tcPr>
          <w:p w:rsidR="00EA4064" w:rsidRDefault="002A4E4A">
            <w:pPr>
              <w:jc w:val="right"/>
            </w:pPr>
            <w:r>
              <w:rPr>
                <w:color w:val="000000"/>
                <w:sz w:val="24"/>
              </w:rPr>
              <w:t>50,330,000.00</w:t>
            </w:r>
          </w:p>
        </w:tc>
        <w:tc>
          <w:tcPr>
            <w:tcW w:w="1389" w:type="dxa"/>
            <w:vAlign w:val="center"/>
          </w:tcPr>
          <w:p w:rsidR="00EA4064" w:rsidRDefault="002A4E4A">
            <w:pPr>
              <w:jc w:val="right"/>
            </w:pPr>
            <w:r>
              <w:rPr>
                <w:color w:val="000000"/>
                <w:sz w:val="24"/>
              </w:rPr>
              <w:t>3.53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1"/>
        <w:gridCol w:w="1481"/>
        <w:gridCol w:w="1462"/>
        <w:gridCol w:w="1481"/>
        <w:gridCol w:w="1502"/>
        <w:gridCol w:w="148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EA4064">
        <w:trPr>
          <w:jc w:val="center"/>
        </w:trPr>
        <w:tc>
          <w:tcPr>
            <w:tcW w:w="0" w:type="auto"/>
            <w:vAlign w:val="center"/>
          </w:tcPr>
          <w:p w:rsidR="00EA4064" w:rsidRDefault="002A4E4A">
            <w:pPr>
              <w:jc w:val="center"/>
            </w:pPr>
            <w:r>
              <w:rPr>
                <w:color w:val="000000"/>
                <w:sz w:val="24"/>
              </w:rPr>
              <w:t>1</w:t>
            </w:r>
          </w:p>
        </w:tc>
        <w:tc>
          <w:tcPr>
            <w:tcW w:w="0" w:type="auto"/>
            <w:vAlign w:val="center"/>
          </w:tcPr>
          <w:p w:rsidR="00EA4064" w:rsidRDefault="002A4E4A">
            <w:pPr>
              <w:jc w:val="center"/>
            </w:pPr>
            <w:r>
              <w:rPr>
                <w:color w:val="000000"/>
                <w:sz w:val="24"/>
              </w:rPr>
              <w:t>123929</w:t>
            </w:r>
          </w:p>
        </w:tc>
        <w:tc>
          <w:tcPr>
            <w:tcW w:w="0" w:type="auto"/>
            <w:vAlign w:val="center"/>
          </w:tcPr>
          <w:p w:rsidR="00EA4064" w:rsidRDefault="002A4E4A">
            <w:pPr>
              <w:jc w:val="center"/>
            </w:pPr>
            <w:r>
              <w:rPr>
                <w:color w:val="000000"/>
                <w:sz w:val="24"/>
              </w:rPr>
              <w:t>高新热</w:t>
            </w:r>
            <w:r>
              <w:rPr>
                <w:color w:val="000000"/>
                <w:sz w:val="24"/>
              </w:rPr>
              <w:t>04</w:t>
            </w:r>
          </w:p>
        </w:tc>
        <w:tc>
          <w:tcPr>
            <w:tcW w:w="0" w:type="auto"/>
            <w:vAlign w:val="center"/>
          </w:tcPr>
          <w:p w:rsidR="00EA4064" w:rsidRDefault="002A4E4A">
            <w:pPr>
              <w:jc w:val="right"/>
            </w:pPr>
            <w:r>
              <w:rPr>
                <w:color w:val="000000"/>
                <w:sz w:val="24"/>
              </w:rPr>
              <w:t>50,000</w:t>
            </w:r>
          </w:p>
        </w:tc>
        <w:tc>
          <w:tcPr>
            <w:tcW w:w="0" w:type="auto"/>
            <w:vAlign w:val="center"/>
          </w:tcPr>
          <w:p w:rsidR="00EA4064" w:rsidRDefault="002A4E4A">
            <w:pPr>
              <w:jc w:val="right"/>
            </w:pPr>
            <w:r>
              <w:rPr>
                <w:color w:val="000000"/>
                <w:sz w:val="24"/>
              </w:rPr>
              <w:t>5,000,000.00</w:t>
            </w:r>
          </w:p>
        </w:tc>
        <w:tc>
          <w:tcPr>
            <w:tcW w:w="0" w:type="auto"/>
            <w:vAlign w:val="center"/>
          </w:tcPr>
          <w:p w:rsidR="00EA4064" w:rsidRDefault="002A4E4A">
            <w:pPr>
              <w:jc w:val="right"/>
            </w:pPr>
            <w:r>
              <w:rPr>
                <w:color w:val="000000"/>
                <w:sz w:val="24"/>
              </w:rPr>
              <w:t>0.35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134,056.44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23,283,713.40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13,159,876.60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36,577,646.44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1E4AD1" w:rsidRDefault="00C51B4E" w:rsidP="000A2988">
      <w:pPr>
        <w:pStyle w:val="1"/>
        <w:spacing w:beforeLines="100" w:before="312" w:afterLines="100" w:after="312" w:line="360" w:lineRule="auto"/>
        <w:jc w:val="center"/>
        <w:rPr>
          <w:rFonts w:eastAsiaTheme="minorEastAsia"/>
          <w:color w:val="000000" w:themeColor="text1"/>
          <w:kern w:val="0"/>
          <w:sz w:val="24"/>
          <w:szCs w:val="21"/>
        </w:rPr>
      </w:pPr>
      <w:r w:rsidRPr="001E4AD1">
        <w:rPr>
          <w:rFonts w:eastAsiaTheme="minorEastAsia"/>
          <w:color w:val="000000" w:themeColor="text1"/>
          <w:kern w:val="0"/>
          <w:sz w:val="24"/>
          <w:szCs w:val="21"/>
        </w:rPr>
        <w:t>§6</w:t>
      </w:r>
      <w:r w:rsidRPr="001E4AD1">
        <w:rPr>
          <w:rFonts w:eastAsiaTheme="minorEastAsia" w:hint="eastAsia"/>
          <w:color w:val="000000" w:themeColor="text1"/>
          <w:kern w:val="0"/>
          <w:sz w:val="24"/>
          <w:szCs w:val="21"/>
        </w:rPr>
        <w:t xml:space="preserve">  </w:t>
      </w:r>
      <w:r w:rsidRPr="001E4AD1">
        <w:rPr>
          <w:rFonts w:eastAsiaTheme="minorEastAsia" w:hint="eastAsia"/>
          <w:color w:val="000000" w:themeColor="text1"/>
          <w:kern w:val="0"/>
          <w:sz w:val="24"/>
          <w:szCs w:val="21"/>
        </w:rPr>
        <w:t>基金中基金</w:t>
      </w:r>
    </w:p>
    <w:p w:rsidR="00C51B4E" w:rsidRPr="001E4AD1" w:rsidRDefault="00C51B4E" w:rsidP="00C51B4E">
      <w:pPr>
        <w:adjustRightInd w:val="0"/>
        <w:snapToGrid w:val="0"/>
        <w:spacing w:line="360" w:lineRule="auto"/>
        <w:rPr>
          <w:rFonts w:eastAsiaTheme="minorEastAsia"/>
          <w:b/>
          <w:color w:val="000000" w:themeColor="text1"/>
          <w:kern w:val="0"/>
          <w:sz w:val="24"/>
          <w:szCs w:val="21"/>
        </w:rPr>
      </w:pPr>
      <w:r w:rsidRPr="001E4AD1">
        <w:rPr>
          <w:rFonts w:eastAsiaTheme="minorEastAsia"/>
          <w:b/>
          <w:color w:val="000000" w:themeColor="text1"/>
          <w:kern w:val="0"/>
          <w:sz w:val="24"/>
          <w:szCs w:val="21"/>
        </w:rPr>
        <w:t>6.1</w:t>
      </w:r>
      <w:r w:rsidRPr="001E4AD1">
        <w:rPr>
          <w:rFonts w:eastAsiaTheme="minorEastAsia" w:hint="eastAsia"/>
          <w:b/>
          <w:color w:val="000000" w:themeColor="text1"/>
          <w:kern w:val="0"/>
          <w:sz w:val="24"/>
          <w:szCs w:val="21"/>
        </w:rPr>
        <w:t xml:space="preserve"> </w:t>
      </w:r>
      <w:r w:rsidRPr="001E4AD1">
        <w:rPr>
          <w:rFonts w:eastAsiaTheme="minorEastAsia" w:hint="eastAsia"/>
          <w:b/>
          <w:color w:val="000000" w:themeColor="text1"/>
          <w:kern w:val="0"/>
          <w:sz w:val="24"/>
          <w:szCs w:val="21"/>
        </w:rPr>
        <w:t>报告期末按公允价值占基金资产净值比例大小排序的前十名基金投资明细</w:t>
      </w:r>
    </w:p>
    <w:p w:rsidR="00C51B4E" w:rsidRPr="001E4AD1"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1E4AD1">
        <w:rPr>
          <w:rFonts w:eastAsiaTheme="minorEastAsia"/>
          <w:color w:val="000000" w:themeColor="text1"/>
          <w:sz w:val="24"/>
          <w:szCs w:val="21"/>
        </w:rPr>
        <w:t>本基金本报告期末未持有基金。</w:t>
      </w:r>
    </w:p>
    <w:p w:rsidR="00C51B4E" w:rsidRPr="001E4AD1" w:rsidRDefault="00C51B4E" w:rsidP="000A2988">
      <w:pPr>
        <w:adjustRightInd w:val="0"/>
        <w:snapToGrid w:val="0"/>
        <w:spacing w:beforeLines="50" w:before="156" w:line="360" w:lineRule="auto"/>
        <w:rPr>
          <w:rFonts w:eastAsiaTheme="minorEastAsia"/>
          <w:b/>
          <w:color w:val="000000" w:themeColor="text1"/>
          <w:kern w:val="0"/>
          <w:sz w:val="24"/>
          <w:szCs w:val="21"/>
        </w:rPr>
      </w:pPr>
      <w:r w:rsidRPr="001E4AD1">
        <w:rPr>
          <w:rFonts w:eastAsiaTheme="minorEastAsia"/>
          <w:b/>
          <w:color w:val="000000" w:themeColor="text1"/>
          <w:kern w:val="0"/>
          <w:sz w:val="24"/>
          <w:szCs w:val="21"/>
        </w:rPr>
        <w:t>6.2</w:t>
      </w:r>
      <w:r w:rsidRPr="001E4AD1">
        <w:rPr>
          <w:rFonts w:eastAsiaTheme="minorEastAsia" w:hint="eastAsia"/>
          <w:b/>
          <w:color w:val="000000" w:themeColor="text1"/>
          <w:kern w:val="0"/>
          <w:sz w:val="24"/>
          <w:szCs w:val="21"/>
        </w:rPr>
        <w:t xml:space="preserve"> </w:t>
      </w:r>
      <w:r w:rsidRPr="001E4AD1">
        <w:rPr>
          <w:rFonts w:eastAsiaTheme="minorEastAsia" w:hint="eastAsia"/>
          <w:b/>
          <w:color w:val="000000" w:themeColor="text1"/>
          <w:kern w:val="0"/>
          <w:sz w:val="24"/>
          <w:szCs w:val="21"/>
        </w:rPr>
        <w:t>当期交易及持有基金产生的费用</w:t>
      </w:r>
    </w:p>
    <w:p w:rsidR="00C51B4E" w:rsidRPr="001E4AD1"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1E4AD1">
        <w:rPr>
          <w:rFonts w:eastAsiaTheme="minorEastAsia"/>
          <w:color w:val="000000" w:themeColor="text1"/>
          <w:sz w:val="24"/>
          <w:szCs w:val="21"/>
        </w:rPr>
        <w:t>本基金本报告期内未交易或持有基金。</w:t>
      </w:r>
    </w:p>
    <w:p w:rsidR="00C51B4E" w:rsidRPr="001E4AD1" w:rsidRDefault="00C51B4E" w:rsidP="000A2988">
      <w:pPr>
        <w:adjustRightInd w:val="0"/>
        <w:snapToGrid w:val="0"/>
        <w:spacing w:beforeLines="50" w:before="156" w:line="360" w:lineRule="auto"/>
        <w:rPr>
          <w:rFonts w:eastAsiaTheme="minorEastAsia"/>
          <w:b/>
          <w:color w:val="000000" w:themeColor="text1"/>
          <w:kern w:val="0"/>
          <w:sz w:val="24"/>
          <w:szCs w:val="21"/>
        </w:rPr>
      </w:pPr>
      <w:r w:rsidRPr="001E4AD1">
        <w:rPr>
          <w:rFonts w:eastAsiaTheme="minorEastAsia"/>
          <w:b/>
          <w:color w:val="000000" w:themeColor="text1"/>
          <w:kern w:val="0"/>
          <w:sz w:val="24"/>
          <w:szCs w:val="21"/>
        </w:rPr>
        <w:t>6.3</w:t>
      </w:r>
      <w:r w:rsidRPr="001E4AD1">
        <w:rPr>
          <w:rFonts w:eastAsiaTheme="minorEastAsia" w:hint="eastAsia"/>
          <w:b/>
          <w:color w:val="000000" w:themeColor="text1"/>
          <w:kern w:val="0"/>
          <w:sz w:val="24"/>
          <w:szCs w:val="21"/>
        </w:rPr>
        <w:t xml:space="preserve"> </w:t>
      </w:r>
      <w:r w:rsidRPr="001E4AD1">
        <w:rPr>
          <w:rFonts w:eastAsiaTheme="minorEastAsia" w:hint="eastAsia"/>
          <w:b/>
          <w:color w:val="000000" w:themeColor="text1"/>
          <w:kern w:val="0"/>
          <w:sz w:val="24"/>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1E4AD1" w:rsidTr="00F103C8">
        <w:tc>
          <w:tcPr>
            <w:tcW w:w="9036" w:type="dxa"/>
          </w:tcPr>
          <w:p w:rsidR="00C51B4E"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1E4AD1">
              <w:rPr>
                <w:rFonts w:eastAsiaTheme="minorEastAsia" w:hint="eastAsia"/>
                <w:color w:val="000000" w:themeColor="text1"/>
                <w:sz w:val="24"/>
                <w:szCs w:val="21"/>
              </w:rPr>
              <w:lastRenderedPageBreak/>
              <w:t>无。</w:t>
            </w:r>
          </w:p>
          <w:p w:rsidR="001E4AD1" w:rsidRPr="001E4AD1" w:rsidRDefault="001E4AD1" w:rsidP="00C51B4E">
            <w:pPr>
              <w:autoSpaceDE w:val="0"/>
              <w:autoSpaceDN w:val="0"/>
              <w:adjustRightInd w:val="0"/>
              <w:spacing w:line="360" w:lineRule="auto"/>
              <w:ind w:firstLineChars="200" w:firstLine="480"/>
              <w:jc w:val="left"/>
              <w:rPr>
                <w:rFonts w:eastAsiaTheme="minorEastAsia" w:hint="eastAsia"/>
                <w:color w:val="000000" w:themeColor="text1"/>
                <w:sz w:val="24"/>
                <w:szCs w:val="21"/>
              </w:rPr>
            </w:pPr>
            <w:bookmarkStart w:id="0" w:name="_GoBack"/>
            <w:bookmarkEnd w:id="0"/>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1,129,689,088.06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34,885,604.27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592,872,395.34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226,581,706.79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590,314,729.39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72,466,858.13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1,132,246,754.01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189,000,452.93</w:t>
            </w:r>
          </w:p>
        </w:tc>
      </w:tr>
    </w:tbl>
    <w:p w:rsidR="00EA4064" w:rsidRDefault="002A4E4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A4064">
        <w:tc>
          <w:tcPr>
            <w:tcW w:w="992" w:type="dxa"/>
            <w:vMerge w:val="restart"/>
          </w:tcPr>
          <w:p w:rsidR="00EA4064" w:rsidRDefault="00EA4064"/>
          <w:p w:rsidR="00EA4064" w:rsidRDefault="002A4E4A">
            <w:r>
              <w:rPr>
                <w:rFonts w:ascii="宋体" w:hAnsi="宋体" w:hint="eastAsia"/>
                <w:bCs/>
                <w:color w:val="000000"/>
                <w:kern w:val="0"/>
                <w:szCs w:val="21"/>
              </w:rPr>
              <w:t>机构</w:t>
            </w:r>
          </w:p>
        </w:tc>
        <w:tc>
          <w:tcPr>
            <w:tcW w:w="991" w:type="dxa"/>
            <w:vAlign w:val="center"/>
          </w:tcPr>
          <w:p w:rsidR="00EA4064" w:rsidRDefault="002A4E4A">
            <w:pPr>
              <w:jc w:val="center"/>
            </w:pPr>
            <w:r>
              <w:rPr>
                <w:rFonts w:ascii="宋体" w:hAnsi="宋体" w:hint="eastAsia"/>
                <w:color w:val="000000"/>
                <w:kern w:val="0"/>
                <w:szCs w:val="21"/>
              </w:rPr>
              <w:t>1</w:t>
            </w:r>
          </w:p>
        </w:tc>
        <w:tc>
          <w:tcPr>
            <w:tcW w:w="1843" w:type="dxa"/>
            <w:vAlign w:val="center"/>
          </w:tcPr>
          <w:p w:rsidR="00EA4064" w:rsidRDefault="002A4E4A">
            <w:pPr>
              <w:jc w:val="center"/>
            </w:pPr>
            <w:r>
              <w:rPr>
                <w:rFonts w:ascii="宋体" w:hAnsi="宋体" w:hint="eastAsia"/>
                <w:color w:val="000000"/>
                <w:kern w:val="0"/>
                <w:szCs w:val="21"/>
              </w:rPr>
              <w:t>2018/10/1-2018/12/31</w:t>
            </w:r>
          </w:p>
        </w:tc>
        <w:tc>
          <w:tcPr>
            <w:tcW w:w="851" w:type="dxa"/>
            <w:vAlign w:val="center"/>
          </w:tcPr>
          <w:p w:rsidR="00EA4064" w:rsidRDefault="002A4E4A">
            <w:pPr>
              <w:jc w:val="center"/>
            </w:pPr>
            <w:r>
              <w:rPr>
                <w:rFonts w:ascii="宋体" w:hAnsi="宋体" w:hint="eastAsia"/>
                <w:color w:val="000000"/>
                <w:kern w:val="0"/>
                <w:szCs w:val="21"/>
              </w:rPr>
              <w:t>434,761,675.03</w:t>
            </w:r>
          </w:p>
        </w:tc>
        <w:tc>
          <w:tcPr>
            <w:tcW w:w="850" w:type="dxa"/>
            <w:vAlign w:val="center"/>
          </w:tcPr>
          <w:p w:rsidR="00EA4064" w:rsidRDefault="002A4E4A">
            <w:pPr>
              <w:jc w:val="center"/>
            </w:pPr>
            <w:r>
              <w:rPr>
                <w:rFonts w:ascii="宋体" w:hAnsi="宋体" w:hint="eastAsia"/>
                <w:color w:val="000000"/>
                <w:kern w:val="0"/>
                <w:szCs w:val="21"/>
              </w:rPr>
              <w:t>-</w:t>
            </w:r>
          </w:p>
        </w:tc>
        <w:tc>
          <w:tcPr>
            <w:tcW w:w="1134" w:type="dxa"/>
            <w:vAlign w:val="center"/>
          </w:tcPr>
          <w:p w:rsidR="00EA4064" w:rsidRDefault="002A4E4A">
            <w:pPr>
              <w:jc w:val="center"/>
            </w:pPr>
            <w:r>
              <w:rPr>
                <w:rFonts w:ascii="宋体" w:hAnsi="宋体" w:hint="eastAsia"/>
                <w:color w:val="000000"/>
                <w:kern w:val="0"/>
                <w:szCs w:val="21"/>
              </w:rPr>
              <w:t>434,761,675.03</w:t>
            </w:r>
          </w:p>
        </w:tc>
        <w:tc>
          <w:tcPr>
            <w:tcW w:w="1419" w:type="dxa"/>
            <w:vAlign w:val="center"/>
          </w:tcPr>
          <w:p w:rsidR="00EA4064" w:rsidRDefault="002A4E4A">
            <w:pPr>
              <w:jc w:val="center"/>
            </w:pPr>
            <w:r>
              <w:rPr>
                <w:rFonts w:ascii="宋体" w:hAnsi="宋体" w:hint="eastAsia"/>
                <w:color w:val="000000"/>
                <w:kern w:val="0"/>
                <w:szCs w:val="21"/>
              </w:rPr>
              <w:t>-</w:t>
            </w:r>
          </w:p>
        </w:tc>
        <w:tc>
          <w:tcPr>
            <w:tcW w:w="1130" w:type="dxa"/>
            <w:vAlign w:val="center"/>
          </w:tcPr>
          <w:p w:rsidR="00EA4064" w:rsidRDefault="002A4E4A">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EA4064" w:rsidRDefault="002A4E4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4A" w:rsidRDefault="002A4E4A">
      <w:r>
        <w:separator/>
      </w:r>
    </w:p>
  </w:endnote>
  <w:endnote w:type="continuationSeparator" w:id="0">
    <w:p w:rsidR="002A4E4A" w:rsidRDefault="002A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E4AD1">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E4AD1">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4A" w:rsidRDefault="002A4E4A">
      <w:r>
        <w:separator/>
      </w:r>
    </w:p>
  </w:footnote>
  <w:footnote w:type="continuationSeparator" w:id="0">
    <w:p w:rsidR="002A4E4A" w:rsidRDefault="002A4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4AD1"/>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4E4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4064"/>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4A8CC5-6046-4998-B801-83D15F76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6BCD-7B20-49E6-A12A-77C4F3C5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13</Pages>
  <Words>1131</Words>
  <Characters>6449</Characters>
  <Application>Microsoft Office Word</Application>
  <DocSecurity>0</DocSecurity>
  <Lines>53</Lines>
  <Paragraphs>15</Paragraphs>
  <ScaleCrop>false</ScaleCrop>
  <Company>TRT. Ltd. Co.</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378</cp:revision>
  <cp:lastPrinted>2007-07-19T00:46:00Z</cp:lastPrinted>
  <dcterms:created xsi:type="dcterms:W3CDTF">2014-01-17T06:19:00Z</dcterms:created>
  <dcterms:modified xsi:type="dcterms:W3CDTF">2019-01-17T02:53:00Z</dcterms:modified>
</cp:coreProperties>
</file>