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36,508,918.04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535F77">
            <w:pPr>
              <w:spacing w:before="29" w:line="288" w:lineRule="auto"/>
              <w:jc w:val="left"/>
              <w:rPr>
                <w:sz w:val="24"/>
              </w:rPr>
            </w:pPr>
            <w:r w:rsidRPr="007F52FA">
              <w:rPr>
                <w:color w:val="000000" w:themeColor="text1"/>
                <w:sz w:val="24"/>
              </w:rPr>
              <w:t>519730</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34,285,608.10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2,223,309.94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639,136.12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37,091.03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670,129.26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38,665.53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47,359,614.77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3,001,824.33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1.350</w:t>
            </w:r>
          </w:p>
        </w:tc>
      </w:tr>
    </w:tbl>
    <w:p w:rsidR="00B006D5" w:rsidRDefault="00535F7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06D5">
        <w:trPr>
          <w:jc w:val="center"/>
        </w:trPr>
        <w:tc>
          <w:tcPr>
            <w:tcW w:w="1266" w:type="dxa"/>
            <w:vAlign w:val="center"/>
          </w:tcPr>
          <w:p w:rsidR="00B006D5" w:rsidRDefault="00535F77">
            <w:pPr>
              <w:jc w:val="left"/>
            </w:pPr>
            <w:r>
              <w:rPr>
                <w:color w:val="000000"/>
                <w:sz w:val="24"/>
              </w:rPr>
              <w:t>过去三个月</w:t>
            </w:r>
          </w:p>
        </w:tc>
        <w:tc>
          <w:tcPr>
            <w:tcW w:w="1267" w:type="dxa"/>
            <w:vAlign w:val="center"/>
          </w:tcPr>
          <w:p w:rsidR="00B006D5" w:rsidRDefault="00535F77">
            <w:pPr>
              <w:jc w:val="center"/>
            </w:pPr>
            <w:r>
              <w:rPr>
                <w:color w:val="000000"/>
                <w:sz w:val="24"/>
              </w:rPr>
              <w:t>1.40%</w:t>
            </w:r>
          </w:p>
        </w:tc>
        <w:tc>
          <w:tcPr>
            <w:tcW w:w="1267" w:type="dxa"/>
            <w:vAlign w:val="center"/>
          </w:tcPr>
          <w:p w:rsidR="00B006D5" w:rsidRDefault="00535F77">
            <w:pPr>
              <w:jc w:val="center"/>
            </w:pPr>
            <w:r>
              <w:rPr>
                <w:color w:val="000000"/>
                <w:sz w:val="24"/>
              </w:rPr>
              <w:t>0.09%</w:t>
            </w:r>
          </w:p>
        </w:tc>
        <w:tc>
          <w:tcPr>
            <w:tcW w:w="1267" w:type="dxa"/>
            <w:vAlign w:val="center"/>
          </w:tcPr>
          <w:p w:rsidR="00B006D5" w:rsidRDefault="00535F77">
            <w:pPr>
              <w:jc w:val="center"/>
            </w:pPr>
            <w:r>
              <w:rPr>
                <w:color w:val="000000"/>
                <w:sz w:val="24"/>
              </w:rPr>
              <w:t>0.52%</w:t>
            </w:r>
          </w:p>
        </w:tc>
        <w:tc>
          <w:tcPr>
            <w:tcW w:w="1267" w:type="dxa"/>
            <w:vAlign w:val="center"/>
          </w:tcPr>
          <w:p w:rsidR="00B006D5" w:rsidRDefault="00535F77">
            <w:pPr>
              <w:jc w:val="center"/>
            </w:pPr>
            <w:r>
              <w:rPr>
                <w:color w:val="000000"/>
                <w:sz w:val="24"/>
              </w:rPr>
              <w:t>0.16%</w:t>
            </w:r>
          </w:p>
        </w:tc>
        <w:tc>
          <w:tcPr>
            <w:tcW w:w="1267" w:type="dxa"/>
            <w:vAlign w:val="center"/>
          </w:tcPr>
          <w:p w:rsidR="00B006D5" w:rsidRDefault="00535F77">
            <w:pPr>
              <w:jc w:val="center"/>
            </w:pPr>
            <w:r>
              <w:rPr>
                <w:color w:val="000000"/>
                <w:sz w:val="24"/>
              </w:rPr>
              <w:t>0.88%</w:t>
            </w:r>
          </w:p>
        </w:tc>
        <w:tc>
          <w:tcPr>
            <w:tcW w:w="1267" w:type="dxa"/>
            <w:vAlign w:val="center"/>
          </w:tcPr>
          <w:p w:rsidR="00B006D5" w:rsidRDefault="00535F77">
            <w:pPr>
              <w:jc w:val="center"/>
            </w:pPr>
            <w:r>
              <w:rPr>
                <w:color w:val="000000"/>
                <w:sz w:val="24"/>
              </w:rPr>
              <w:t>-0.07%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06D5">
        <w:trPr>
          <w:jc w:val="center"/>
        </w:trPr>
        <w:tc>
          <w:tcPr>
            <w:tcW w:w="1266" w:type="dxa"/>
            <w:vAlign w:val="center"/>
          </w:tcPr>
          <w:p w:rsidR="00B006D5" w:rsidRDefault="00535F77">
            <w:pPr>
              <w:jc w:val="left"/>
            </w:pPr>
            <w:r>
              <w:rPr>
                <w:color w:val="000000"/>
                <w:sz w:val="24"/>
              </w:rPr>
              <w:t>过去三个月</w:t>
            </w:r>
          </w:p>
        </w:tc>
        <w:tc>
          <w:tcPr>
            <w:tcW w:w="1267" w:type="dxa"/>
            <w:vAlign w:val="center"/>
          </w:tcPr>
          <w:p w:rsidR="00B006D5" w:rsidRDefault="00535F77">
            <w:pPr>
              <w:jc w:val="center"/>
            </w:pPr>
            <w:r>
              <w:rPr>
                <w:color w:val="000000"/>
                <w:sz w:val="24"/>
              </w:rPr>
              <w:t>1.35%</w:t>
            </w:r>
          </w:p>
        </w:tc>
        <w:tc>
          <w:tcPr>
            <w:tcW w:w="1267" w:type="dxa"/>
            <w:vAlign w:val="center"/>
          </w:tcPr>
          <w:p w:rsidR="00B006D5" w:rsidRDefault="00535F77">
            <w:pPr>
              <w:jc w:val="center"/>
            </w:pPr>
            <w:r>
              <w:rPr>
                <w:color w:val="000000"/>
                <w:sz w:val="24"/>
              </w:rPr>
              <w:t>0.10%</w:t>
            </w:r>
          </w:p>
        </w:tc>
        <w:tc>
          <w:tcPr>
            <w:tcW w:w="1267" w:type="dxa"/>
            <w:vAlign w:val="center"/>
          </w:tcPr>
          <w:p w:rsidR="00B006D5" w:rsidRDefault="00535F77">
            <w:pPr>
              <w:jc w:val="center"/>
            </w:pPr>
            <w:r>
              <w:rPr>
                <w:color w:val="000000"/>
                <w:sz w:val="24"/>
              </w:rPr>
              <w:t>0.52%</w:t>
            </w:r>
          </w:p>
        </w:tc>
        <w:tc>
          <w:tcPr>
            <w:tcW w:w="1267" w:type="dxa"/>
            <w:vAlign w:val="center"/>
          </w:tcPr>
          <w:p w:rsidR="00B006D5" w:rsidRDefault="00535F77">
            <w:pPr>
              <w:jc w:val="center"/>
            </w:pPr>
            <w:r>
              <w:rPr>
                <w:color w:val="000000"/>
                <w:sz w:val="24"/>
              </w:rPr>
              <w:t>0.16%</w:t>
            </w:r>
          </w:p>
        </w:tc>
        <w:tc>
          <w:tcPr>
            <w:tcW w:w="1267" w:type="dxa"/>
            <w:vAlign w:val="center"/>
          </w:tcPr>
          <w:p w:rsidR="00B006D5" w:rsidRDefault="00535F77">
            <w:pPr>
              <w:jc w:val="center"/>
            </w:pPr>
            <w:r>
              <w:rPr>
                <w:color w:val="000000"/>
                <w:sz w:val="24"/>
              </w:rPr>
              <w:t>0.83%</w:t>
            </w:r>
          </w:p>
        </w:tc>
        <w:tc>
          <w:tcPr>
            <w:tcW w:w="1267" w:type="dxa"/>
            <w:vAlign w:val="center"/>
          </w:tcPr>
          <w:p w:rsidR="00B006D5" w:rsidRDefault="00535F77">
            <w:pPr>
              <w:jc w:val="center"/>
            </w:pPr>
            <w:r>
              <w:rPr>
                <w:color w:val="000000"/>
                <w:sz w:val="24"/>
              </w:rPr>
              <w:t>-0.06%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006D5">
        <w:trPr>
          <w:jc w:val="center"/>
        </w:trPr>
        <w:tc>
          <w:tcPr>
            <w:tcW w:w="946" w:type="dxa"/>
            <w:vAlign w:val="center"/>
          </w:tcPr>
          <w:p w:rsidR="00B006D5" w:rsidRDefault="00535F77">
            <w:pPr>
              <w:jc w:val="center"/>
            </w:pPr>
            <w:r>
              <w:rPr>
                <w:color w:val="000000"/>
                <w:sz w:val="24"/>
              </w:rPr>
              <w:t>凌超</w:t>
            </w:r>
          </w:p>
        </w:tc>
        <w:tc>
          <w:tcPr>
            <w:tcW w:w="924" w:type="dxa"/>
            <w:vAlign w:val="center"/>
          </w:tcPr>
          <w:p w:rsidR="00B006D5" w:rsidRDefault="00535F77">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B006D5" w:rsidRDefault="00535F77">
            <w:pPr>
              <w:jc w:val="center"/>
            </w:pPr>
            <w:r>
              <w:rPr>
                <w:color w:val="000000"/>
                <w:sz w:val="24"/>
              </w:rPr>
              <w:t>2018-02-13</w:t>
            </w:r>
          </w:p>
        </w:tc>
        <w:tc>
          <w:tcPr>
            <w:tcW w:w="1300" w:type="dxa"/>
            <w:vAlign w:val="center"/>
          </w:tcPr>
          <w:p w:rsidR="00B006D5" w:rsidRDefault="00535F77">
            <w:pPr>
              <w:jc w:val="center"/>
            </w:pPr>
            <w:r>
              <w:rPr>
                <w:color w:val="000000"/>
                <w:sz w:val="24"/>
              </w:rPr>
              <w:t>-</w:t>
            </w:r>
          </w:p>
        </w:tc>
        <w:tc>
          <w:tcPr>
            <w:tcW w:w="1245" w:type="dxa"/>
            <w:vAlign w:val="center"/>
          </w:tcPr>
          <w:p w:rsidR="00B006D5" w:rsidRDefault="00535F77">
            <w:pPr>
              <w:jc w:val="center"/>
            </w:pPr>
            <w:r>
              <w:rPr>
                <w:color w:val="000000"/>
                <w:sz w:val="24"/>
              </w:rPr>
              <w:t>12</w:t>
            </w:r>
            <w:r>
              <w:rPr>
                <w:color w:val="000000"/>
                <w:sz w:val="24"/>
              </w:rPr>
              <w:t>年</w:t>
            </w:r>
          </w:p>
        </w:tc>
        <w:tc>
          <w:tcPr>
            <w:tcW w:w="3251" w:type="dxa"/>
            <w:vAlign w:val="center"/>
          </w:tcPr>
          <w:p w:rsidR="00B006D5" w:rsidRDefault="00535F77">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B006D5">
        <w:trPr>
          <w:jc w:val="center"/>
        </w:trPr>
        <w:tc>
          <w:tcPr>
            <w:tcW w:w="946" w:type="dxa"/>
            <w:vAlign w:val="center"/>
          </w:tcPr>
          <w:p w:rsidR="00B006D5" w:rsidRDefault="00535F77">
            <w:pPr>
              <w:jc w:val="center"/>
            </w:pPr>
            <w:r>
              <w:rPr>
                <w:color w:val="000000"/>
                <w:sz w:val="24"/>
              </w:rPr>
              <w:t>于海颖</w:t>
            </w:r>
          </w:p>
        </w:tc>
        <w:tc>
          <w:tcPr>
            <w:tcW w:w="924" w:type="dxa"/>
            <w:vAlign w:val="center"/>
          </w:tcPr>
          <w:p w:rsidR="00B006D5" w:rsidRDefault="00535F77">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02" w:type="dxa"/>
            <w:vAlign w:val="center"/>
          </w:tcPr>
          <w:p w:rsidR="00B006D5" w:rsidRDefault="00535F77">
            <w:pPr>
              <w:jc w:val="center"/>
            </w:pPr>
            <w:r>
              <w:rPr>
                <w:color w:val="000000"/>
                <w:sz w:val="24"/>
              </w:rPr>
              <w:t>2017-06-10</w:t>
            </w:r>
          </w:p>
        </w:tc>
        <w:tc>
          <w:tcPr>
            <w:tcW w:w="1300" w:type="dxa"/>
            <w:vAlign w:val="center"/>
          </w:tcPr>
          <w:p w:rsidR="00B006D5" w:rsidRDefault="00535F77">
            <w:pPr>
              <w:jc w:val="center"/>
            </w:pPr>
            <w:r>
              <w:rPr>
                <w:color w:val="000000"/>
                <w:sz w:val="24"/>
              </w:rPr>
              <w:t>-</w:t>
            </w:r>
          </w:p>
        </w:tc>
        <w:tc>
          <w:tcPr>
            <w:tcW w:w="1245" w:type="dxa"/>
            <w:vAlign w:val="center"/>
          </w:tcPr>
          <w:p w:rsidR="00B006D5" w:rsidRDefault="00535F77">
            <w:pPr>
              <w:jc w:val="center"/>
            </w:pPr>
            <w:r>
              <w:rPr>
                <w:color w:val="000000"/>
                <w:sz w:val="24"/>
              </w:rPr>
              <w:t>12</w:t>
            </w:r>
            <w:r>
              <w:rPr>
                <w:color w:val="000000"/>
                <w:sz w:val="24"/>
              </w:rPr>
              <w:t>年</w:t>
            </w:r>
          </w:p>
        </w:tc>
        <w:tc>
          <w:tcPr>
            <w:tcW w:w="3251" w:type="dxa"/>
            <w:vAlign w:val="center"/>
          </w:tcPr>
          <w:p w:rsidR="00B006D5" w:rsidRDefault="00535F7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w:t>
            </w:r>
            <w:r>
              <w:rPr>
                <w:color w:val="000000"/>
                <w:sz w:val="24"/>
              </w:rPr>
              <w:t>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006D5" w:rsidRDefault="00535F7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006D5" w:rsidRDefault="00535F7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006D5" w:rsidRDefault="00535F7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006D5" w:rsidRDefault="00535F77">
      <w:pPr>
        <w:spacing w:before="29" w:line="288" w:lineRule="auto"/>
        <w:ind w:firstLineChars="200" w:firstLine="480"/>
        <w:rPr>
          <w:color w:val="000000"/>
          <w:sz w:val="24"/>
        </w:rPr>
      </w:pPr>
      <w:r>
        <w:rPr>
          <w:color w:val="000000"/>
          <w:sz w:val="24"/>
        </w:rPr>
        <w:t>2018</w:t>
      </w:r>
      <w:r>
        <w:rPr>
          <w:color w:val="000000"/>
          <w:sz w:val="24"/>
        </w:rPr>
        <w:t>年四季度利率债收益率下行，中长端下行幅度更大一些，国开收益率曲线平坦化下移。信用债收益率除短端微幅上行外，其余期限基本呈现下行态势，信用利差普遍走阔。四季度，经济基本面延续走低。消费数据趋弱，并出现分层，中低端消费品增速下滑更为明显。投资增速处于低位，地产投资增速逐步放缓，基建呈现个位数增长，制造业小幅反弹但持续性存疑。金融数据方面，社融数据中委托信托依然负增长，未见起色。通胀方面，油价十月以来的下行也令此前通胀上行的担心大幅缓解。债券市场方面，四季度伊始，中美利差倒挂一度令市场担忧，长债收益率震荡</w:t>
      </w:r>
      <w:r>
        <w:rPr>
          <w:color w:val="000000"/>
          <w:sz w:val="24"/>
        </w:rPr>
        <w:t>缓步下行。随着十月金融数据的走弱，十年活跃国开收益率突破</w:t>
      </w:r>
      <w:r>
        <w:rPr>
          <w:color w:val="000000"/>
          <w:sz w:val="24"/>
        </w:rPr>
        <w:t>4.00%</w:t>
      </w:r>
      <w:r>
        <w:rPr>
          <w:color w:val="000000"/>
          <w:sz w:val="24"/>
        </w:rPr>
        <w:t>关口，并在随后一周内下行至</w:t>
      </w:r>
      <w:r>
        <w:rPr>
          <w:color w:val="000000"/>
          <w:sz w:val="24"/>
        </w:rPr>
        <w:t>3.85%</w:t>
      </w:r>
      <w:r>
        <w:rPr>
          <w:color w:val="000000"/>
          <w:sz w:val="24"/>
        </w:rPr>
        <w:t>。十二月初，情绪面向好，长债收益率进一步下行至</w:t>
      </w:r>
      <w:r>
        <w:rPr>
          <w:color w:val="000000"/>
          <w:sz w:val="24"/>
        </w:rPr>
        <w:t>3.65%</w:t>
      </w:r>
      <w:r>
        <w:rPr>
          <w:color w:val="000000"/>
          <w:sz w:val="24"/>
        </w:rPr>
        <w:t>附近，中下旬受地方债发行等政策预期影响呈现横盘震荡。</w:t>
      </w:r>
    </w:p>
    <w:p w:rsidR="00B006D5" w:rsidRDefault="00535F77">
      <w:pPr>
        <w:spacing w:before="29" w:line="288" w:lineRule="auto"/>
        <w:ind w:firstLineChars="200" w:firstLine="480"/>
        <w:rPr>
          <w:color w:val="000000"/>
          <w:sz w:val="24"/>
        </w:rPr>
      </w:pPr>
      <w:r>
        <w:rPr>
          <w:color w:val="000000"/>
          <w:sz w:val="24"/>
        </w:rPr>
        <w:t>四季度，基本面和风险偏好尚未出现根本性改善，权益市场表现依旧疲弱，上证综指单季度下跌</w:t>
      </w:r>
      <w:r>
        <w:rPr>
          <w:color w:val="000000"/>
          <w:sz w:val="24"/>
        </w:rPr>
        <w:t>11.61%</w:t>
      </w:r>
      <w:r>
        <w:rPr>
          <w:color w:val="000000"/>
          <w:sz w:val="24"/>
        </w:rPr>
        <w:t>，创业板综指季度跌幅</w:t>
      </w:r>
      <w:r>
        <w:rPr>
          <w:color w:val="000000"/>
          <w:sz w:val="24"/>
        </w:rPr>
        <w:t>11.30%</w:t>
      </w:r>
      <w:r>
        <w:rPr>
          <w:color w:val="000000"/>
          <w:sz w:val="24"/>
        </w:rPr>
        <w:t>。行业层面，受经济基本面下行影响，消费及强周期板块走势疲弱，农业、券商、通信景气度相对较好。</w:t>
      </w:r>
    </w:p>
    <w:p w:rsidR="00B006D5" w:rsidRDefault="00535F77">
      <w:pPr>
        <w:spacing w:before="29" w:line="288" w:lineRule="auto"/>
        <w:ind w:firstLineChars="200" w:firstLine="480"/>
        <w:rPr>
          <w:color w:val="000000"/>
          <w:sz w:val="24"/>
        </w:rPr>
      </w:pPr>
      <w:r>
        <w:rPr>
          <w:color w:val="000000"/>
          <w:sz w:val="24"/>
        </w:rPr>
        <w:t>本报告期内，组合债券部分以利率债波段操作为主。十月初拉长组合久期，随着市场收益</w:t>
      </w:r>
      <w:r>
        <w:rPr>
          <w:color w:val="000000"/>
          <w:sz w:val="24"/>
        </w:rPr>
        <w:t>率的不断下行，收益率曲线进一步平坦化，十二月初开始逐步降低组合久期，目前债券部分仓位以中短久期利率债为主。权益方面，考虑到市场主线依然不明朗，组合维持较低仓位，择机参与一些超跌个股阶段性机会。</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经济基本面下行基本取得市场共识，需关注逆周期调控政策对于经济基本面的影响，以判断利率债收益率变动的拐点何时出现。为此，我们将密切跟踪宏观政策的出台及执行情况，以及信贷及社融总额增速等重要宏观指标的变化。站在目前的时点上，鉴于消费、投资以及出口等数据一季度均难以出现明显提升，消费及出口更可能趋势回落，因此我们对于债券市场的看法依然维持谨慎乐观。未来组合操作方面，组合债券部分预计依然维持波段操作，以期赚取超额收益。权益方面等待机会，逐步布局一些优质成长个股。</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44,522,897.10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44,522,897.10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704,111.17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1,566,103.45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50,993,111.72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7,969,821.00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15.83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36,052,876.10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36,052,876.10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500,200.00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0.99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44,522,897.10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006D5">
        <w:trPr>
          <w:jc w:val="center"/>
        </w:trPr>
        <w:tc>
          <w:tcPr>
            <w:tcW w:w="1075" w:type="dxa"/>
            <w:vAlign w:val="center"/>
          </w:tcPr>
          <w:p w:rsidR="00B006D5" w:rsidRDefault="00535F77">
            <w:pPr>
              <w:jc w:val="center"/>
            </w:pPr>
            <w:r>
              <w:rPr>
                <w:color w:val="000000"/>
                <w:sz w:val="24"/>
              </w:rPr>
              <w:t>1</w:t>
            </w:r>
          </w:p>
        </w:tc>
        <w:tc>
          <w:tcPr>
            <w:tcW w:w="1533" w:type="dxa"/>
            <w:vAlign w:val="center"/>
          </w:tcPr>
          <w:p w:rsidR="00B006D5" w:rsidRDefault="00535F77">
            <w:pPr>
              <w:jc w:val="center"/>
            </w:pPr>
            <w:r>
              <w:rPr>
                <w:color w:val="000000"/>
                <w:sz w:val="24"/>
              </w:rPr>
              <w:t>108602</w:t>
            </w:r>
          </w:p>
        </w:tc>
        <w:tc>
          <w:tcPr>
            <w:tcW w:w="1533" w:type="dxa"/>
            <w:vAlign w:val="center"/>
          </w:tcPr>
          <w:p w:rsidR="00B006D5" w:rsidRDefault="00535F77">
            <w:pPr>
              <w:jc w:val="center"/>
            </w:pPr>
            <w:r>
              <w:rPr>
                <w:color w:val="000000"/>
                <w:sz w:val="24"/>
              </w:rPr>
              <w:t>国开</w:t>
            </w:r>
            <w:r>
              <w:rPr>
                <w:color w:val="000000"/>
                <w:sz w:val="24"/>
              </w:rPr>
              <w:t>1704</w:t>
            </w:r>
          </w:p>
        </w:tc>
        <w:tc>
          <w:tcPr>
            <w:tcW w:w="1394" w:type="dxa"/>
            <w:vAlign w:val="center"/>
          </w:tcPr>
          <w:p w:rsidR="00B006D5" w:rsidRDefault="00535F77">
            <w:pPr>
              <w:jc w:val="right"/>
            </w:pPr>
            <w:r>
              <w:rPr>
                <w:color w:val="000000"/>
                <w:sz w:val="24"/>
              </w:rPr>
              <w:t>277,210</w:t>
            </w:r>
          </w:p>
        </w:tc>
        <w:tc>
          <w:tcPr>
            <w:tcW w:w="1944" w:type="dxa"/>
            <w:vAlign w:val="center"/>
          </w:tcPr>
          <w:p w:rsidR="00B006D5" w:rsidRDefault="00535F77">
            <w:pPr>
              <w:jc w:val="right"/>
            </w:pPr>
            <w:r>
              <w:rPr>
                <w:color w:val="000000"/>
                <w:sz w:val="24"/>
              </w:rPr>
              <w:t>27,989,893.70</w:t>
            </w:r>
          </w:p>
        </w:tc>
        <w:tc>
          <w:tcPr>
            <w:tcW w:w="1389" w:type="dxa"/>
            <w:vAlign w:val="center"/>
          </w:tcPr>
          <w:p w:rsidR="00B006D5" w:rsidRDefault="00535F77">
            <w:pPr>
              <w:jc w:val="right"/>
            </w:pPr>
            <w:r>
              <w:rPr>
                <w:color w:val="000000"/>
                <w:sz w:val="24"/>
              </w:rPr>
              <w:t>55.58</w:t>
            </w:r>
          </w:p>
        </w:tc>
      </w:tr>
      <w:tr w:rsidR="00B006D5">
        <w:trPr>
          <w:jc w:val="center"/>
        </w:trPr>
        <w:tc>
          <w:tcPr>
            <w:tcW w:w="1075" w:type="dxa"/>
            <w:vAlign w:val="center"/>
          </w:tcPr>
          <w:p w:rsidR="00B006D5" w:rsidRDefault="00535F77">
            <w:pPr>
              <w:jc w:val="center"/>
            </w:pPr>
            <w:r>
              <w:rPr>
                <w:color w:val="000000"/>
                <w:sz w:val="24"/>
              </w:rPr>
              <w:t>2</w:t>
            </w:r>
          </w:p>
        </w:tc>
        <w:tc>
          <w:tcPr>
            <w:tcW w:w="1533" w:type="dxa"/>
            <w:vAlign w:val="center"/>
          </w:tcPr>
          <w:p w:rsidR="00B006D5" w:rsidRDefault="00535F77">
            <w:pPr>
              <w:jc w:val="center"/>
            </w:pPr>
            <w:r>
              <w:rPr>
                <w:color w:val="000000"/>
                <w:sz w:val="24"/>
              </w:rPr>
              <w:t>010303</w:t>
            </w:r>
          </w:p>
        </w:tc>
        <w:tc>
          <w:tcPr>
            <w:tcW w:w="1533" w:type="dxa"/>
            <w:vAlign w:val="center"/>
          </w:tcPr>
          <w:p w:rsidR="00B006D5" w:rsidRDefault="00535F77">
            <w:pPr>
              <w:jc w:val="center"/>
            </w:pPr>
            <w:r>
              <w:rPr>
                <w:color w:val="000000"/>
                <w:sz w:val="24"/>
              </w:rPr>
              <w:t>03</w:t>
            </w:r>
            <w:r>
              <w:rPr>
                <w:color w:val="000000"/>
                <w:sz w:val="24"/>
              </w:rPr>
              <w:t>国债</w:t>
            </w:r>
            <w:r>
              <w:rPr>
                <w:color w:val="000000"/>
                <w:sz w:val="24"/>
              </w:rPr>
              <w:t>⑶</w:t>
            </w:r>
          </w:p>
        </w:tc>
        <w:tc>
          <w:tcPr>
            <w:tcW w:w="1394" w:type="dxa"/>
            <w:vAlign w:val="center"/>
          </w:tcPr>
          <w:p w:rsidR="00B006D5" w:rsidRDefault="00535F77">
            <w:pPr>
              <w:jc w:val="right"/>
            </w:pPr>
            <w:r>
              <w:rPr>
                <w:color w:val="000000"/>
                <w:sz w:val="24"/>
              </w:rPr>
              <w:t>79,050</w:t>
            </w:r>
          </w:p>
        </w:tc>
        <w:tc>
          <w:tcPr>
            <w:tcW w:w="1944" w:type="dxa"/>
            <w:vAlign w:val="center"/>
          </w:tcPr>
          <w:p w:rsidR="00B006D5" w:rsidRDefault="00535F77">
            <w:pPr>
              <w:jc w:val="right"/>
            </w:pPr>
            <w:r>
              <w:rPr>
                <w:color w:val="000000"/>
                <w:sz w:val="24"/>
              </w:rPr>
              <w:t>7,969,821.00</w:t>
            </w:r>
          </w:p>
        </w:tc>
        <w:tc>
          <w:tcPr>
            <w:tcW w:w="1389" w:type="dxa"/>
            <w:vAlign w:val="center"/>
          </w:tcPr>
          <w:p w:rsidR="00B006D5" w:rsidRDefault="00535F77">
            <w:pPr>
              <w:jc w:val="right"/>
            </w:pPr>
            <w:r>
              <w:rPr>
                <w:color w:val="000000"/>
                <w:sz w:val="24"/>
              </w:rPr>
              <w:t>15.83</w:t>
            </w:r>
          </w:p>
        </w:tc>
      </w:tr>
      <w:tr w:rsidR="00B006D5">
        <w:trPr>
          <w:jc w:val="center"/>
        </w:trPr>
        <w:tc>
          <w:tcPr>
            <w:tcW w:w="1075" w:type="dxa"/>
            <w:vAlign w:val="center"/>
          </w:tcPr>
          <w:p w:rsidR="00B006D5" w:rsidRDefault="00535F77">
            <w:pPr>
              <w:jc w:val="center"/>
            </w:pPr>
            <w:r>
              <w:rPr>
                <w:color w:val="000000"/>
                <w:sz w:val="24"/>
              </w:rPr>
              <w:t>3</w:t>
            </w:r>
          </w:p>
        </w:tc>
        <w:tc>
          <w:tcPr>
            <w:tcW w:w="1533" w:type="dxa"/>
            <w:vAlign w:val="center"/>
          </w:tcPr>
          <w:p w:rsidR="00B006D5" w:rsidRDefault="00535F77">
            <w:pPr>
              <w:jc w:val="center"/>
            </w:pPr>
            <w:r>
              <w:rPr>
                <w:color w:val="000000"/>
                <w:sz w:val="24"/>
              </w:rPr>
              <w:t>018006</w:t>
            </w:r>
          </w:p>
        </w:tc>
        <w:tc>
          <w:tcPr>
            <w:tcW w:w="1533" w:type="dxa"/>
            <w:vAlign w:val="center"/>
          </w:tcPr>
          <w:p w:rsidR="00B006D5" w:rsidRDefault="00535F77">
            <w:pPr>
              <w:jc w:val="center"/>
            </w:pPr>
            <w:r>
              <w:rPr>
                <w:color w:val="000000"/>
                <w:sz w:val="24"/>
              </w:rPr>
              <w:t>国开</w:t>
            </w:r>
            <w:r>
              <w:rPr>
                <w:color w:val="000000"/>
                <w:sz w:val="24"/>
              </w:rPr>
              <w:t>1702</w:t>
            </w:r>
          </w:p>
        </w:tc>
        <w:tc>
          <w:tcPr>
            <w:tcW w:w="1394" w:type="dxa"/>
            <w:vAlign w:val="center"/>
          </w:tcPr>
          <w:p w:rsidR="00B006D5" w:rsidRDefault="00535F77">
            <w:pPr>
              <w:jc w:val="right"/>
            </w:pPr>
            <w:r>
              <w:rPr>
                <w:color w:val="000000"/>
                <w:sz w:val="24"/>
              </w:rPr>
              <w:t>53,040</w:t>
            </w:r>
          </w:p>
        </w:tc>
        <w:tc>
          <w:tcPr>
            <w:tcW w:w="1944" w:type="dxa"/>
            <w:vAlign w:val="center"/>
          </w:tcPr>
          <w:p w:rsidR="00B006D5" w:rsidRDefault="00535F77">
            <w:pPr>
              <w:jc w:val="right"/>
            </w:pPr>
            <w:r>
              <w:rPr>
                <w:color w:val="000000"/>
                <w:sz w:val="24"/>
              </w:rPr>
              <w:t>5,415,384.00</w:t>
            </w:r>
          </w:p>
        </w:tc>
        <w:tc>
          <w:tcPr>
            <w:tcW w:w="1389" w:type="dxa"/>
            <w:vAlign w:val="center"/>
          </w:tcPr>
          <w:p w:rsidR="00B006D5" w:rsidRDefault="00535F77">
            <w:pPr>
              <w:jc w:val="right"/>
            </w:pPr>
            <w:r>
              <w:rPr>
                <w:color w:val="000000"/>
                <w:sz w:val="24"/>
              </w:rPr>
              <w:t>10.75</w:t>
            </w:r>
          </w:p>
        </w:tc>
      </w:tr>
      <w:tr w:rsidR="00B006D5">
        <w:trPr>
          <w:jc w:val="center"/>
        </w:trPr>
        <w:tc>
          <w:tcPr>
            <w:tcW w:w="1075" w:type="dxa"/>
            <w:vAlign w:val="center"/>
          </w:tcPr>
          <w:p w:rsidR="00B006D5" w:rsidRDefault="00535F77">
            <w:pPr>
              <w:jc w:val="center"/>
            </w:pPr>
            <w:r>
              <w:rPr>
                <w:color w:val="000000"/>
                <w:sz w:val="24"/>
              </w:rPr>
              <w:t>4</w:t>
            </w:r>
          </w:p>
        </w:tc>
        <w:tc>
          <w:tcPr>
            <w:tcW w:w="1533" w:type="dxa"/>
            <w:vAlign w:val="center"/>
          </w:tcPr>
          <w:p w:rsidR="00B006D5" w:rsidRDefault="00535F77">
            <w:pPr>
              <w:jc w:val="center"/>
            </w:pPr>
            <w:r>
              <w:rPr>
                <w:color w:val="000000"/>
                <w:sz w:val="24"/>
              </w:rPr>
              <w:t>018005</w:t>
            </w:r>
          </w:p>
        </w:tc>
        <w:tc>
          <w:tcPr>
            <w:tcW w:w="1533" w:type="dxa"/>
            <w:vAlign w:val="center"/>
          </w:tcPr>
          <w:p w:rsidR="00B006D5" w:rsidRDefault="00535F77">
            <w:pPr>
              <w:jc w:val="center"/>
            </w:pPr>
            <w:r>
              <w:rPr>
                <w:color w:val="000000"/>
                <w:sz w:val="24"/>
              </w:rPr>
              <w:t>国开</w:t>
            </w:r>
            <w:r>
              <w:rPr>
                <w:color w:val="000000"/>
                <w:sz w:val="24"/>
              </w:rPr>
              <w:t>1701</w:t>
            </w:r>
          </w:p>
        </w:tc>
        <w:tc>
          <w:tcPr>
            <w:tcW w:w="1394" w:type="dxa"/>
            <w:vAlign w:val="center"/>
          </w:tcPr>
          <w:p w:rsidR="00B006D5" w:rsidRDefault="00535F77">
            <w:pPr>
              <w:jc w:val="right"/>
            </w:pPr>
            <w:r>
              <w:rPr>
                <w:color w:val="000000"/>
                <w:sz w:val="24"/>
              </w:rPr>
              <w:t>26,360</w:t>
            </w:r>
          </w:p>
        </w:tc>
        <w:tc>
          <w:tcPr>
            <w:tcW w:w="1944" w:type="dxa"/>
            <w:vAlign w:val="center"/>
          </w:tcPr>
          <w:p w:rsidR="00B006D5" w:rsidRDefault="00535F77">
            <w:pPr>
              <w:jc w:val="right"/>
            </w:pPr>
            <w:r>
              <w:rPr>
                <w:color w:val="000000"/>
                <w:sz w:val="24"/>
              </w:rPr>
              <w:t>2,647,598.40</w:t>
            </w:r>
          </w:p>
        </w:tc>
        <w:tc>
          <w:tcPr>
            <w:tcW w:w="1389" w:type="dxa"/>
            <w:vAlign w:val="center"/>
          </w:tcPr>
          <w:p w:rsidR="00B006D5" w:rsidRDefault="00535F77">
            <w:pPr>
              <w:jc w:val="right"/>
            </w:pPr>
            <w:r>
              <w:rPr>
                <w:color w:val="000000"/>
                <w:sz w:val="24"/>
              </w:rPr>
              <w:t>5.26</w:t>
            </w:r>
          </w:p>
        </w:tc>
      </w:tr>
      <w:tr w:rsidR="00B006D5">
        <w:trPr>
          <w:jc w:val="center"/>
        </w:trPr>
        <w:tc>
          <w:tcPr>
            <w:tcW w:w="1075" w:type="dxa"/>
            <w:vAlign w:val="center"/>
          </w:tcPr>
          <w:p w:rsidR="00B006D5" w:rsidRDefault="00535F77">
            <w:pPr>
              <w:jc w:val="center"/>
            </w:pPr>
            <w:r>
              <w:rPr>
                <w:color w:val="000000"/>
                <w:sz w:val="24"/>
              </w:rPr>
              <w:t>5</w:t>
            </w:r>
          </w:p>
        </w:tc>
        <w:tc>
          <w:tcPr>
            <w:tcW w:w="1533" w:type="dxa"/>
            <w:vAlign w:val="center"/>
          </w:tcPr>
          <w:p w:rsidR="00B006D5" w:rsidRDefault="00535F77">
            <w:pPr>
              <w:jc w:val="center"/>
            </w:pPr>
            <w:r>
              <w:rPr>
                <w:color w:val="000000"/>
                <w:sz w:val="24"/>
              </w:rPr>
              <w:t>120001</w:t>
            </w:r>
          </w:p>
        </w:tc>
        <w:tc>
          <w:tcPr>
            <w:tcW w:w="1533" w:type="dxa"/>
            <w:vAlign w:val="center"/>
          </w:tcPr>
          <w:p w:rsidR="00B006D5" w:rsidRDefault="00535F77">
            <w:pPr>
              <w:jc w:val="center"/>
            </w:pPr>
            <w:r>
              <w:rPr>
                <w:color w:val="000000"/>
                <w:sz w:val="24"/>
              </w:rPr>
              <w:t>16</w:t>
            </w:r>
            <w:r>
              <w:rPr>
                <w:color w:val="000000"/>
                <w:sz w:val="24"/>
              </w:rPr>
              <w:t>以岭</w:t>
            </w:r>
            <w:r>
              <w:rPr>
                <w:color w:val="000000"/>
                <w:sz w:val="24"/>
              </w:rPr>
              <w:t>EB</w:t>
            </w:r>
          </w:p>
        </w:tc>
        <w:tc>
          <w:tcPr>
            <w:tcW w:w="1394" w:type="dxa"/>
            <w:vAlign w:val="center"/>
          </w:tcPr>
          <w:p w:rsidR="00B006D5" w:rsidRDefault="00535F77">
            <w:pPr>
              <w:jc w:val="right"/>
            </w:pPr>
            <w:r>
              <w:rPr>
                <w:color w:val="000000"/>
                <w:sz w:val="24"/>
              </w:rPr>
              <w:t>5,000</w:t>
            </w:r>
          </w:p>
        </w:tc>
        <w:tc>
          <w:tcPr>
            <w:tcW w:w="1944" w:type="dxa"/>
            <w:vAlign w:val="center"/>
          </w:tcPr>
          <w:p w:rsidR="00B006D5" w:rsidRDefault="00535F77">
            <w:pPr>
              <w:jc w:val="right"/>
            </w:pPr>
            <w:r>
              <w:rPr>
                <w:color w:val="000000"/>
                <w:sz w:val="24"/>
              </w:rPr>
              <w:t>500,200.00</w:t>
            </w:r>
          </w:p>
        </w:tc>
        <w:tc>
          <w:tcPr>
            <w:tcW w:w="1389" w:type="dxa"/>
            <w:vAlign w:val="center"/>
          </w:tcPr>
          <w:p w:rsidR="00B006D5" w:rsidRDefault="00535F77">
            <w:pPr>
              <w:jc w:val="right"/>
            </w:pPr>
            <w:r>
              <w:rPr>
                <w:color w:val="000000"/>
                <w:sz w:val="24"/>
              </w:rPr>
              <w:t>0.99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35,642.63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482,050.62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1,048,310.28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99.92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1,566,103.45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006D5">
        <w:trPr>
          <w:jc w:val="center"/>
        </w:trPr>
        <w:tc>
          <w:tcPr>
            <w:tcW w:w="0" w:type="auto"/>
            <w:vAlign w:val="center"/>
          </w:tcPr>
          <w:p w:rsidR="00B006D5" w:rsidRDefault="00535F77">
            <w:pPr>
              <w:jc w:val="center"/>
            </w:pPr>
            <w:r>
              <w:rPr>
                <w:rFonts w:eastAsiaTheme="minorEastAsia"/>
                <w:color w:val="000000"/>
                <w:sz w:val="24"/>
              </w:rPr>
              <w:t>1</w:t>
            </w:r>
          </w:p>
        </w:tc>
        <w:tc>
          <w:tcPr>
            <w:tcW w:w="0" w:type="auto"/>
            <w:vAlign w:val="center"/>
          </w:tcPr>
          <w:p w:rsidR="00B006D5" w:rsidRDefault="00535F77">
            <w:pPr>
              <w:jc w:val="center"/>
            </w:pPr>
            <w:r>
              <w:rPr>
                <w:rFonts w:eastAsiaTheme="minorEastAsia"/>
                <w:color w:val="000000"/>
                <w:sz w:val="24"/>
              </w:rPr>
              <w:t>120001</w:t>
            </w:r>
          </w:p>
        </w:tc>
        <w:tc>
          <w:tcPr>
            <w:tcW w:w="0" w:type="auto"/>
            <w:vAlign w:val="center"/>
          </w:tcPr>
          <w:p w:rsidR="00B006D5" w:rsidRDefault="00535F77">
            <w:pPr>
              <w:jc w:val="center"/>
            </w:pPr>
            <w:r>
              <w:rPr>
                <w:rFonts w:eastAsiaTheme="minorEastAsia"/>
                <w:color w:val="000000"/>
                <w:sz w:val="24"/>
              </w:rPr>
              <w:t>16</w:t>
            </w:r>
            <w:r>
              <w:rPr>
                <w:rFonts w:eastAsiaTheme="minorEastAsia"/>
                <w:color w:val="000000"/>
                <w:sz w:val="24"/>
              </w:rPr>
              <w:t>以岭</w:t>
            </w:r>
            <w:r>
              <w:rPr>
                <w:rFonts w:eastAsiaTheme="minorEastAsia"/>
                <w:color w:val="000000"/>
                <w:sz w:val="24"/>
              </w:rPr>
              <w:t>EB</w:t>
            </w:r>
          </w:p>
        </w:tc>
        <w:tc>
          <w:tcPr>
            <w:tcW w:w="0" w:type="auto"/>
            <w:vAlign w:val="center"/>
          </w:tcPr>
          <w:p w:rsidR="00B006D5" w:rsidRDefault="00535F77">
            <w:pPr>
              <w:jc w:val="right"/>
            </w:pPr>
            <w:r>
              <w:rPr>
                <w:rFonts w:eastAsiaTheme="minorEastAsia"/>
                <w:color w:val="000000"/>
                <w:sz w:val="24"/>
              </w:rPr>
              <w:t>500,200.00</w:t>
            </w:r>
          </w:p>
        </w:tc>
        <w:tc>
          <w:tcPr>
            <w:tcW w:w="0" w:type="auto"/>
            <w:vAlign w:val="center"/>
          </w:tcPr>
          <w:p w:rsidR="00B006D5" w:rsidRDefault="00535F77">
            <w:pPr>
              <w:jc w:val="right"/>
            </w:pPr>
            <w:r>
              <w:rPr>
                <w:rFonts w:eastAsiaTheme="minorEastAsia"/>
                <w:color w:val="000000"/>
                <w:sz w:val="24"/>
              </w:rPr>
              <w:t>0.99</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34,743,643.05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1,784,774.06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1,221,523.16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674,201.78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1,679,558.11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235,665.90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34,285,608.10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2,223,309.94</w:t>
            </w:r>
          </w:p>
        </w:tc>
      </w:tr>
    </w:tbl>
    <w:p w:rsidR="00B006D5" w:rsidRDefault="00535F7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17,421,627.28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173,168.80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17,248,458.48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47.24</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B006D5">
        <w:trPr>
          <w:jc w:val="center"/>
        </w:trPr>
        <w:tc>
          <w:tcPr>
            <w:tcW w:w="1032" w:type="dxa"/>
            <w:vAlign w:val="center"/>
          </w:tcPr>
          <w:p w:rsidR="00B006D5" w:rsidRDefault="00535F77">
            <w:pPr>
              <w:jc w:val="center"/>
            </w:pPr>
            <w:r>
              <w:rPr>
                <w:rFonts w:eastAsiaTheme="minorEastAsia"/>
                <w:color w:val="000000"/>
                <w:sz w:val="24"/>
              </w:rPr>
              <w:t>1</w:t>
            </w:r>
          </w:p>
        </w:tc>
        <w:tc>
          <w:tcPr>
            <w:tcW w:w="1776" w:type="dxa"/>
            <w:vAlign w:val="center"/>
          </w:tcPr>
          <w:p w:rsidR="00B006D5" w:rsidRDefault="00535F77">
            <w:pPr>
              <w:jc w:val="center"/>
            </w:pPr>
            <w:r>
              <w:rPr>
                <w:rFonts w:eastAsiaTheme="minorEastAsia"/>
                <w:color w:val="000000"/>
                <w:sz w:val="24"/>
              </w:rPr>
              <w:t>自动赎回</w:t>
            </w:r>
          </w:p>
        </w:tc>
        <w:tc>
          <w:tcPr>
            <w:tcW w:w="1317" w:type="dxa"/>
            <w:vAlign w:val="center"/>
          </w:tcPr>
          <w:p w:rsidR="00B006D5" w:rsidRDefault="00535F77">
            <w:pPr>
              <w:jc w:val="center"/>
            </w:pPr>
            <w:r>
              <w:rPr>
                <w:rFonts w:eastAsiaTheme="minorEastAsia"/>
                <w:color w:val="000000"/>
                <w:sz w:val="24"/>
              </w:rPr>
              <w:t>2018-10-09</w:t>
            </w:r>
          </w:p>
        </w:tc>
        <w:tc>
          <w:tcPr>
            <w:tcW w:w="1633" w:type="dxa"/>
            <w:vAlign w:val="center"/>
          </w:tcPr>
          <w:p w:rsidR="00B006D5" w:rsidRDefault="00535F77">
            <w:pPr>
              <w:jc w:val="right"/>
            </w:pPr>
            <w:r>
              <w:rPr>
                <w:rFonts w:eastAsiaTheme="minorEastAsia"/>
                <w:color w:val="000000"/>
                <w:sz w:val="24"/>
              </w:rPr>
              <w:t>-66,822.68</w:t>
            </w:r>
          </w:p>
        </w:tc>
        <w:tc>
          <w:tcPr>
            <w:tcW w:w="1767" w:type="dxa"/>
            <w:vAlign w:val="center"/>
          </w:tcPr>
          <w:p w:rsidR="00B006D5" w:rsidRDefault="00535F77">
            <w:pPr>
              <w:jc w:val="right"/>
            </w:pPr>
            <w:r>
              <w:rPr>
                <w:rFonts w:eastAsiaTheme="minorEastAsia"/>
                <w:color w:val="000000"/>
                <w:sz w:val="24"/>
              </w:rPr>
              <w:t>-90,945.67</w:t>
            </w:r>
          </w:p>
        </w:tc>
        <w:tc>
          <w:tcPr>
            <w:tcW w:w="1343" w:type="dxa"/>
            <w:vAlign w:val="center"/>
          </w:tcPr>
          <w:p w:rsidR="00B006D5" w:rsidRDefault="00535F77">
            <w:pPr>
              <w:jc w:val="center"/>
            </w:pPr>
            <w:r>
              <w:rPr>
                <w:rFonts w:eastAsiaTheme="minorEastAsia"/>
                <w:color w:val="000000"/>
                <w:sz w:val="24"/>
              </w:rPr>
              <w:t>0.000%</w:t>
            </w:r>
          </w:p>
        </w:tc>
      </w:tr>
      <w:tr w:rsidR="00B006D5">
        <w:trPr>
          <w:jc w:val="center"/>
        </w:trPr>
        <w:tc>
          <w:tcPr>
            <w:tcW w:w="1032" w:type="dxa"/>
            <w:vAlign w:val="center"/>
          </w:tcPr>
          <w:p w:rsidR="00B006D5" w:rsidRDefault="00535F77">
            <w:pPr>
              <w:jc w:val="center"/>
            </w:pPr>
            <w:r>
              <w:rPr>
                <w:rFonts w:eastAsiaTheme="minorEastAsia"/>
                <w:color w:val="000000"/>
                <w:sz w:val="24"/>
              </w:rPr>
              <w:t>2</w:t>
            </w:r>
          </w:p>
        </w:tc>
        <w:tc>
          <w:tcPr>
            <w:tcW w:w="1776" w:type="dxa"/>
            <w:vAlign w:val="center"/>
          </w:tcPr>
          <w:p w:rsidR="00B006D5" w:rsidRDefault="00535F77">
            <w:pPr>
              <w:jc w:val="center"/>
            </w:pPr>
            <w:r>
              <w:rPr>
                <w:rFonts w:eastAsiaTheme="minorEastAsia"/>
                <w:color w:val="000000"/>
                <w:sz w:val="24"/>
              </w:rPr>
              <w:t>自动赎回</w:t>
            </w:r>
          </w:p>
        </w:tc>
        <w:tc>
          <w:tcPr>
            <w:tcW w:w="1317" w:type="dxa"/>
            <w:vAlign w:val="center"/>
          </w:tcPr>
          <w:p w:rsidR="00B006D5" w:rsidRDefault="00535F77">
            <w:pPr>
              <w:jc w:val="center"/>
            </w:pPr>
            <w:r>
              <w:rPr>
                <w:rFonts w:eastAsiaTheme="minorEastAsia"/>
                <w:color w:val="000000"/>
                <w:sz w:val="24"/>
              </w:rPr>
              <w:t>2018-11-02</w:t>
            </w:r>
          </w:p>
        </w:tc>
        <w:tc>
          <w:tcPr>
            <w:tcW w:w="1633" w:type="dxa"/>
            <w:vAlign w:val="center"/>
          </w:tcPr>
          <w:p w:rsidR="00B006D5" w:rsidRDefault="00535F77">
            <w:pPr>
              <w:jc w:val="right"/>
            </w:pPr>
            <w:r>
              <w:rPr>
                <w:rFonts w:eastAsiaTheme="minorEastAsia"/>
                <w:color w:val="000000"/>
                <w:sz w:val="24"/>
              </w:rPr>
              <w:t>-45,645.51</w:t>
            </w:r>
          </w:p>
        </w:tc>
        <w:tc>
          <w:tcPr>
            <w:tcW w:w="1767" w:type="dxa"/>
            <w:vAlign w:val="center"/>
          </w:tcPr>
          <w:p w:rsidR="00B006D5" w:rsidRDefault="00535F77">
            <w:pPr>
              <w:jc w:val="right"/>
            </w:pPr>
            <w:r>
              <w:rPr>
                <w:rFonts w:eastAsiaTheme="minorEastAsia"/>
                <w:color w:val="000000"/>
                <w:sz w:val="24"/>
              </w:rPr>
              <w:t>-62,306.12</w:t>
            </w:r>
          </w:p>
        </w:tc>
        <w:tc>
          <w:tcPr>
            <w:tcW w:w="1343" w:type="dxa"/>
            <w:vAlign w:val="center"/>
          </w:tcPr>
          <w:p w:rsidR="00B006D5" w:rsidRDefault="00535F77">
            <w:pPr>
              <w:jc w:val="center"/>
            </w:pPr>
            <w:r>
              <w:rPr>
                <w:rFonts w:eastAsiaTheme="minorEastAsia"/>
                <w:color w:val="000000"/>
                <w:sz w:val="24"/>
              </w:rPr>
              <w:t>0.000%</w:t>
            </w:r>
          </w:p>
        </w:tc>
      </w:tr>
      <w:tr w:rsidR="00B006D5">
        <w:trPr>
          <w:jc w:val="center"/>
        </w:trPr>
        <w:tc>
          <w:tcPr>
            <w:tcW w:w="1032" w:type="dxa"/>
            <w:vAlign w:val="center"/>
          </w:tcPr>
          <w:p w:rsidR="00B006D5" w:rsidRDefault="00535F77">
            <w:pPr>
              <w:jc w:val="center"/>
            </w:pPr>
            <w:r>
              <w:rPr>
                <w:rFonts w:eastAsiaTheme="minorEastAsia"/>
                <w:color w:val="000000"/>
                <w:sz w:val="24"/>
              </w:rPr>
              <w:t>3</w:t>
            </w:r>
          </w:p>
        </w:tc>
        <w:tc>
          <w:tcPr>
            <w:tcW w:w="1776" w:type="dxa"/>
            <w:vAlign w:val="center"/>
          </w:tcPr>
          <w:p w:rsidR="00B006D5" w:rsidRDefault="00535F77">
            <w:pPr>
              <w:jc w:val="center"/>
            </w:pPr>
            <w:r>
              <w:rPr>
                <w:rFonts w:eastAsiaTheme="minorEastAsia"/>
                <w:color w:val="000000"/>
                <w:sz w:val="24"/>
              </w:rPr>
              <w:t>自动赎回</w:t>
            </w:r>
          </w:p>
        </w:tc>
        <w:tc>
          <w:tcPr>
            <w:tcW w:w="1317" w:type="dxa"/>
            <w:vAlign w:val="center"/>
          </w:tcPr>
          <w:p w:rsidR="00B006D5" w:rsidRDefault="00535F77">
            <w:pPr>
              <w:jc w:val="center"/>
            </w:pPr>
            <w:r>
              <w:rPr>
                <w:rFonts w:eastAsiaTheme="minorEastAsia"/>
                <w:color w:val="000000"/>
                <w:sz w:val="24"/>
              </w:rPr>
              <w:t>2018-12-04</w:t>
            </w:r>
          </w:p>
        </w:tc>
        <w:tc>
          <w:tcPr>
            <w:tcW w:w="1633" w:type="dxa"/>
            <w:vAlign w:val="center"/>
          </w:tcPr>
          <w:p w:rsidR="00B006D5" w:rsidRDefault="00535F77">
            <w:pPr>
              <w:jc w:val="right"/>
            </w:pPr>
            <w:r>
              <w:rPr>
                <w:rFonts w:eastAsiaTheme="minorEastAsia"/>
                <w:color w:val="000000"/>
                <w:sz w:val="24"/>
              </w:rPr>
              <w:t>-60,700.61</w:t>
            </w:r>
          </w:p>
        </w:tc>
        <w:tc>
          <w:tcPr>
            <w:tcW w:w="1767" w:type="dxa"/>
            <w:vAlign w:val="center"/>
          </w:tcPr>
          <w:p w:rsidR="00B006D5" w:rsidRDefault="00535F77">
            <w:pPr>
              <w:jc w:val="right"/>
            </w:pPr>
            <w:r>
              <w:rPr>
                <w:rFonts w:eastAsiaTheme="minorEastAsia"/>
                <w:color w:val="000000"/>
                <w:sz w:val="24"/>
              </w:rPr>
              <w:t>-83,584.74</w:t>
            </w:r>
          </w:p>
        </w:tc>
        <w:tc>
          <w:tcPr>
            <w:tcW w:w="1343" w:type="dxa"/>
            <w:vAlign w:val="center"/>
          </w:tcPr>
          <w:p w:rsidR="00B006D5" w:rsidRDefault="00535F77">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-173,168.80</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-236,836.53</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006D5">
        <w:tc>
          <w:tcPr>
            <w:tcW w:w="992" w:type="dxa"/>
            <w:vMerge w:val="restart"/>
          </w:tcPr>
          <w:p w:rsidR="00B006D5" w:rsidRDefault="00B006D5"/>
          <w:p w:rsidR="00B006D5" w:rsidRDefault="00535F77">
            <w:r>
              <w:rPr>
                <w:rFonts w:ascii="宋体" w:hAnsi="宋体" w:hint="eastAsia"/>
                <w:bCs/>
                <w:color w:val="000000"/>
                <w:kern w:val="0"/>
                <w:szCs w:val="21"/>
              </w:rPr>
              <w:t>机构</w:t>
            </w:r>
          </w:p>
        </w:tc>
        <w:tc>
          <w:tcPr>
            <w:tcW w:w="991" w:type="dxa"/>
            <w:vAlign w:val="center"/>
          </w:tcPr>
          <w:p w:rsidR="00B006D5" w:rsidRDefault="00535F77">
            <w:pPr>
              <w:jc w:val="center"/>
            </w:pPr>
            <w:r>
              <w:rPr>
                <w:rFonts w:ascii="宋体" w:hAnsi="宋体" w:hint="eastAsia"/>
                <w:color w:val="000000"/>
                <w:kern w:val="0"/>
                <w:szCs w:val="21"/>
              </w:rPr>
              <w:t>1</w:t>
            </w:r>
          </w:p>
        </w:tc>
        <w:tc>
          <w:tcPr>
            <w:tcW w:w="1843" w:type="dxa"/>
            <w:vAlign w:val="center"/>
          </w:tcPr>
          <w:p w:rsidR="00B006D5" w:rsidRDefault="00535F77">
            <w:pPr>
              <w:jc w:val="center"/>
            </w:pPr>
            <w:r>
              <w:rPr>
                <w:rFonts w:ascii="宋体" w:hAnsi="宋体" w:hint="eastAsia"/>
                <w:color w:val="000000"/>
                <w:kern w:val="0"/>
                <w:szCs w:val="21"/>
              </w:rPr>
              <w:t>2018/10/1-2018/12/31</w:t>
            </w:r>
          </w:p>
        </w:tc>
        <w:tc>
          <w:tcPr>
            <w:tcW w:w="851" w:type="dxa"/>
            <w:vAlign w:val="center"/>
          </w:tcPr>
          <w:p w:rsidR="00B006D5" w:rsidRDefault="00535F77">
            <w:pPr>
              <w:jc w:val="center"/>
            </w:pPr>
            <w:r>
              <w:rPr>
                <w:rFonts w:ascii="宋体" w:hAnsi="宋体" w:hint="eastAsia"/>
                <w:color w:val="000000"/>
                <w:kern w:val="0"/>
                <w:szCs w:val="21"/>
              </w:rPr>
              <w:t>17,421,627.28</w:t>
            </w:r>
          </w:p>
        </w:tc>
        <w:tc>
          <w:tcPr>
            <w:tcW w:w="850" w:type="dxa"/>
            <w:vAlign w:val="center"/>
          </w:tcPr>
          <w:p w:rsidR="00B006D5" w:rsidRDefault="00535F77">
            <w:pPr>
              <w:jc w:val="center"/>
            </w:pPr>
            <w:r>
              <w:rPr>
                <w:rFonts w:ascii="宋体" w:hAnsi="宋体" w:hint="eastAsia"/>
                <w:color w:val="000000"/>
                <w:kern w:val="0"/>
                <w:szCs w:val="21"/>
              </w:rPr>
              <w:t>-</w:t>
            </w:r>
          </w:p>
        </w:tc>
        <w:tc>
          <w:tcPr>
            <w:tcW w:w="1134" w:type="dxa"/>
            <w:vAlign w:val="center"/>
          </w:tcPr>
          <w:p w:rsidR="00B006D5" w:rsidRDefault="00535F77">
            <w:pPr>
              <w:jc w:val="center"/>
            </w:pPr>
            <w:r>
              <w:rPr>
                <w:rFonts w:ascii="宋体" w:hAnsi="宋体" w:hint="eastAsia"/>
                <w:color w:val="000000"/>
                <w:kern w:val="0"/>
                <w:szCs w:val="21"/>
              </w:rPr>
              <w:t>173,168.80</w:t>
            </w:r>
          </w:p>
        </w:tc>
        <w:tc>
          <w:tcPr>
            <w:tcW w:w="1419" w:type="dxa"/>
            <w:vAlign w:val="center"/>
          </w:tcPr>
          <w:p w:rsidR="00B006D5" w:rsidRDefault="00535F77">
            <w:pPr>
              <w:jc w:val="center"/>
            </w:pPr>
            <w:r>
              <w:rPr>
                <w:rFonts w:ascii="宋体" w:hAnsi="宋体" w:hint="eastAsia"/>
                <w:color w:val="000000"/>
                <w:kern w:val="0"/>
                <w:szCs w:val="21"/>
              </w:rPr>
              <w:t>17,248,458.48</w:t>
            </w:r>
          </w:p>
        </w:tc>
        <w:tc>
          <w:tcPr>
            <w:tcW w:w="1130" w:type="dxa"/>
            <w:vAlign w:val="center"/>
          </w:tcPr>
          <w:p w:rsidR="00B006D5" w:rsidRDefault="00535F77">
            <w:pPr>
              <w:jc w:val="center"/>
            </w:pPr>
            <w:r>
              <w:rPr>
                <w:rFonts w:ascii="宋体" w:hAnsi="宋体" w:hint="eastAsia"/>
                <w:color w:val="000000"/>
                <w:kern w:val="0"/>
                <w:szCs w:val="21"/>
              </w:rPr>
              <w:t>47.24%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006D5" w:rsidRDefault="00535F7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535F77">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535F77">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5F77"/>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6D5"/>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956C0322-8CDF-46FA-B6DD-6379994E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9823-565A-499F-B55B-900AB0F2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15</Pages>
  <Words>1348</Words>
  <Characters>7689</Characters>
  <Application>Microsoft Office Word</Application>
  <DocSecurity>0</DocSecurity>
  <Lines>64</Lines>
  <Paragraphs>18</Paragraphs>
  <ScaleCrop>false</ScaleCrop>
  <Company>TRT. Ltd. Co.</Company>
  <LinksUpToDate>false</LinksUpToDate>
  <CharactersWithSpaces>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378</cp:revision>
  <cp:lastPrinted>2007-07-19T00:46:00Z</cp:lastPrinted>
  <dcterms:created xsi:type="dcterms:W3CDTF">2014-01-17T06:19:00Z</dcterms:created>
  <dcterms:modified xsi:type="dcterms:W3CDTF">2019-01-10T07:54:00Z</dcterms:modified>
</cp:coreProperties>
</file>