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1,336,452,652.70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2018年3月21日起，由“75%×申银万国装备制造指数收益率+25%×中证综合债券指数收益率”变更为“60%×沪深300指数收益率+40%×中证综合债券指数收益率”，详情见本基金管理人于2018年3月21日发布的《交银施罗德基金管理有限公司关于交银施罗德先进制造混合型证券投资基金基金份额持有人大会表决结果暨决议生效的公告》。</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-101,743,385.85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-246,664,831.39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-0.1909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2,002,253,651.00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1.498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-10.94%</w:t>
            </w:r>
          </w:p>
        </w:tc>
        <w:tc>
          <w:tcPr>
            <w:vAlign w:val="center"/>
          </w:tcPr>
          <w:p>
            <w:pPr>
              <w:jc w:val="center"/>
            </w:pPr>
            <w:r>
              <w:rPr>
                <w:color w:val="000000"/>
                <w:sz w:val="24"/>
                <w:szCs w:val="24"/>
              </w:rPr>
              <w:t>1.53%</w:t>
            </w:r>
          </w:p>
        </w:tc>
        <w:tc>
          <w:tcPr>
            <w:vAlign w:val="center"/>
          </w:tcPr>
          <w:p>
            <w:pPr>
              <w:jc w:val="center"/>
            </w:pPr>
            <w:r>
              <w:rPr>
                <w:color w:val="000000"/>
                <w:sz w:val="24"/>
                <w:szCs w:val="24"/>
              </w:rPr>
              <w:t>-6.54%</w:t>
            </w:r>
          </w:p>
        </w:tc>
        <w:tc>
          <w:tcPr>
            <w:vAlign w:val="center"/>
          </w:tcPr>
          <w:p>
            <w:pPr>
              <w:jc w:val="center"/>
            </w:pPr>
            <w:r>
              <w:rPr>
                <w:color w:val="000000"/>
                <w:sz w:val="24"/>
                <w:szCs w:val="24"/>
              </w:rPr>
              <w:t>0.98%</w:t>
            </w:r>
          </w:p>
        </w:tc>
        <w:tc>
          <w:tcPr>
            <w:vAlign w:val="center"/>
          </w:tcPr>
          <w:p>
            <w:pPr>
              <w:jc w:val="center"/>
            </w:pPr>
            <w:r>
              <w:rPr>
                <w:color w:val="000000"/>
                <w:sz w:val="24"/>
                <w:szCs w:val="24"/>
              </w:rPr>
              <w:t>-4.40%</w:t>
            </w:r>
          </w:p>
        </w:tc>
        <w:tc>
          <w:tcPr>
            <w:vAlign w:val="center"/>
          </w:tcPr>
          <w:p>
            <w:pPr>
              <w:jc w:val="center"/>
            </w:pPr>
            <w:r>
              <w:rPr>
                <w:color w:val="000000"/>
                <w:sz w:val="24"/>
                <w:szCs w:val="24"/>
              </w:rPr>
              <w:t>0.55%</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4年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四季度市场各大指数均出现显著回调，市场风险偏好亦显著降低。</w:t>
      </w:r>
    </w:p>
    <w:p>
      <w:pPr>
        <w:spacing w:before="29" w:line="288" w:lineRule="auto"/>
        <w:ind w:firstLine="480" w:firstLineChars="200"/>
        <w:rPr>
          <w:color w:val="000000"/>
          <w:sz w:val="24"/>
          <w:szCs w:val="24"/>
        </w:rPr>
      </w:pPr>
      <w:r>
        <w:rPr>
          <w:color w:val="000000"/>
          <w:sz w:val="24"/>
          <w:szCs w:val="24"/>
        </w:rPr>
        <w:t>四季度国家托底政策倾向已经明晰，尤其是先进制造业成为经济转型的重要抓手，但是从历史上看，制造业（尤其是中游制造业）更多时候是投资的因变量，很难在其他经济领域下行时，由制造业投资发力带动经济持续增长。我们会精选抗周期的制造业品类，以及虽然有周期性、但是供给稀缺的制造业品类。我们相信前者有更好的趋势，也相信后者会穿越周期成长显著。</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一季度，短期我们依然会保持四季度的配置策略，等待基本面风险释放。中长期，我们依然看好中国制造业的持续升级，并以此为主线选择和储备标的。本基金不做主动仓位择时，并保持组合良好流动性。力求控制好业绩回撤，努力为持有人取得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1,452,272,325.27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70.29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1,452,272,325.27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70.29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109,340,000.00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109,340,000.00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491,059,621.38</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23.77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13,545,409.96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0.66</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2,066,217,356.61</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19,550,962.24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990,888,930.25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14,159,579.20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47,510,389.05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12,096,077.00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34,497,123.27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49,551,010.04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97,075,203.80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92,757,629.12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25,350,707.35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68,834,713.95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1,452,272,325.27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72.53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8,768,265</w:t>
            </w:r>
          </w:p>
        </w:tc>
        <w:tc>
          <w:tcPr>
            <w:vAlign w:val="center"/>
          </w:tcPr>
          <w:p>
            <w:pPr>
              <w:jc w:val="right"/>
            </w:pPr>
            <w:r>
              <w:rPr>
                <w:color w:val="000000"/>
                <w:sz w:val="24"/>
                <w:szCs w:val="24"/>
              </w:rPr>
              <w:t>173,699,329.65</w:t>
            </w:r>
          </w:p>
        </w:tc>
        <w:tc>
          <w:tcPr>
            <w:vAlign w:val="center"/>
          </w:tcPr>
          <w:p>
            <w:pPr>
              <w:jc w:val="right"/>
            </w:pPr>
            <w:r>
              <w:rPr>
                <w:color w:val="000000"/>
                <w:sz w:val="24"/>
                <w:szCs w:val="24"/>
              </w:rPr>
              <w:t>8.68</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15,205,239</w:t>
            </w:r>
          </w:p>
        </w:tc>
        <w:tc>
          <w:tcPr>
            <w:vAlign w:val="center"/>
          </w:tcPr>
          <w:p>
            <w:pPr>
              <w:jc w:val="right"/>
            </w:pPr>
            <w:r>
              <w:rPr>
                <w:color w:val="000000"/>
                <w:sz w:val="24"/>
                <w:szCs w:val="24"/>
              </w:rPr>
              <w:t>158,134,485.60</w:t>
            </w:r>
          </w:p>
        </w:tc>
        <w:tc>
          <w:tcPr>
            <w:vAlign w:val="center"/>
          </w:tcPr>
          <w:p>
            <w:pPr>
              <w:jc w:val="right"/>
            </w:pPr>
            <w:r>
              <w:rPr>
                <w:color w:val="000000"/>
                <w:sz w:val="24"/>
                <w:szCs w:val="24"/>
              </w:rPr>
              <w:t>7.90</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2,857,588</w:t>
            </w:r>
          </w:p>
        </w:tc>
        <w:tc>
          <w:tcPr>
            <w:vAlign w:val="center"/>
          </w:tcPr>
          <w:p>
            <w:pPr>
              <w:jc w:val="right"/>
            </w:pPr>
            <w:r>
              <w:rPr>
                <w:color w:val="000000"/>
                <w:sz w:val="24"/>
                <w:szCs w:val="24"/>
              </w:rPr>
              <w:t>106,759,487.68</w:t>
            </w:r>
          </w:p>
        </w:tc>
        <w:tc>
          <w:tcPr>
            <w:vAlign w:val="center"/>
          </w:tcPr>
          <w:p>
            <w:pPr>
              <w:jc w:val="right"/>
            </w:pPr>
            <w:r>
              <w:rPr>
                <w:color w:val="000000"/>
                <w:sz w:val="24"/>
                <w:szCs w:val="24"/>
              </w:rPr>
              <w:t>5.33</w:t>
            </w:r>
          </w:p>
        </w:tc>
      </w:tr>
      <w:tr>
        <w:tc>
          <w:tcPr>
            <w:vAlign w:val="center"/>
          </w:tcPr>
          <w:p>
            <w:pPr>
              <w:jc w:val="center"/>
            </w:pPr>
            <w:r>
              <w:rPr>
                <w:color w:val="000000"/>
                <w:sz w:val="24"/>
                <w:szCs w:val="24"/>
              </w:rPr>
              <w:t>4</w:t>
            </w:r>
          </w:p>
        </w:tc>
        <w:tc>
          <w:tcPr>
            <w:vAlign w:val="center"/>
          </w:tcPr>
          <w:p>
            <w:pPr>
              <w:jc w:val="center"/>
            </w:pPr>
            <w:r>
              <w:rPr>
                <w:color w:val="000000"/>
                <w:sz w:val="24"/>
                <w:szCs w:val="24"/>
              </w:rPr>
              <w:t>600031</w:t>
            </w:r>
          </w:p>
        </w:tc>
        <w:tc>
          <w:tcPr>
            <w:vAlign w:val="center"/>
          </w:tcPr>
          <w:p>
            <w:pPr>
              <w:jc w:val="center"/>
            </w:pPr>
            <w:r>
              <w:rPr>
                <w:color w:val="000000"/>
                <w:sz w:val="24"/>
                <w:szCs w:val="24"/>
              </w:rPr>
              <w:t>三一重工</w:t>
            </w:r>
          </w:p>
        </w:tc>
        <w:tc>
          <w:tcPr>
            <w:vAlign w:val="center"/>
          </w:tcPr>
          <w:p>
            <w:pPr>
              <w:jc w:val="right"/>
            </w:pPr>
            <w:r>
              <w:rPr>
                <w:color w:val="000000"/>
                <w:sz w:val="24"/>
                <w:szCs w:val="24"/>
              </w:rPr>
              <w:t>11,532,905</w:t>
            </w:r>
          </w:p>
        </w:tc>
        <w:tc>
          <w:tcPr>
            <w:vAlign w:val="center"/>
          </w:tcPr>
          <w:p>
            <w:pPr>
              <w:jc w:val="right"/>
            </w:pPr>
            <w:r>
              <w:rPr>
                <w:color w:val="000000"/>
                <w:sz w:val="24"/>
                <w:szCs w:val="24"/>
              </w:rPr>
              <w:t>96,184,427.70</w:t>
            </w:r>
          </w:p>
        </w:tc>
        <w:tc>
          <w:tcPr>
            <w:vAlign w:val="center"/>
          </w:tcPr>
          <w:p>
            <w:pPr>
              <w:jc w:val="right"/>
            </w:pPr>
            <w:r>
              <w:rPr>
                <w:color w:val="000000"/>
                <w:sz w:val="24"/>
                <w:szCs w:val="24"/>
              </w:rPr>
              <w:t>4.80</w:t>
            </w:r>
          </w:p>
        </w:tc>
      </w:tr>
      <w:tr>
        <w:tc>
          <w:tcPr>
            <w:vAlign w:val="center"/>
          </w:tcPr>
          <w:p>
            <w:pPr>
              <w:jc w:val="center"/>
            </w:pPr>
            <w:r>
              <w:rPr>
                <w:color w:val="000000"/>
                <w:sz w:val="24"/>
                <w:szCs w:val="24"/>
              </w:rPr>
              <w:t>5</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6,586,202</w:t>
            </w:r>
          </w:p>
        </w:tc>
        <w:tc>
          <w:tcPr>
            <w:vAlign w:val="center"/>
          </w:tcPr>
          <w:p>
            <w:pPr>
              <w:jc w:val="right"/>
            </w:pPr>
            <w:r>
              <w:rPr>
                <w:color w:val="000000"/>
                <w:sz w:val="24"/>
                <w:szCs w:val="24"/>
              </w:rPr>
              <w:t>77,651,321.58</w:t>
            </w:r>
          </w:p>
        </w:tc>
        <w:tc>
          <w:tcPr>
            <w:vAlign w:val="center"/>
          </w:tcPr>
          <w:p>
            <w:pPr>
              <w:jc w:val="right"/>
            </w:pPr>
            <w:r>
              <w:rPr>
                <w:color w:val="000000"/>
                <w:sz w:val="24"/>
                <w:szCs w:val="24"/>
              </w:rPr>
              <w:t>3.88</w:t>
            </w:r>
          </w:p>
        </w:tc>
      </w:tr>
      <w:tr>
        <w:tc>
          <w:tcPr>
            <w:vAlign w:val="center"/>
          </w:tcPr>
          <w:p>
            <w:pPr>
              <w:jc w:val="center"/>
            </w:pPr>
            <w:r>
              <w:rPr>
                <w:color w:val="000000"/>
                <w:sz w:val="24"/>
                <w:szCs w:val="24"/>
              </w:rPr>
              <w:t>6</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1,859,895</w:t>
            </w:r>
          </w:p>
        </w:tc>
        <w:tc>
          <w:tcPr>
            <w:vAlign w:val="center"/>
          </w:tcPr>
          <w:p>
            <w:pPr>
              <w:jc w:val="right"/>
            </w:pPr>
            <w:r>
              <w:rPr>
                <w:color w:val="000000"/>
                <w:sz w:val="24"/>
                <w:szCs w:val="24"/>
              </w:rPr>
              <w:t>68,834,713.95</w:t>
            </w:r>
          </w:p>
        </w:tc>
        <w:tc>
          <w:tcPr>
            <w:vAlign w:val="center"/>
          </w:tcPr>
          <w:p>
            <w:pPr>
              <w:jc w:val="right"/>
            </w:pPr>
            <w:r>
              <w:rPr>
                <w:color w:val="000000"/>
                <w:sz w:val="24"/>
                <w:szCs w:val="24"/>
              </w:rPr>
              <w:t>3.44</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3,702,200</w:t>
            </w:r>
          </w:p>
        </w:tc>
        <w:tc>
          <w:tcPr>
            <w:vAlign w:val="center"/>
          </w:tcPr>
          <w:p>
            <w:pPr>
              <w:jc w:val="right"/>
            </w:pPr>
            <w:r>
              <w:rPr>
                <w:color w:val="000000"/>
                <w:sz w:val="24"/>
                <w:szCs w:val="24"/>
              </w:rPr>
              <w:t>59,272,222.00</w:t>
            </w:r>
          </w:p>
        </w:tc>
        <w:tc>
          <w:tcPr>
            <w:vAlign w:val="center"/>
          </w:tcPr>
          <w:p>
            <w:pPr>
              <w:jc w:val="right"/>
            </w:pPr>
            <w:r>
              <w:rPr>
                <w:color w:val="000000"/>
                <w:sz w:val="24"/>
                <w:szCs w:val="24"/>
              </w:rPr>
              <w:t>2.96</w:t>
            </w:r>
          </w:p>
        </w:tc>
      </w:tr>
      <w:tr>
        <w:tc>
          <w:tcPr>
            <w:vAlign w:val="center"/>
          </w:tcPr>
          <w:p>
            <w:pPr>
              <w:jc w:val="center"/>
            </w:pPr>
            <w:r>
              <w:rPr>
                <w:color w:val="000000"/>
                <w:sz w:val="24"/>
                <w:szCs w:val="24"/>
              </w:rPr>
              <w:t>8</w:t>
            </w:r>
          </w:p>
        </w:tc>
        <w:tc>
          <w:tcPr>
            <w:vAlign w:val="center"/>
          </w:tcPr>
          <w:p>
            <w:pPr>
              <w:jc w:val="center"/>
            </w:pPr>
            <w:r>
              <w:rPr>
                <w:color w:val="000000"/>
                <w:sz w:val="24"/>
                <w:szCs w:val="24"/>
              </w:rPr>
              <w:t>002025</w:t>
            </w:r>
          </w:p>
        </w:tc>
        <w:tc>
          <w:tcPr>
            <w:vAlign w:val="center"/>
          </w:tcPr>
          <w:p>
            <w:pPr>
              <w:jc w:val="center"/>
            </w:pPr>
            <w:r>
              <w:rPr>
                <w:color w:val="000000"/>
                <w:sz w:val="24"/>
                <w:szCs w:val="24"/>
              </w:rPr>
              <w:t>航天电器</w:t>
            </w:r>
          </w:p>
        </w:tc>
        <w:tc>
          <w:tcPr>
            <w:vAlign w:val="center"/>
          </w:tcPr>
          <w:p>
            <w:pPr>
              <w:jc w:val="right"/>
            </w:pPr>
            <w:r>
              <w:rPr>
                <w:color w:val="000000"/>
                <w:sz w:val="24"/>
                <w:szCs w:val="24"/>
              </w:rPr>
              <w:t>2,299,729</w:t>
            </w:r>
          </w:p>
        </w:tc>
        <w:tc>
          <w:tcPr>
            <w:vAlign w:val="center"/>
          </w:tcPr>
          <w:p>
            <w:pPr>
              <w:jc w:val="right"/>
            </w:pPr>
            <w:r>
              <w:rPr>
                <w:color w:val="000000"/>
                <w:sz w:val="24"/>
                <w:szCs w:val="24"/>
              </w:rPr>
              <w:t>49,283,192.47</w:t>
            </w:r>
          </w:p>
        </w:tc>
        <w:tc>
          <w:tcPr>
            <w:vAlign w:val="center"/>
          </w:tcPr>
          <w:p>
            <w:pPr>
              <w:jc w:val="right"/>
            </w:pPr>
            <w:r>
              <w:rPr>
                <w:color w:val="000000"/>
                <w:sz w:val="24"/>
                <w:szCs w:val="24"/>
              </w:rPr>
              <w:t>2.46</w:t>
            </w:r>
          </w:p>
        </w:tc>
      </w:tr>
      <w:tr>
        <w:tc>
          <w:tcPr>
            <w:vAlign w:val="center"/>
          </w:tcPr>
          <w:p>
            <w:pPr>
              <w:jc w:val="center"/>
            </w:pPr>
            <w:r>
              <w:rPr>
                <w:color w:val="000000"/>
                <w:sz w:val="24"/>
                <w:szCs w:val="24"/>
              </w:rPr>
              <w:t>9</w:t>
            </w:r>
          </w:p>
        </w:tc>
        <w:tc>
          <w:tcPr>
            <w:vAlign w:val="center"/>
          </w:tcPr>
          <w:p>
            <w:pPr>
              <w:jc w:val="center"/>
            </w:pPr>
            <w:r>
              <w:rPr>
                <w:color w:val="000000"/>
                <w:sz w:val="24"/>
                <w:szCs w:val="24"/>
              </w:rPr>
              <w:t>000895</w:t>
            </w:r>
          </w:p>
        </w:tc>
        <w:tc>
          <w:tcPr>
            <w:vAlign w:val="center"/>
          </w:tcPr>
          <w:p>
            <w:pPr>
              <w:jc w:val="center"/>
            </w:pPr>
            <w:r>
              <w:rPr>
                <w:color w:val="000000"/>
                <w:sz w:val="24"/>
                <w:szCs w:val="24"/>
              </w:rPr>
              <w:t>双汇发展</w:t>
            </w:r>
          </w:p>
        </w:tc>
        <w:tc>
          <w:tcPr>
            <w:vAlign w:val="center"/>
          </w:tcPr>
          <w:p>
            <w:pPr>
              <w:jc w:val="right"/>
            </w:pPr>
            <w:r>
              <w:rPr>
                <w:color w:val="000000"/>
                <w:sz w:val="24"/>
                <w:szCs w:val="24"/>
              </w:rPr>
              <w:t>1,860,854</w:t>
            </w:r>
          </w:p>
        </w:tc>
        <w:tc>
          <w:tcPr>
            <w:vAlign w:val="center"/>
          </w:tcPr>
          <w:p>
            <w:pPr>
              <w:jc w:val="right"/>
            </w:pPr>
            <w:r>
              <w:rPr>
                <w:color w:val="000000"/>
                <w:sz w:val="24"/>
                <w:szCs w:val="24"/>
              </w:rPr>
              <w:t>43,897,545.86</w:t>
            </w:r>
          </w:p>
        </w:tc>
        <w:tc>
          <w:tcPr>
            <w:vAlign w:val="center"/>
          </w:tcPr>
          <w:p>
            <w:pPr>
              <w:jc w:val="right"/>
            </w:pPr>
            <w:r>
              <w:rPr>
                <w:color w:val="000000"/>
                <w:sz w:val="24"/>
                <w:szCs w:val="24"/>
              </w:rPr>
              <w:t>2.19</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603886</w:t>
            </w:r>
          </w:p>
        </w:tc>
        <w:tc>
          <w:tcPr>
            <w:vAlign w:val="center"/>
          </w:tcPr>
          <w:p>
            <w:pPr>
              <w:jc w:val="center"/>
            </w:pPr>
            <w:r>
              <w:rPr>
                <w:color w:val="000000"/>
                <w:sz w:val="24"/>
                <w:szCs w:val="24"/>
              </w:rPr>
              <w:t>元祖股份</w:t>
            </w:r>
          </w:p>
        </w:tc>
        <w:tc>
          <w:tcPr>
            <w:vAlign w:val="center"/>
          </w:tcPr>
          <w:p>
            <w:pPr>
              <w:jc w:val="right"/>
            </w:pPr>
            <w:r>
              <w:rPr>
                <w:color w:val="000000"/>
                <w:sz w:val="24"/>
                <w:szCs w:val="24"/>
              </w:rPr>
              <w:t>2,417,801</w:t>
            </w:r>
          </w:p>
        </w:tc>
        <w:tc>
          <w:tcPr>
            <w:vAlign w:val="center"/>
          </w:tcPr>
          <w:p>
            <w:pPr>
              <w:jc w:val="right"/>
            </w:pPr>
            <w:r>
              <w:rPr>
                <w:color w:val="000000"/>
                <w:sz w:val="24"/>
                <w:szCs w:val="24"/>
              </w:rPr>
              <w:t>42,311,517.50</w:t>
            </w:r>
          </w:p>
        </w:tc>
        <w:tc>
          <w:tcPr>
            <w:vAlign w:val="center"/>
          </w:tcPr>
          <w:p>
            <w:pPr>
              <w:jc w:val="right"/>
            </w:pPr>
            <w:r>
              <w:rPr>
                <w:color w:val="000000"/>
                <w:sz w:val="24"/>
                <w:szCs w:val="24"/>
              </w:rPr>
              <w:t>2.11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109,340,000.00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109,340,000.00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1,100,000</w:t>
            </w:r>
          </w:p>
        </w:tc>
        <w:tc>
          <w:tcPr>
            <w:vAlign w:val="center"/>
          </w:tcPr>
          <w:p>
            <w:pPr>
              <w:jc w:val="right"/>
            </w:pPr>
            <w:r>
              <w:rPr>
                <w:color w:val="000000"/>
                <w:sz w:val="24"/>
                <w:szCs w:val="24"/>
              </w:rPr>
              <w:t>109,340,000.00</w:t>
            </w:r>
          </w:p>
        </w:tc>
        <w:tc>
          <w:tcPr>
            <w:vAlign w:val="center"/>
          </w:tcPr>
          <w:p>
            <w:pPr>
              <w:jc w:val="right"/>
            </w:pPr>
            <w:r>
              <w:rPr>
                <w:color w:val="000000"/>
                <w:sz w:val="24"/>
                <w:szCs w:val="24"/>
              </w:rPr>
              <w:t>5.46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2,136,248.44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381,859.04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11,027,302.48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13,545,409.96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59,272,222.00</w:t>
            </w:r>
          </w:p>
        </w:tc>
        <w:tc>
          <w:tcPr>
            <w:vAlign w:val="center"/>
          </w:tcPr>
          <w:p>
            <w:pPr>
              <w:jc w:val="right"/>
            </w:pPr>
            <w:r>
              <w:rPr>
                <w:color w:val="000000"/>
                <w:sz w:val="24"/>
                <w:szCs w:val="24"/>
              </w:rPr>
              <w:t>2.96</w:t>
            </w:r>
          </w:p>
        </w:tc>
        <w:tc>
          <w:tcPr>
            <w:vAlign w:val="center"/>
          </w:tcPr>
          <w:p>
            <w:pPr>
              <w:jc w:val="right"/>
            </w:pPr>
            <w:r>
              <w:rPr>
                <w:color w:val="000000"/>
                <w:sz w:val="24"/>
                <w:szCs w:val="24"/>
              </w:rPr>
              <w:t>重大事项</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1,288,977,072.53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97,701,257.92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50,225,677.75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1,336,452,652.70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