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交银施罗德定期支付双息平衡混合型证券投资基金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2013年9月4日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667,827,447.77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50%×中证红利指数收益率+50%×中债综合全价指数收益率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本基金是一只混合型基金，在证券投资基金中属于较高风险的品种，其长期平均风险和预期收益高于货币市场基金和债券型基金，低于股票型基金。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-72,003,715.77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-133,497,302.60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-0.2074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1,719,731,187.29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2.575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-7.54%</w:t>
            </w:r>
          </w:p>
        </w:tc>
        <w:tc>
          <w:tcPr>
            <w:vAlign w:val="center"/>
          </w:tcPr>
          <w:p>
            <w:pPr>
              <w:jc w:val="center"/>
            </w:pPr>
            <w:r>
              <w:rPr>
                <w:color w:val="000000"/>
                <w:sz w:val="24"/>
                <w:szCs w:val="24"/>
              </w:rPr>
              <w:t>1.26%</w:t>
            </w:r>
          </w:p>
        </w:tc>
        <w:tc>
          <w:tcPr>
            <w:vAlign w:val="center"/>
          </w:tcPr>
          <w:p>
            <w:pPr>
              <w:jc w:val="center"/>
            </w:pPr>
            <w:r>
              <w:rPr>
                <w:color w:val="000000"/>
                <w:sz w:val="24"/>
                <w:szCs w:val="24"/>
              </w:rPr>
              <w:t>-2.24%</w:t>
            </w:r>
          </w:p>
        </w:tc>
        <w:tc>
          <w:tcPr>
            <w:vAlign w:val="center"/>
          </w:tcPr>
          <w:p>
            <w:pPr>
              <w:jc w:val="center"/>
            </w:pPr>
            <w:r>
              <w:rPr>
                <w:color w:val="000000"/>
                <w:sz w:val="24"/>
                <w:szCs w:val="24"/>
              </w:rPr>
              <w:t>0.73%</w:t>
            </w:r>
          </w:p>
        </w:tc>
        <w:tc>
          <w:tcPr>
            <w:vAlign w:val="center"/>
          </w:tcPr>
          <w:p>
            <w:pPr>
              <w:jc w:val="center"/>
            </w:pPr>
            <w:r>
              <w:rPr>
                <w:color w:val="000000"/>
                <w:sz w:val="24"/>
                <w:szCs w:val="24"/>
              </w:rPr>
              <w:t>-5.30%</w:t>
            </w:r>
          </w:p>
        </w:tc>
        <w:tc>
          <w:tcPr>
            <w:vAlign w:val="center"/>
          </w:tcPr>
          <w:p>
            <w:pPr>
              <w:jc w:val="center"/>
            </w:pPr>
            <w:r>
              <w:rPr>
                <w:color w:val="000000"/>
                <w:sz w:val="24"/>
                <w:szCs w:val="24"/>
              </w:rPr>
              <w:t>0.53%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交银施罗德定期支付双息平衡混合型证券投资基金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2013年9月4日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交银定期支付双息平衡混合、交银新生活力灵活配置混合的基金经理</w:t>
            </w:r>
          </w:p>
        </w:tc>
        <w:tc>
          <w:tcPr>
            <w:vAlign w:val="center"/>
          </w:tcPr>
          <w:p>
            <w:pPr>
              <w:jc w:val="center"/>
            </w:pPr>
            <w:r>
              <w:rPr>
                <w:color w:val="000000"/>
                <w:sz w:val="24"/>
                <w:szCs w:val="24"/>
              </w:rPr>
              <w:t>2015-08-15</w:t>
            </w:r>
          </w:p>
        </w:tc>
        <w:tc>
          <w:tcPr>
            <w:vAlign w:val="center"/>
          </w:tcPr>
          <w:p>
            <w:pPr>
              <w:jc w:val="center"/>
            </w:pPr>
            <w:r>
              <w:rPr>
                <w:color w:val="000000"/>
                <w:sz w:val="24"/>
                <w:szCs w:val="24"/>
              </w:rPr>
              <w:t>-</w:t>
            </w:r>
          </w:p>
        </w:tc>
        <w:tc>
          <w:tcPr>
            <w:vAlign w:val="center"/>
          </w:tcPr>
          <w:p>
            <w:pPr>
              <w:jc w:val="center"/>
            </w:pPr>
            <w:r>
              <w:rPr>
                <w:color w:val="000000"/>
                <w:sz w:val="24"/>
                <w:szCs w:val="24"/>
              </w:rPr>
              <w:t>8年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四季度，经济兑现增速下行趋势，各类宏观指标走弱。出口增速出现较大幅度下降，工业增加值增速转负，社融信贷数据较为低迷。同时政府引导结构转型，产业政策出现较大调整，如医药行业带量采购等政策细则出炉，金融业反哺实业亦开始形成预期。如此种种，市场对未来几个季度企业的盈利状况的担忧加剧。本季度，各大权益指数表现非常低迷，创下近年新低，成交量也非常低迷。</w:t>
      </w:r>
    </w:p>
    <w:p>
      <w:pPr>
        <w:spacing w:before="29" w:line="288" w:lineRule="auto"/>
        <w:ind w:firstLine="480" w:firstLineChars="200"/>
        <w:rPr>
          <w:color w:val="000000"/>
          <w:sz w:val="24"/>
          <w:szCs w:val="24"/>
        </w:rPr>
      </w:pPr>
      <w:r>
        <w:rPr>
          <w:color w:val="000000"/>
          <w:sz w:val="24"/>
          <w:szCs w:val="24"/>
        </w:rPr>
        <w:t>我们认为国内外政治经济的新常态需要得到产业界和资本界的清醒认识并坦然接受，放弃对数量型发展模式的复辟预期，探索质量型发展模式的具象。因此本季度本基金根据合同，保持权益类资产中性略低仓位，积极参与现金管理，控制回撤。这是因为我们认为早期能探索出“新常态”下质量型发展模式的公司是少数，难以形成行业型的方向。当然，由于软件、互联网以及消费这三大门类相对而言具备较好的基础和模式，在其中找到我们所谓“新常态”的阿尔法的概率会大一些，因此结果上来看本基金在这个方向上的持仓较多。同时，我们也密切关注新能源的供求变化以及一些高精尖材料和设备的点状进口替代突破。</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一季度，我们认为实体经济仍然在下行趋势的中继，或将弱于2018年，这意味着上市公司仍然在业绩增速下行趋势的中继。但在估值低位泡沫大幅挤出的当下，这并不意味着二级市场的机会一定比2018年来得还要少。首先，在颇为复杂的国际环境下，我们更应当关注内部改革，财政与货币政策有边际改善，减税降费的力度在增强，但更重要的是我们能否看到行政垄断被打破，能否在运营级别的产业链环节上给予技术领先的民营公司参与机会，激发民间和外资投资热情。其次，在“新常态”已然形成一致预期，产业出清较为充分的新兴行业里面去寻找具备新的核心竞争力的公司。最后，在弱周期的行业里面寻找估值低估机会。2019年，我们更倾向于是一个精准落子获得长期回报的开始，本基金将保持过去稳健的投资风格，恪守安全边际，以努力为基金持有人带来稳定回报为使命。</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878,252,042.01</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49.58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878,252,042.01</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49.58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89,460,000.00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89,460,000.00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150,029,525.04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8.47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648,643,896.23</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36.62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4,820,235.94</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1,771,205,699.22</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162,741,364.10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8,024,816.00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372,339,138.19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21.65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50,145.80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30,914,004.87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24,685,744.80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30,424,182.57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249,072,645.68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878,252,042.01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51.07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3,746,228</w:t>
            </w:r>
          </w:p>
        </w:tc>
        <w:tc>
          <w:tcPr>
            <w:vAlign w:val="center"/>
          </w:tcPr>
          <w:p>
            <w:pPr>
              <w:jc w:val="right"/>
            </w:pPr>
            <w:r>
              <w:rPr>
                <w:color w:val="000000"/>
                <w:sz w:val="24"/>
                <w:szCs w:val="24"/>
              </w:rPr>
              <w:t>138,647,898.28</w:t>
            </w:r>
          </w:p>
        </w:tc>
        <w:tc>
          <w:tcPr>
            <w:vAlign w:val="center"/>
          </w:tcPr>
          <w:p>
            <w:pPr>
              <w:jc w:val="right"/>
            </w:pPr>
            <w:r>
              <w:rPr>
                <w:color w:val="000000"/>
                <w:sz w:val="24"/>
                <w:szCs w:val="24"/>
              </w:rPr>
              <w:t>8.06</w:t>
            </w:r>
          </w:p>
        </w:tc>
      </w:tr>
      <w:tr>
        <w:tc>
          <w:tcPr>
            <w:vAlign w:val="center"/>
          </w:tcPr>
          <w:p>
            <w:pPr>
              <w:jc w:val="center"/>
            </w:pPr>
            <w:r>
              <w:rPr>
                <w:color w:val="000000"/>
                <w:sz w:val="24"/>
                <w:szCs w:val="24"/>
              </w:rPr>
              <w:t>2</w:t>
            </w:r>
          </w:p>
        </w:tc>
        <w:tc>
          <w:tcPr>
            <w:vAlign w:val="center"/>
          </w:tcPr>
          <w:p>
            <w:pPr>
              <w:jc w:val="center"/>
            </w:pPr>
            <w:r>
              <w:rPr>
                <w:color w:val="000000"/>
                <w:sz w:val="24"/>
                <w:szCs w:val="24"/>
              </w:rPr>
              <w:t>000681</w:t>
            </w:r>
          </w:p>
        </w:tc>
        <w:tc>
          <w:tcPr>
            <w:vAlign w:val="center"/>
          </w:tcPr>
          <w:p>
            <w:pPr>
              <w:jc w:val="center"/>
            </w:pPr>
            <w:r>
              <w:rPr>
                <w:color w:val="000000"/>
                <w:sz w:val="24"/>
                <w:szCs w:val="24"/>
              </w:rPr>
              <w:t>视觉中国</w:t>
            </w:r>
          </w:p>
        </w:tc>
        <w:tc>
          <w:tcPr>
            <w:vAlign w:val="center"/>
          </w:tcPr>
          <w:p>
            <w:pPr>
              <w:jc w:val="right"/>
            </w:pPr>
            <w:r>
              <w:rPr>
                <w:color w:val="000000"/>
                <w:sz w:val="24"/>
                <w:szCs w:val="24"/>
              </w:rPr>
              <w:t>4,735,195</w:t>
            </w:r>
          </w:p>
        </w:tc>
        <w:tc>
          <w:tcPr>
            <w:vAlign w:val="center"/>
          </w:tcPr>
          <w:p>
            <w:pPr>
              <w:jc w:val="right"/>
            </w:pPr>
            <w:r>
              <w:rPr>
                <w:color w:val="000000"/>
                <w:sz w:val="24"/>
                <w:szCs w:val="24"/>
              </w:rPr>
              <w:t>110,424,747.40</w:t>
            </w:r>
          </w:p>
        </w:tc>
        <w:tc>
          <w:tcPr>
            <w:vAlign w:val="center"/>
          </w:tcPr>
          <w:p>
            <w:pPr>
              <w:jc w:val="right"/>
            </w:pPr>
            <w:r>
              <w:rPr>
                <w:color w:val="000000"/>
                <w:sz w:val="24"/>
                <w:szCs w:val="24"/>
              </w:rPr>
              <w:t>6.42</w:t>
            </w:r>
          </w:p>
        </w:tc>
      </w:tr>
      <w:tr>
        <w:tc>
          <w:tcPr>
            <w:vAlign w:val="center"/>
          </w:tcPr>
          <w:p>
            <w:pPr>
              <w:jc w:val="center"/>
            </w:pPr>
            <w:r>
              <w:rPr>
                <w:color w:val="000000"/>
                <w:sz w:val="24"/>
                <w:szCs w:val="24"/>
              </w:rPr>
              <w:t>3</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6,043,499</w:t>
            </w:r>
          </w:p>
        </w:tc>
        <w:tc>
          <w:tcPr>
            <w:vAlign w:val="center"/>
          </w:tcPr>
          <w:p>
            <w:pPr>
              <w:jc w:val="right"/>
            </w:pPr>
            <w:r>
              <w:rPr>
                <w:color w:val="000000"/>
                <w:sz w:val="24"/>
                <w:szCs w:val="24"/>
              </w:rPr>
              <w:t>78,395,656.98</w:t>
            </w:r>
          </w:p>
        </w:tc>
        <w:tc>
          <w:tcPr>
            <w:vAlign w:val="center"/>
          </w:tcPr>
          <w:p>
            <w:pPr>
              <w:jc w:val="right"/>
            </w:pPr>
            <w:r>
              <w:rPr>
                <w:color w:val="000000"/>
                <w:sz w:val="24"/>
                <w:szCs w:val="24"/>
              </w:rPr>
              <w:t>4.56</w:t>
            </w:r>
          </w:p>
        </w:tc>
      </w:tr>
      <w:tr>
        <w:tc>
          <w:tcPr>
            <w:vAlign w:val="center"/>
          </w:tcPr>
          <w:p>
            <w:pPr>
              <w:jc w:val="center"/>
            </w:pPr>
            <w:r>
              <w:rPr>
                <w:color w:val="000000"/>
                <w:sz w:val="24"/>
                <w:szCs w:val="24"/>
              </w:rPr>
              <w:t>4</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3,106,396</w:t>
            </w:r>
          </w:p>
        </w:tc>
        <w:tc>
          <w:tcPr>
            <w:vAlign w:val="center"/>
          </w:tcPr>
          <w:p>
            <w:pPr>
              <w:jc w:val="right"/>
            </w:pPr>
            <w:r>
              <w:rPr>
                <w:color w:val="000000"/>
                <w:sz w:val="24"/>
                <w:szCs w:val="24"/>
              </w:rPr>
              <w:t>76,541,597.44</w:t>
            </w:r>
          </w:p>
        </w:tc>
        <w:tc>
          <w:tcPr>
            <w:vAlign w:val="center"/>
          </w:tcPr>
          <w:p>
            <w:pPr>
              <w:jc w:val="right"/>
            </w:pPr>
            <w:r>
              <w:rPr>
                <w:color w:val="000000"/>
                <w:sz w:val="24"/>
                <w:szCs w:val="24"/>
              </w:rPr>
              <w:t>4.45</w:t>
            </w:r>
          </w:p>
        </w:tc>
      </w:tr>
      <w:tr>
        <w:tc>
          <w:tcPr>
            <w:vAlign w:val="center"/>
          </w:tcPr>
          <w:p>
            <w:pPr>
              <w:jc w:val="center"/>
            </w:pPr>
            <w:r>
              <w:rPr>
                <w:color w:val="000000"/>
                <w:sz w:val="24"/>
                <w:szCs w:val="24"/>
              </w:rPr>
              <w:t>5</w:t>
            </w:r>
          </w:p>
        </w:tc>
        <w:tc>
          <w:tcPr>
            <w:vAlign w:val="center"/>
          </w:tcPr>
          <w:p>
            <w:pPr>
              <w:jc w:val="center"/>
            </w:pPr>
            <w:r>
              <w:rPr>
                <w:color w:val="000000"/>
                <w:sz w:val="24"/>
                <w:szCs w:val="24"/>
              </w:rPr>
              <w:t>002410</w:t>
            </w:r>
          </w:p>
        </w:tc>
        <w:tc>
          <w:tcPr>
            <w:vAlign w:val="center"/>
          </w:tcPr>
          <w:p>
            <w:pPr>
              <w:jc w:val="center"/>
            </w:pPr>
            <w:r>
              <w:rPr>
                <w:color w:val="000000"/>
                <w:sz w:val="24"/>
                <w:szCs w:val="24"/>
              </w:rPr>
              <w:t>广联达</w:t>
            </w:r>
          </w:p>
        </w:tc>
        <w:tc>
          <w:tcPr>
            <w:vAlign w:val="center"/>
          </w:tcPr>
          <w:p>
            <w:pPr>
              <w:jc w:val="right"/>
            </w:pPr>
            <w:r>
              <w:rPr>
                <w:color w:val="000000"/>
                <w:sz w:val="24"/>
                <w:szCs w:val="24"/>
              </w:rPr>
              <w:t>2,952,277</w:t>
            </w:r>
          </w:p>
        </w:tc>
        <w:tc>
          <w:tcPr>
            <w:vAlign w:val="center"/>
          </w:tcPr>
          <w:p>
            <w:pPr>
              <w:jc w:val="right"/>
            </w:pPr>
            <w:r>
              <w:rPr>
                <w:color w:val="000000"/>
                <w:sz w:val="24"/>
                <w:szCs w:val="24"/>
              </w:rPr>
              <w:t>61,064,884.37</w:t>
            </w:r>
          </w:p>
        </w:tc>
        <w:tc>
          <w:tcPr>
            <w:vAlign w:val="center"/>
          </w:tcPr>
          <w:p>
            <w:pPr>
              <w:jc w:val="right"/>
            </w:pPr>
            <w:r>
              <w:rPr>
                <w:color w:val="000000"/>
                <w:sz w:val="24"/>
                <w:szCs w:val="24"/>
              </w:rPr>
              <w:t>3.55</w:t>
            </w:r>
          </w:p>
        </w:tc>
      </w:tr>
      <w:tr>
        <w:tc>
          <w:tcPr>
            <w:vAlign w:val="center"/>
          </w:tcPr>
          <w:p>
            <w:pPr>
              <w:jc w:val="center"/>
            </w:pPr>
            <w:r>
              <w:rPr>
                <w:color w:val="000000"/>
                <w:sz w:val="24"/>
                <w:szCs w:val="24"/>
              </w:rPr>
              <w:t>6</w:t>
            </w:r>
          </w:p>
        </w:tc>
        <w:tc>
          <w:tcPr>
            <w:vAlign w:val="center"/>
          </w:tcPr>
          <w:p>
            <w:pPr>
              <w:jc w:val="center"/>
            </w:pPr>
            <w:r>
              <w:rPr>
                <w:color w:val="000000"/>
                <w:sz w:val="24"/>
                <w:szCs w:val="24"/>
              </w:rPr>
              <w:t>603039</w:t>
            </w:r>
          </w:p>
        </w:tc>
        <w:tc>
          <w:tcPr>
            <w:vAlign w:val="center"/>
          </w:tcPr>
          <w:p>
            <w:pPr>
              <w:jc w:val="center"/>
            </w:pPr>
            <w:r>
              <w:rPr>
                <w:color w:val="000000"/>
                <w:sz w:val="24"/>
                <w:szCs w:val="24"/>
              </w:rPr>
              <w:t>泛微网络</w:t>
            </w:r>
          </w:p>
        </w:tc>
        <w:tc>
          <w:tcPr>
            <w:vAlign w:val="center"/>
          </w:tcPr>
          <w:p>
            <w:pPr>
              <w:jc w:val="right"/>
            </w:pPr>
            <w:r>
              <w:rPr>
                <w:color w:val="000000"/>
                <w:sz w:val="24"/>
                <w:szCs w:val="24"/>
              </w:rPr>
              <w:t>767,258</w:t>
            </w:r>
          </w:p>
        </w:tc>
        <w:tc>
          <w:tcPr>
            <w:vAlign w:val="center"/>
          </w:tcPr>
          <w:p>
            <w:pPr>
              <w:jc w:val="right"/>
            </w:pPr>
            <w:r>
              <w:rPr>
                <w:color w:val="000000"/>
                <w:sz w:val="24"/>
                <w:szCs w:val="24"/>
              </w:rPr>
              <w:t>55,472,753.40</w:t>
            </w:r>
          </w:p>
        </w:tc>
        <w:tc>
          <w:tcPr>
            <w:vAlign w:val="center"/>
          </w:tcPr>
          <w:p>
            <w:pPr>
              <w:jc w:val="right"/>
            </w:pPr>
            <w:r>
              <w:rPr>
                <w:color w:val="000000"/>
                <w:sz w:val="24"/>
                <w:szCs w:val="24"/>
              </w:rPr>
              <w:t>3.23</w:t>
            </w:r>
          </w:p>
        </w:tc>
      </w:tr>
      <w:tr>
        <w:tc>
          <w:tcPr>
            <w:vAlign w:val="center"/>
          </w:tcPr>
          <w:p>
            <w:pPr>
              <w:jc w:val="center"/>
            </w:pPr>
            <w:r>
              <w:rPr>
                <w:color w:val="000000"/>
                <w:sz w:val="24"/>
                <w:szCs w:val="24"/>
              </w:rPr>
              <w:t>7</w:t>
            </w:r>
          </w:p>
        </w:tc>
        <w:tc>
          <w:tcPr>
            <w:vAlign w:val="center"/>
          </w:tcPr>
          <w:p>
            <w:pPr>
              <w:jc w:val="center"/>
            </w:pPr>
            <w:r>
              <w:rPr>
                <w:color w:val="000000"/>
                <w:sz w:val="24"/>
                <w:szCs w:val="24"/>
              </w:rPr>
              <w:t>601100</w:t>
            </w:r>
          </w:p>
        </w:tc>
        <w:tc>
          <w:tcPr>
            <w:vAlign w:val="center"/>
          </w:tcPr>
          <w:p>
            <w:pPr>
              <w:jc w:val="center"/>
            </w:pPr>
            <w:r>
              <w:rPr>
                <w:color w:val="000000"/>
                <w:sz w:val="24"/>
                <w:szCs w:val="24"/>
              </w:rPr>
              <w:t>恒立液压</w:t>
            </w:r>
          </w:p>
        </w:tc>
        <w:tc>
          <w:tcPr>
            <w:vAlign w:val="center"/>
          </w:tcPr>
          <w:p>
            <w:pPr>
              <w:jc w:val="right"/>
            </w:pPr>
            <w:r>
              <w:rPr>
                <w:color w:val="000000"/>
                <w:sz w:val="24"/>
                <w:szCs w:val="24"/>
              </w:rPr>
              <w:t>2,502,257</w:t>
            </w:r>
          </w:p>
        </w:tc>
        <w:tc>
          <w:tcPr>
            <w:vAlign w:val="center"/>
          </w:tcPr>
          <w:p>
            <w:pPr>
              <w:jc w:val="right"/>
            </w:pPr>
            <w:r>
              <w:rPr>
                <w:color w:val="000000"/>
                <w:sz w:val="24"/>
                <w:szCs w:val="24"/>
              </w:rPr>
              <w:t>49,569,711.17</w:t>
            </w:r>
          </w:p>
        </w:tc>
        <w:tc>
          <w:tcPr>
            <w:vAlign w:val="center"/>
          </w:tcPr>
          <w:p>
            <w:pPr>
              <w:jc w:val="right"/>
            </w:pPr>
            <w:r>
              <w:rPr>
                <w:color w:val="000000"/>
                <w:sz w:val="24"/>
                <w:szCs w:val="24"/>
              </w:rPr>
              <w:t>2.88</w:t>
            </w:r>
          </w:p>
        </w:tc>
      </w:tr>
      <w:tr>
        <w:tc>
          <w:tcPr>
            <w:vAlign w:val="center"/>
          </w:tcPr>
          <w:p>
            <w:pPr>
              <w:jc w:val="center"/>
            </w:pPr>
            <w:r>
              <w:rPr>
                <w:color w:val="000000"/>
                <w:sz w:val="24"/>
                <w:szCs w:val="24"/>
              </w:rPr>
              <w:t>8</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1,790,339</w:t>
            </w:r>
          </w:p>
        </w:tc>
        <w:tc>
          <w:tcPr>
            <w:vAlign w:val="center"/>
          </w:tcPr>
          <w:p>
            <w:pPr>
              <w:jc w:val="right"/>
            </w:pPr>
            <w:r>
              <w:rPr>
                <w:color w:val="000000"/>
                <w:sz w:val="24"/>
                <w:szCs w:val="24"/>
              </w:rPr>
              <w:t>37,418,085.10</w:t>
            </w:r>
          </w:p>
        </w:tc>
        <w:tc>
          <w:tcPr>
            <w:vAlign w:val="center"/>
          </w:tcPr>
          <w:p>
            <w:pPr>
              <w:jc w:val="right"/>
            </w:pPr>
            <w:r>
              <w:rPr>
                <w:color w:val="000000"/>
                <w:sz w:val="24"/>
                <w:szCs w:val="24"/>
              </w:rPr>
              <w:t>2.18</w:t>
            </w:r>
          </w:p>
        </w:tc>
      </w:tr>
      <w:tr>
        <w:tc>
          <w:tcPr>
            <w:vAlign w:val="center"/>
          </w:tcPr>
          <w:p>
            <w:pPr>
              <w:jc w:val="center"/>
            </w:pPr>
            <w:r>
              <w:rPr>
                <w:color w:val="000000"/>
                <w:sz w:val="24"/>
                <w:szCs w:val="24"/>
              </w:rPr>
              <w:t>9</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2,622,053</w:t>
            </w:r>
          </w:p>
        </w:tc>
        <w:tc>
          <w:tcPr>
            <w:vAlign w:val="center"/>
          </w:tcPr>
          <w:p>
            <w:pPr>
              <w:jc w:val="right"/>
            </w:pPr>
            <w:r>
              <w:rPr>
                <w:color w:val="000000"/>
                <w:sz w:val="24"/>
                <w:szCs w:val="24"/>
              </w:rPr>
              <w:t>30,914,004.87</w:t>
            </w:r>
          </w:p>
        </w:tc>
        <w:tc>
          <w:tcPr>
            <w:vAlign w:val="center"/>
          </w:tcPr>
          <w:p>
            <w:pPr>
              <w:jc w:val="right"/>
            </w:pPr>
            <w:r>
              <w:rPr>
                <w:color w:val="000000"/>
                <w:sz w:val="24"/>
                <w:szCs w:val="24"/>
              </w:rPr>
              <w:t>1.80</w:t>
            </w:r>
          </w:p>
        </w:tc>
      </w:tr>
      <w:tr>
        <w:tc>
          <w:tcPr>
            <w:vAlign w:val="center"/>
          </w:tcPr>
          <w:p>
            <w:pPr>
              <w:jc w:val="center"/>
            </w:pPr>
            <w:r>
              <w:rPr>
                <w:color w:val="000000"/>
                <w:sz w:val="24"/>
                <w:szCs w:val="24"/>
              </w:rPr>
              <w:t>10</w:t>
            </w:r>
          </w:p>
        </w:tc>
        <w:tc>
          <w:tcPr>
            <w:vAlign w:val="center"/>
          </w:tcPr>
          <w:p>
            <w:pPr>
              <w:jc w:val="center"/>
            </w:pPr>
            <w:r>
              <w:rPr>
                <w:color w:val="000000"/>
                <w:sz w:val="24"/>
                <w:szCs w:val="24"/>
              </w:rPr>
              <w:t>601012</w:t>
            </w:r>
          </w:p>
        </w:tc>
        <w:tc>
          <w:tcPr>
            <w:vAlign w:val="center"/>
          </w:tcPr>
          <w:p>
            <w:pPr>
              <w:jc w:val="center"/>
            </w:pPr>
            <w:r>
              <w:rPr>
                <w:color w:val="000000"/>
                <w:sz w:val="24"/>
                <w:szCs w:val="24"/>
              </w:rPr>
              <w:t>隆基股份</w:t>
            </w:r>
          </w:p>
        </w:tc>
        <w:tc>
          <w:tcPr>
            <w:vAlign w:val="center"/>
          </w:tcPr>
          <w:p>
            <w:pPr>
              <w:jc w:val="right"/>
            </w:pPr>
            <w:r>
              <w:rPr>
                <w:color w:val="000000"/>
                <w:sz w:val="24"/>
                <w:szCs w:val="24"/>
              </w:rPr>
              <w:t>1,769,356</w:t>
            </w:r>
          </w:p>
        </w:tc>
        <w:tc>
          <w:tcPr>
            <w:vAlign w:val="center"/>
          </w:tcPr>
          <w:p>
            <w:pPr>
              <w:jc w:val="right"/>
            </w:pPr>
            <w:r>
              <w:rPr>
                <w:color w:val="000000"/>
                <w:sz w:val="24"/>
                <w:szCs w:val="24"/>
              </w:rPr>
              <w:t>30,857,568.64</w:t>
            </w:r>
          </w:p>
        </w:tc>
        <w:tc>
          <w:tcPr>
            <w:vAlign w:val="center"/>
          </w:tcPr>
          <w:p>
            <w:pPr>
              <w:jc w:val="right"/>
            </w:pPr>
            <w:r>
              <w:rPr>
                <w:color w:val="000000"/>
                <w:sz w:val="24"/>
                <w:szCs w:val="24"/>
              </w:rPr>
              <w:t>1.79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89,460,000.00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5.20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89,460,000.00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5.20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189953</w:t>
            </w:r>
          </w:p>
        </w:tc>
        <w:tc>
          <w:tcPr>
            <w:vAlign w:val="center"/>
          </w:tcPr>
          <w:p>
            <w:pPr>
              <w:jc w:val="center"/>
            </w:pPr>
            <w:r>
              <w:rPr>
                <w:color w:val="000000"/>
                <w:sz w:val="24"/>
                <w:szCs w:val="24"/>
              </w:rPr>
              <w:t>18贴现国债53</w:t>
            </w:r>
          </w:p>
        </w:tc>
        <w:tc>
          <w:tcPr>
            <w:vAlign w:val="center"/>
          </w:tcPr>
          <w:p>
            <w:pPr>
              <w:jc w:val="right"/>
            </w:pPr>
            <w:r>
              <w:rPr>
                <w:color w:val="000000"/>
                <w:sz w:val="24"/>
                <w:szCs w:val="24"/>
              </w:rPr>
              <w:t>900,000</w:t>
            </w:r>
          </w:p>
        </w:tc>
        <w:tc>
          <w:tcPr>
            <w:vAlign w:val="center"/>
          </w:tcPr>
          <w:p>
            <w:pPr>
              <w:jc w:val="right"/>
            </w:pPr>
            <w:r>
              <w:rPr>
                <w:color w:val="000000"/>
                <w:sz w:val="24"/>
                <w:szCs w:val="24"/>
              </w:rPr>
              <w:t>89,460,000.00</w:t>
            </w:r>
          </w:p>
        </w:tc>
        <w:tc>
          <w:tcPr>
            <w:vAlign w:val="center"/>
          </w:tcPr>
          <w:p>
            <w:pPr>
              <w:jc w:val="right"/>
            </w:pPr>
            <w:r>
              <w:rPr>
                <w:color w:val="000000"/>
                <w:sz w:val="24"/>
                <w:szCs w:val="24"/>
              </w:rPr>
              <w:t>5.20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841,223.56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494,173.82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3,484,838.56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4,820,235.94</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type="dxa" w:w="8868"/>
        <w:jc w:val="center"/>
        <w:tblLayout w:type="fixed"/>
        <w:tblCellMar>
          <w:top w:type="dxa" w:w="57"/>
          <w:bottom w:type="dxa" w:w="57"/>
        </w:tblCellMar>
        <w:tblLook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002410</w:t>
            </w:r>
          </w:p>
        </w:tc>
        <w:tc>
          <w:tcPr>
            <w:vAlign w:val="center"/>
          </w:tcPr>
          <w:p>
            <w:pPr>
              <w:jc w:val="center"/>
            </w:pPr>
            <w:r>
              <w:rPr>
                <w:color w:val="000000"/>
                <w:sz w:val="24"/>
                <w:szCs w:val="24"/>
              </w:rPr>
              <w:t>广联达</w:t>
            </w:r>
          </w:p>
        </w:tc>
        <w:tc>
          <w:tcPr>
            <w:vAlign w:val="center"/>
          </w:tcPr>
          <w:p>
            <w:pPr>
              <w:jc w:val="right"/>
            </w:pPr>
            <w:r>
              <w:rPr>
                <w:color w:val="000000"/>
                <w:sz w:val="24"/>
                <w:szCs w:val="24"/>
              </w:rPr>
              <w:t>7,952,000.00</w:t>
            </w:r>
          </w:p>
        </w:tc>
        <w:tc>
          <w:tcPr>
            <w:vAlign w:val="center"/>
          </w:tcPr>
          <w:p>
            <w:pPr>
              <w:jc w:val="right"/>
            </w:pPr>
            <w:r>
              <w:rPr>
                <w:color w:val="000000"/>
                <w:sz w:val="24"/>
                <w:szCs w:val="24"/>
              </w:rPr>
              <w:t>0.46</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2</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7,130,700.00</w:t>
            </w:r>
          </w:p>
        </w:tc>
        <w:tc>
          <w:tcPr>
            <w:vAlign w:val="center"/>
          </w:tcPr>
          <w:p>
            <w:pPr>
              <w:jc w:val="right"/>
            </w:pPr>
            <w:r>
              <w:rPr>
                <w:color w:val="000000"/>
                <w:sz w:val="24"/>
                <w:szCs w:val="24"/>
              </w:rPr>
              <w:t>0.41</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625,877,310.53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153,919,711.43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111,969,574.19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667,827,447.77</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1、中国证监会批准交银施罗德定期支付双息平衡混合型证券投资基金募集的文件；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2、《交银施罗德定期支付双息平衡混合型证券投资基金基金合同》；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3、《交银施罗德定期支付双息平衡混合型证券投资基金招募说明书》；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4、《交银施罗德定期支付双息平衡混合型证券投资基金托管协议》；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5、关于募集交银施罗德定期支付双息平衡混合型证券投资基金之法律意见书；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8、报告期内交银施罗德定期支付双息平衡混合型证券投资基金在指定报刊上各项公告的原稿。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交银施罗德定期支付双息平衡混合型证券投资基金2018年第4季度报告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