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12E7B" w:rsidRDefault="00E91FB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12E7B" w:rsidRDefault="00E91FB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12E7B" w:rsidRDefault="00E91FB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12E7B" w:rsidRDefault="00E91FB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12E7B" w:rsidRDefault="00E91FB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1,588,107,243.95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875DA" w:rsidRPr="00414345" w:rsidTr="006875D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875DA" w:rsidRPr="00414345" w:rsidTr="006875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-123,734,836.10</w:t>
            </w:r>
          </w:p>
        </w:tc>
      </w:tr>
      <w:tr w:rsidR="006875DA" w:rsidRPr="00414345" w:rsidTr="006875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-300,897,964.27</w:t>
            </w:r>
          </w:p>
        </w:tc>
      </w:tr>
      <w:tr w:rsidR="006875DA" w:rsidRPr="00414345" w:rsidTr="006875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-0.1916</w:t>
            </w:r>
          </w:p>
        </w:tc>
      </w:tr>
      <w:tr w:rsidR="006875DA" w:rsidRPr="00414345" w:rsidTr="006875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2,727,224,046.08</w:t>
            </w:r>
          </w:p>
        </w:tc>
      </w:tr>
      <w:tr w:rsidR="006875DA" w:rsidRPr="00414345" w:rsidTr="006875D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1.717</w:t>
            </w:r>
          </w:p>
        </w:tc>
      </w:tr>
    </w:tbl>
    <w:p w:rsidR="00A12E7B" w:rsidRDefault="00E91FB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12E7B">
        <w:trPr>
          <w:jc w:val="center"/>
        </w:trPr>
        <w:tc>
          <w:tcPr>
            <w:tcW w:w="1701" w:type="dxa"/>
            <w:vAlign w:val="center"/>
          </w:tcPr>
          <w:p w:rsidR="00A12E7B" w:rsidRDefault="00E91FB8">
            <w:pPr>
              <w:jc w:val="left"/>
            </w:pPr>
            <w:r>
              <w:rPr>
                <w:color w:val="000000"/>
                <w:sz w:val="24"/>
                <w:szCs w:val="24"/>
              </w:rPr>
              <w:t>过去三个月</w:t>
            </w:r>
          </w:p>
        </w:tc>
        <w:tc>
          <w:tcPr>
            <w:tcW w:w="1045" w:type="dxa"/>
            <w:vAlign w:val="center"/>
          </w:tcPr>
          <w:p w:rsidR="00A12E7B" w:rsidRDefault="00E91FB8">
            <w:pPr>
              <w:jc w:val="center"/>
            </w:pPr>
            <w:r>
              <w:rPr>
                <w:color w:val="000000"/>
                <w:sz w:val="24"/>
                <w:szCs w:val="24"/>
              </w:rPr>
              <w:t>-9.78%</w:t>
            </w:r>
          </w:p>
        </w:tc>
        <w:tc>
          <w:tcPr>
            <w:tcW w:w="1344" w:type="dxa"/>
            <w:vAlign w:val="center"/>
          </w:tcPr>
          <w:p w:rsidR="00A12E7B" w:rsidRDefault="00E91FB8">
            <w:pPr>
              <w:jc w:val="center"/>
            </w:pPr>
            <w:r>
              <w:rPr>
                <w:color w:val="000000"/>
                <w:sz w:val="24"/>
                <w:szCs w:val="24"/>
              </w:rPr>
              <w:t>1.61%</w:t>
            </w:r>
          </w:p>
        </w:tc>
        <w:tc>
          <w:tcPr>
            <w:tcW w:w="1194" w:type="dxa"/>
            <w:vAlign w:val="center"/>
          </w:tcPr>
          <w:p w:rsidR="00A12E7B" w:rsidRDefault="00E91FB8">
            <w:pPr>
              <w:jc w:val="center"/>
            </w:pPr>
            <w:r>
              <w:rPr>
                <w:color w:val="000000"/>
                <w:sz w:val="24"/>
                <w:szCs w:val="24"/>
              </w:rPr>
              <w:t>-8.77%</w:t>
            </w:r>
          </w:p>
        </w:tc>
        <w:tc>
          <w:tcPr>
            <w:tcW w:w="1492" w:type="dxa"/>
            <w:vAlign w:val="center"/>
          </w:tcPr>
          <w:p w:rsidR="00A12E7B" w:rsidRDefault="00E91FB8">
            <w:pPr>
              <w:jc w:val="center"/>
            </w:pPr>
            <w:r>
              <w:rPr>
                <w:color w:val="000000"/>
                <w:sz w:val="24"/>
                <w:szCs w:val="24"/>
              </w:rPr>
              <w:t>1.23%</w:t>
            </w:r>
          </w:p>
        </w:tc>
        <w:tc>
          <w:tcPr>
            <w:tcW w:w="1194" w:type="dxa"/>
            <w:vAlign w:val="center"/>
          </w:tcPr>
          <w:p w:rsidR="00A12E7B" w:rsidRDefault="00E91FB8">
            <w:pPr>
              <w:jc w:val="center"/>
            </w:pPr>
            <w:r>
              <w:rPr>
                <w:color w:val="000000"/>
                <w:sz w:val="24"/>
                <w:szCs w:val="24"/>
              </w:rPr>
              <w:t>-1.01%</w:t>
            </w:r>
          </w:p>
        </w:tc>
        <w:tc>
          <w:tcPr>
            <w:tcW w:w="898" w:type="dxa"/>
            <w:vAlign w:val="center"/>
          </w:tcPr>
          <w:p w:rsidR="00A12E7B" w:rsidRDefault="00E91FB8">
            <w:pPr>
              <w:jc w:val="center"/>
            </w:pPr>
            <w:r>
              <w:rPr>
                <w:color w:val="000000"/>
                <w:sz w:val="24"/>
                <w:szCs w:val="24"/>
              </w:rPr>
              <w:t>0.38%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12E7B">
        <w:trPr>
          <w:jc w:val="center"/>
        </w:trPr>
        <w:tc>
          <w:tcPr>
            <w:tcW w:w="846" w:type="dxa"/>
            <w:vAlign w:val="center"/>
          </w:tcPr>
          <w:p w:rsidR="00A12E7B" w:rsidRDefault="00E91FB8">
            <w:pPr>
              <w:jc w:val="center"/>
            </w:pPr>
            <w:r>
              <w:rPr>
                <w:color w:val="000000"/>
                <w:sz w:val="24"/>
                <w:szCs w:val="24"/>
              </w:rPr>
              <w:t>何帅</w:t>
            </w:r>
          </w:p>
        </w:tc>
        <w:tc>
          <w:tcPr>
            <w:tcW w:w="845" w:type="dxa"/>
            <w:vAlign w:val="center"/>
          </w:tcPr>
          <w:p w:rsidR="00A12E7B" w:rsidRDefault="00E91FB8">
            <w:pPr>
              <w:jc w:val="center"/>
            </w:pPr>
            <w:r>
              <w:rPr>
                <w:color w:val="000000"/>
                <w:sz w:val="24"/>
                <w:szCs w:val="24"/>
              </w:rPr>
              <w:t>交银优势行业混合、交银阿尔法核心混合、交银持续成长主题混合的基金经理</w:t>
            </w:r>
          </w:p>
        </w:tc>
        <w:tc>
          <w:tcPr>
            <w:tcW w:w="1549" w:type="dxa"/>
            <w:vAlign w:val="center"/>
          </w:tcPr>
          <w:p w:rsidR="00A12E7B" w:rsidRDefault="00E91FB8">
            <w:pPr>
              <w:jc w:val="center"/>
            </w:pPr>
            <w:r>
              <w:rPr>
                <w:color w:val="000000"/>
                <w:sz w:val="24"/>
                <w:szCs w:val="24"/>
              </w:rPr>
              <w:t>2015-09-16</w:t>
            </w:r>
          </w:p>
        </w:tc>
        <w:tc>
          <w:tcPr>
            <w:tcW w:w="1548" w:type="dxa"/>
            <w:vAlign w:val="center"/>
          </w:tcPr>
          <w:p w:rsidR="00A12E7B" w:rsidRDefault="00E91FB8">
            <w:pPr>
              <w:jc w:val="center"/>
            </w:pPr>
            <w:r>
              <w:rPr>
                <w:color w:val="000000"/>
                <w:sz w:val="24"/>
                <w:szCs w:val="24"/>
              </w:rPr>
              <w:t>-</w:t>
            </w:r>
          </w:p>
        </w:tc>
        <w:tc>
          <w:tcPr>
            <w:tcW w:w="1407" w:type="dxa"/>
            <w:vAlign w:val="center"/>
          </w:tcPr>
          <w:p w:rsidR="00A12E7B" w:rsidRDefault="00E91FB8">
            <w:pPr>
              <w:jc w:val="center"/>
            </w:pPr>
            <w:r>
              <w:rPr>
                <w:color w:val="000000"/>
                <w:sz w:val="24"/>
                <w:szCs w:val="24"/>
              </w:rPr>
              <w:t>8</w:t>
            </w:r>
            <w:r>
              <w:rPr>
                <w:color w:val="000000"/>
                <w:sz w:val="24"/>
                <w:szCs w:val="24"/>
              </w:rPr>
              <w:t>年</w:t>
            </w:r>
          </w:p>
        </w:tc>
        <w:tc>
          <w:tcPr>
            <w:tcW w:w="2673" w:type="dxa"/>
            <w:vAlign w:val="center"/>
          </w:tcPr>
          <w:p w:rsidR="00A12E7B" w:rsidRDefault="00E91FB8">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12E7B" w:rsidRDefault="00E91FB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12E7B" w:rsidRDefault="00E91FB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12E7B" w:rsidRDefault="00E91FB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12E7B" w:rsidRDefault="00E91FB8">
      <w:pPr>
        <w:spacing w:before="29" w:line="288" w:lineRule="auto"/>
        <w:ind w:firstLineChars="200" w:firstLine="480"/>
        <w:rPr>
          <w:color w:val="000000"/>
          <w:sz w:val="24"/>
          <w:szCs w:val="24"/>
        </w:rPr>
      </w:pPr>
      <w:r>
        <w:rPr>
          <w:color w:val="000000"/>
          <w:sz w:val="24"/>
          <w:szCs w:val="24"/>
        </w:rPr>
        <w:t>2018</w:t>
      </w:r>
      <w:r>
        <w:rPr>
          <w:color w:val="000000"/>
          <w:sz w:val="24"/>
          <w:szCs w:val="24"/>
        </w:rPr>
        <w:t>年四季度</w:t>
      </w:r>
      <w:r>
        <w:rPr>
          <w:color w:val="000000"/>
          <w:sz w:val="24"/>
          <w:szCs w:val="24"/>
        </w:rPr>
        <w:t>A</w:t>
      </w:r>
      <w:r>
        <w:rPr>
          <w:color w:val="000000"/>
          <w:sz w:val="24"/>
          <w:szCs w:val="24"/>
        </w:rPr>
        <w:t>股市场下跌明显，上证指数下跌</w:t>
      </w:r>
      <w:r>
        <w:rPr>
          <w:color w:val="000000"/>
          <w:sz w:val="24"/>
          <w:szCs w:val="24"/>
        </w:rPr>
        <w:t>11.61%</w:t>
      </w:r>
      <w:r>
        <w:rPr>
          <w:color w:val="000000"/>
          <w:sz w:val="24"/>
          <w:szCs w:val="24"/>
        </w:rPr>
        <w:t>，创业板指数下跌</w:t>
      </w:r>
      <w:r>
        <w:rPr>
          <w:color w:val="000000"/>
          <w:sz w:val="24"/>
          <w:szCs w:val="24"/>
        </w:rPr>
        <w:t>11.39%</w:t>
      </w:r>
      <w:r>
        <w:rPr>
          <w:color w:val="000000"/>
          <w:sz w:val="24"/>
          <w:szCs w:val="24"/>
        </w:rPr>
        <w:t>。其中银行、地产等板块相对抗跌，而医药、电子等板块下跌明显。</w:t>
      </w:r>
    </w:p>
    <w:p w:rsidR="00A12E7B" w:rsidRDefault="00E91FB8">
      <w:pPr>
        <w:spacing w:before="29" w:line="288" w:lineRule="auto"/>
        <w:ind w:firstLineChars="200" w:firstLine="480"/>
        <w:rPr>
          <w:color w:val="000000"/>
          <w:sz w:val="24"/>
          <w:szCs w:val="24"/>
        </w:rPr>
      </w:pPr>
      <w:r>
        <w:rPr>
          <w:color w:val="000000"/>
          <w:sz w:val="24"/>
          <w:szCs w:val="24"/>
        </w:rPr>
        <w:t>本基金在四季度未能有明显超额收益，主要原因是持仓的医药服务类个股回落较大，而先进服务业、先进制造等领域较为稳健。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宏观经济指标在四季度有明显回落，宏观政策基本确认由中性向适度宽松转变，货币政策整体宽松但传导至实体经济需要时间，股票市场在此环境下预计以震荡走势为主。在整体经济周期趋弱的环境下，我们将持续关注优秀的公司，那些在经济周期下行过程中竞争力不受影响，甚至市场份额反而提升的公司。我们希望通过深度研究，找到需求可持续增长的行业，竞争力可持续拓宽的公司，从公司价值的可持续成长空间中获利，并希望能够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2,193,458,079.96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79.15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2,193,458,079.96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79.15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149,997,713.60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149,997,713.60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229,800,864.70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179,800,083.28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18,127,504.22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0.65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2,771,184,245.76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770,800.00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458,506,162.88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1,505,700.00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6,657,040.00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304,600.00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984,242,158.35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41,982,284.66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128,769,119.94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73,035.04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82,635,520.50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324,006.08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356,223,596.39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131,090,376.12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94,080.00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2,193,458,079.96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80.43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12E7B">
        <w:trPr>
          <w:jc w:val="center"/>
        </w:trPr>
        <w:tc>
          <w:tcPr>
            <w:tcW w:w="855" w:type="dxa"/>
            <w:vAlign w:val="center"/>
          </w:tcPr>
          <w:p w:rsidR="00A12E7B" w:rsidRDefault="00E91FB8">
            <w:pPr>
              <w:jc w:val="center"/>
            </w:pPr>
            <w:r>
              <w:rPr>
                <w:color w:val="000000"/>
                <w:sz w:val="24"/>
                <w:szCs w:val="24"/>
              </w:rPr>
              <w:t>1</w:t>
            </w:r>
          </w:p>
        </w:tc>
        <w:tc>
          <w:tcPr>
            <w:tcW w:w="1334" w:type="dxa"/>
            <w:vAlign w:val="center"/>
          </w:tcPr>
          <w:p w:rsidR="00A12E7B" w:rsidRDefault="00E91FB8">
            <w:pPr>
              <w:jc w:val="center"/>
            </w:pPr>
            <w:r>
              <w:rPr>
                <w:color w:val="000000"/>
                <w:sz w:val="24"/>
                <w:szCs w:val="24"/>
              </w:rPr>
              <w:t>002044</w:t>
            </w:r>
          </w:p>
        </w:tc>
        <w:tc>
          <w:tcPr>
            <w:tcW w:w="1777" w:type="dxa"/>
            <w:vAlign w:val="center"/>
          </w:tcPr>
          <w:p w:rsidR="00A12E7B" w:rsidRDefault="00E91FB8">
            <w:pPr>
              <w:jc w:val="center"/>
            </w:pPr>
            <w:r>
              <w:rPr>
                <w:color w:val="000000"/>
                <w:sz w:val="24"/>
                <w:szCs w:val="24"/>
              </w:rPr>
              <w:t>美年健康</w:t>
            </w:r>
          </w:p>
        </w:tc>
        <w:tc>
          <w:tcPr>
            <w:tcW w:w="1334" w:type="dxa"/>
            <w:vAlign w:val="center"/>
          </w:tcPr>
          <w:p w:rsidR="00A12E7B" w:rsidRDefault="00E91FB8">
            <w:pPr>
              <w:jc w:val="right"/>
            </w:pPr>
            <w:r>
              <w:rPr>
                <w:color w:val="000000"/>
                <w:sz w:val="24"/>
                <w:szCs w:val="24"/>
              </w:rPr>
              <w:t>14,400,625</w:t>
            </w:r>
          </w:p>
        </w:tc>
        <w:tc>
          <w:tcPr>
            <w:tcW w:w="1924" w:type="dxa"/>
            <w:vAlign w:val="center"/>
          </w:tcPr>
          <w:p w:rsidR="00A12E7B" w:rsidRDefault="00E91FB8">
            <w:pPr>
              <w:jc w:val="right"/>
            </w:pPr>
            <w:r>
              <w:rPr>
                <w:color w:val="000000"/>
                <w:sz w:val="24"/>
                <w:szCs w:val="24"/>
              </w:rPr>
              <w:t>215,289,343.75</w:t>
            </w:r>
          </w:p>
        </w:tc>
        <w:tc>
          <w:tcPr>
            <w:tcW w:w="1644" w:type="dxa"/>
            <w:vAlign w:val="center"/>
          </w:tcPr>
          <w:p w:rsidR="00A12E7B" w:rsidRDefault="00E91FB8">
            <w:pPr>
              <w:jc w:val="right"/>
            </w:pPr>
            <w:r>
              <w:rPr>
                <w:color w:val="000000"/>
                <w:sz w:val="24"/>
                <w:szCs w:val="24"/>
              </w:rPr>
              <w:t>7.89</w:t>
            </w:r>
          </w:p>
        </w:tc>
      </w:tr>
      <w:tr w:rsidR="00A12E7B">
        <w:trPr>
          <w:jc w:val="center"/>
        </w:trPr>
        <w:tc>
          <w:tcPr>
            <w:tcW w:w="855" w:type="dxa"/>
            <w:vAlign w:val="center"/>
          </w:tcPr>
          <w:p w:rsidR="00A12E7B" w:rsidRDefault="00E91FB8">
            <w:pPr>
              <w:jc w:val="center"/>
            </w:pPr>
            <w:r>
              <w:rPr>
                <w:color w:val="000000"/>
                <w:sz w:val="24"/>
                <w:szCs w:val="24"/>
              </w:rPr>
              <w:t>2</w:t>
            </w:r>
          </w:p>
        </w:tc>
        <w:tc>
          <w:tcPr>
            <w:tcW w:w="1334" w:type="dxa"/>
            <w:vAlign w:val="center"/>
          </w:tcPr>
          <w:p w:rsidR="00A12E7B" w:rsidRDefault="00E91FB8">
            <w:pPr>
              <w:jc w:val="center"/>
            </w:pPr>
            <w:r>
              <w:rPr>
                <w:color w:val="000000"/>
                <w:sz w:val="24"/>
                <w:szCs w:val="24"/>
              </w:rPr>
              <w:t>300188</w:t>
            </w:r>
          </w:p>
        </w:tc>
        <w:tc>
          <w:tcPr>
            <w:tcW w:w="1777" w:type="dxa"/>
            <w:vAlign w:val="center"/>
          </w:tcPr>
          <w:p w:rsidR="00A12E7B" w:rsidRDefault="00E91FB8">
            <w:pPr>
              <w:jc w:val="center"/>
            </w:pPr>
            <w:r>
              <w:rPr>
                <w:color w:val="000000"/>
                <w:sz w:val="24"/>
                <w:szCs w:val="24"/>
              </w:rPr>
              <w:t>美亚柏科</w:t>
            </w:r>
          </w:p>
        </w:tc>
        <w:tc>
          <w:tcPr>
            <w:tcW w:w="1334" w:type="dxa"/>
            <w:vAlign w:val="center"/>
          </w:tcPr>
          <w:p w:rsidR="00A12E7B" w:rsidRDefault="006875DA">
            <w:pPr>
              <w:jc w:val="right"/>
            </w:pPr>
            <w:r>
              <w:rPr>
                <w:color w:val="000000"/>
                <w:sz w:val="24"/>
                <w:szCs w:val="24"/>
              </w:rPr>
              <w:t>16,544,116</w:t>
            </w:r>
          </w:p>
        </w:tc>
        <w:tc>
          <w:tcPr>
            <w:tcW w:w="1924" w:type="dxa"/>
            <w:vAlign w:val="center"/>
          </w:tcPr>
          <w:p w:rsidR="00A12E7B" w:rsidRDefault="006875DA">
            <w:pPr>
              <w:jc w:val="right"/>
            </w:pPr>
            <w:r w:rsidRPr="006875DA">
              <w:rPr>
                <w:color w:val="000000"/>
                <w:sz w:val="24"/>
                <w:szCs w:val="24"/>
              </w:rPr>
              <w:t>214,741,390.32</w:t>
            </w:r>
          </w:p>
        </w:tc>
        <w:tc>
          <w:tcPr>
            <w:tcW w:w="1644" w:type="dxa"/>
            <w:vAlign w:val="center"/>
          </w:tcPr>
          <w:p w:rsidR="00A12E7B" w:rsidRDefault="006875DA">
            <w:pPr>
              <w:jc w:val="right"/>
            </w:pPr>
            <w:r>
              <w:rPr>
                <w:color w:val="000000"/>
                <w:sz w:val="24"/>
                <w:szCs w:val="24"/>
              </w:rPr>
              <w:t>7.87</w:t>
            </w:r>
          </w:p>
        </w:tc>
      </w:tr>
      <w:tr w:rsidR="00A12E7B">
        <w:trPr>
          <w:jc w:val="center"/>
        </w:trPr>
        <w:tc>
          <w:tcPr>
            <w:tcW w:w="855" w:type="dxa"/>
            <w:vAlign w:val="center"/>
          </w:tcPr>
          <w:p w:rsidR="00A12E7B" w:rsidRDefault="00E91FB8">
            <w:pPr>
              <w:jc w:val="center"/>
            </w:pPr>
            <w:r>
              <w:rPr>
                <w:color w:val="000000"/>
                <w:sz w:val="24"/>
                <w:szCs w:val="24"/>
              </w:rPr>
              <w:t>3</w:t>
            </w:r>
          </w:p>
        </w:tc>
        <w:tc>
          <w:tcPr>
            <w:tcW w:w="1334" w:type="dxa"/>
            <w:vAlign w:val="center"/>
          </w:tcPr>
          <w:p w:rsidR="00A12E7B" w:rsidRDefault="00E91FB8">
            <w:pPr>
              <w:jc w:val="center"/>
            </w:pPr>
            <w:r>
              <w:rPr>
                <w:color w:val="000000"/>
                <w:sz w:val="24"/>
                <w:szCs w:val="24"/>
              </w:rPr>
              <w:t>300365</w:t>
            </w:r>
          </w:p>
        </w:tc>
        <w:tc>
          <w:tcPr>
            <w:tcW w:w="1777" w:type="dxa"/>
            <w:vAlign w:val="center"/>
          </w:tcPr>
          <w:p w:rsidR="00A12E7B" w:rsidRDefault="00E91FB8">
            <w:pPr>
              <w:jc w:val="center"/>
            </w:pPr>
            <w:r>
              <w:rPr>
                <w:color w:val="000000"/>
                <w:sz w:val="24"/>
                <w:szCs w:val="24"/>
              </w:rPr>
              <w:t>恒华科技</w:t>
            </w:r>
          </w:p>
        </w:tc>
        <w:tc>
          <w:tcPr>
            <w:tcW w:w="1334" w:type="dxa"/>
            <w:vAlign w:val="center"/>
          </w:tcPr>
          <w:p w:rsidR="00A12E7B" w:rsidRDefault="00E91FB8">
            <w:pPr>
              <w:jc w:val="right"/>
            </w:pPr>
            <w:r>
              <w:rPr>
                <w:color w:val="000000"/>
                <w:sz w:val="24"/>
                <w:szCs w:val="24"/>
              </w:rPr>
              <w:t>8,687,998</w:t>
            </w:r>
          </w:p>
        </w:tc>
        <w:tc>
          <w:tcPr>
            <w:tcW w:w="1924" w:type="dxa"/>
            <w:vAlign w:val="center"/>
          </w:tcPr>
          <w:p w:rsidR="00A12E7B" w:rsidRDefault="00E91FB8">
            <w:pPr>
              <w:jc w:val="right"/>
            </w:pPr>
            <w:r>
              <w:rPr>
                <w:color w:val="000000"/>
                <w:sz w:val="24"/>
                <w:szCs w:val="24"/>
              </w:rPr>
              <w:t>181,579,158.20</w:t>
            </w:r>
          </w:p>
        </w:tc>
        <w:tc>
          <w:tcPr>
            <w:tcW w:w="1644" w:type="dxa"/>
            <w:vAlign w:val="center"/>
          </w:tcPr>
          <w:p w:rsidR="00A12E7B" w:rsidRDefault="00E91FB8">
            <w:pPr>
              <w:jc w:val="right"/>
            </w:pPr>
            <w:r>
              <w:rPr>
                <w:color w:val="000000"/>
                <w:sz w:val="24"/>
                <w:szCs w:val="24"/>
              </w:rPr>
              <w:t>6.66</w:t>
            </w:r>
          </w:p>
        </w:tc>
      </w:tr>
      <w:tr w:rsidR="00A12E7B">
        <w:trPr>
          <w:jc w:val="center"/>
        </w:trPr>
        <w:tc>
          <w:tcPr>
            <w:tcW w:w="855" w:type="dxa"/>
            <w:vAlign w:val="center"/>
          </w:tcPr>
          <w:p w:rsidR="00A12E7B" w:rsidRDefault="00E91FB8">
            <w:pPr>
              <w:jc w:val="center"/>
            </w:pPr>
            <w:r>
              <w:rPr>
                <w:color w:val="000000"/>
                <w:sz w:val="24"/>
                <w:szCs w:val="24"/>
              </w:rPr>
              <w:t>4</w:t>
            </w:r>
          </w:p>
        </w:tc>
        <w:tc>
          <w:tcPr>
            <w:tcW w:w="1334" w:type="dxa"/>
            <w:vAlign w:val="center"/>
          </w:tcPr>
          <w:p w:rsidR="00A12E7B" w:rsidRDefault="00E91FB8">
            <w:pPr>
              <w:jc w:val="center"/>
            </w:pPr>
            <w:r>
              <w:rPr>
                <w:color w:val="000000"/>
                <w:sz w:val="24"/>
                <w:szCs w:val="24"/>
              </w:rPr>
              <w:t>300529</w:t>
            </w:r>
          </w:p>
        </w:tc>
        <w:tc>
          <w:tcPr>
            <w:tcW w:w="1777" w:type="dxa"/>
            <w:vAlign w:val="center"/>
          </w:tcPr>
          <w:p w:rsidR="00A12E7B" w:rsidRDefault="00E91FB8">
            <w:pPr>
              <w:jc w:val="center"/>
            </w:pPr>
            <w:r>
              <w:rPr>
                <w:color w:val="000000"/>
                <w:sz w:val="24"/>
                <w:szCs w:val="24"/>
              </w:rPr>
              <w:t>健帆生物</w:t>
            </w:r>
          </w:p>
        </w:tc>
        <w:tc>
          <w:tcPr>
            <w:tcW w:w="1334" w:type="dxa"/>
            <w:vAlign w:val="center"/>
          </w:tcPr>
          <w:p w:rsidR="00A12E7B" w:rsidRDefault="00E91FB8">
            <w:pPr>
              <w:jc w:val="right"/>
            </w:pPr>
            <w:r>
              <w:rPr>
                <w:color w:val="000000"/>
                <w:sz w:val="24"/>
                <w:szCs w:val="24"/>
              </w:rPr>
              <w:t>3,583,315</w:t>
            </w:r>
          </w:p>
        </w:tc>
        <w:tc>
          <w:tcPr>
            <w:tcW w:w="1924" w:type="dxa"/>
            <w:vAlign w:val="center"/>
          </w:tcPr>
          <w:p w:rsidR="00A12E7B" w:rsidRDefault="00E91FB8">
            <w:pPr>
              <w:jc w:val="right"/>
            </w:pPr>
            <w:r>
              <w:rPr>
                <w:color w:val="000000"/>
                <w:sz w:val="24"/>
                <w:szCs w:val="24"/>
              </w:rPr>
              <w:t>148,707,572.50</w:t>
            </w:r>
          </w:p>
        </w:tc>
        <w:tc>
          <w:tcPr>
            <w:tcW w:w="1644" w:type="dxa"/>
            <w:vAlign w:val="center"/>
          </w:tcPr>
          <w:p w:rsidR="00A12E7B" w:rsidRDefault="00E91FB8">
            <w:pPr>
              <w:jc w:val="right"/>
            </w:pPr>
            <w:r>
              <w:rPr>
                <w:color w:val="000000"/>
                <w:sz w:val="24"/>
                <w:szCs w:val="24"/>
              </w:rPr>
              <w:t>5.45</w:t>
            </w:r>
          </w:p>
        </w:tc>
      </w:tr>
      <w:tr w:rsidR="00A12E7B">
        <w:trPr>
          <w:jc w:val="center"/>
        </w:trPr>
        <w:tc>
          <w:tcPr>
            <w:tcW w:w="855" w:type="dxa"/>
            <w:vAlign w:val="center"/>
          </w:tcPr>
          <w:p w:rsidR="00A12E7B" w:rsidRDefault="00E91FB8">
            <w:pPr>
              <w:jc w:val="center"/>
            </w:pPr>
            <w:r>
              <w:rPr>
                <w:color w:val="000000"/>
                <w:sz w:val="24"/>
                <w:szCs w:val="24"/>
              </w:rPr>
              <w:t>5</w:t>
            </w:r>
          </w:p>
        </w:tc>
        <w:tc>
          <w:tcPr>
            <w:tcW w:w="1334" w:type="dxa"/>
            <w:vAlign w:val="center"/>
          </w:tcPr>
          <w:p w:rsidR="00A12E7B" w:rsidRDefault="00E91FB8">
            <w:pPr>
              <w:jc w:val="center"/>
            </w:pPr>
            <w:r>
              <w:rPr>
                <w:color w:val="000000"/>
                <w:sz w:val="24"/>
                <w:szCs w:val="24"/>
              </w:rPr>
              <w:t>600763</w:t>
            </w:r>
          </w:p>
        </w:tc>
        <w:tc>
          <w:tcPr>
            <w:tcW w:w="1777" w:type="dxa"/>
            <w:vAlign w:val="center"/>
          </w:tcPr>
          <w:p w:rsidR="00A12E7B" w:rsidRDefault="00E91FB8">
            <w:pPr>
              <w:jc w:val="center"/>
            </w:pPr>
            <w:r>
              <w:rPr>
                <w:color w:val="000000"/>
                <w:sz w:val="24"/>
                <w:szCs w:val="24"/>
              </w:rPr>
              <w:t>通策医疗</w:t>
            </w:r>
          </w:p>
        </w:tc>
        <w:tc>
          <w:tcPr>
            <w:tcW w:w="1334" w:type="dxa"/>
            <w:vAlign w:val="center"/>
          </w:tcPr>
          <w:p w:rsidR="00A12E7B" w:rsidRDefault="00E91FB8">
            <w:pPr>
              <w:jc w:val="right"/>
            </w:pPr>
            <w:r>
              <w:rPr>
                <w:color w:val="000000"/>
                <w:sz w:val="24"/>
                <w:szCs w:val="24"/>
              </w:rPr>
              <w:t>2,968,912</w:t>
            </w:r>
          </w:p>
        </w:tc>
        <w:tc>
          <w:tcPr>
            <w:tcW w:w="1924" w:type="dxa"/>
            <w:vAlign w:val="center"/>
          </w:tcPr>
          <w:p w:rsidR="00A12E7B" w:rsidRDefault="00E91FB8">
            <w:pPr>
              <w:jc w:val="right"/>
            </w:pPr>
            <w:r>
              <w:rPr>
                <w:color w:val="000000"/>
                <w:sz w:val="24"/>
                <w:szCs w:val="24"/>
              </w:rPr>
              <w:t>140,934,252.64</w:t>
            </w:r>
          </w:p>
        </w:tc>
        <w:tc>
          <w:tcPr>
            <w:tcW w:w="1644" w:type="dxa"/>
            <w:vAlign w:val="center"/>
          </w:tcPr>
          <w:p w:rsidR="00A12E7B" w:rsidRDefault="00E91FB8">
            <w:pPr>
              <w:jc w:val="right"/>
            </w:pPr>
            <w:r>
              <w:rPr>
                <w:color w:val="000000"/>
                <w:sz w:val="24"/>
                <w:szCs w:val="24"/>
              </w:rPr>
              <w:t>5.17</w:t>
            </w:r>
          </w:p>
        </w:tc>
      </w:tr>
      <w:tr w:rsidR="00A12E7B">
        <w:trPr>
          <w:jc w:val="center"/>
        </w:trPr>
        <w:tc>
          <w:tcPr>
            <w:tcW w:w="855" w:type="dxa"/>
            <w:vAlign w:val="center"/>
          </w:tcPr>
          <w:p w:rsidR="00A12E7B" w:rsidRDefault="00E91FB8">
            <w:pPr>
              <w:jc w:val="center"/>
            </w:pPr>
            <w:r>
              <w:rPr>
                <w:color w:val="000000"/>
                <w:sz w:val="24"/>
                <w:szCs w:val="24"/>
              </w:rPr>
              <w:t>6</w:t>
            </w:r>
          </w:p>
        </w:tc>
        <w:tc>
          <w:tcPr>
            <w:tcW w:w="1334" w:type="dxa"/>
            <w:vAlign w:val="center"/>
          </w:tcPr>
          <w:p w:rsidR="00A12E7B" w:rsidRDefault="00E91FB8">
            <w:pPr>
              <w:jc w:val="center"/>
            </w:pPr>
            <w:r>
              <w:rPr>
                <w:color w:val="000000"/>
                <w:sz w:val="24"/>
                <w:szCs w:val="24"/>
              </w:rPr>
              <w:t>002410</w:t>
            </w:r>
          </w:p>
        </w:tc>
        <w:tc>
          <w:tcPr>
            <w:tcW w:w="1777" w:type="dxa"/>
            <w:vAlign w:val="center"/>
          </w:tcPr>
          <w:p w:rsidR="00A12E7B" w:rsidRDefault="00E91FB8">
            <w:pPr>
              <w:jc w:val="center"/>
            </w:pPr>
            <w:r>
              <w:rPr>
                <w:color w:val="000000"/>
                <w:sz w:val="24"/>
                <w:szCs w:val="24"/>
              </w:rPr>
              <w:t>广联达</w:t>
            </w:r>
          </w:p>
        </w:tc>
        <w:tc>
          <w:tcPr>
            <w:tcW w:w="1334" w:type="dxa"/>
            <w:vAlign w:val="center"/>
          </w:tcPr>
          <w:p w:rsidR="00A12E7B" w:rsidRDefault="00E91FB8">
            <w:pPr>
              <w:jc w:val="right"/>
            </w:pPr>
            <w:r>
              <w:rPr>
                <w:color w:val="000000"/>
                <w:sz w:val="24"/>
                <w:szCs w:val="24"/>
              </w:rPr>
              <w:t>5,776,382</w:t>
            </w:r>
          </w:p>
        </w:tc>
        <w:tc>
          <w:tcPr>
            <w:tcW w:w="1924" w:type="dxa"/>
            <w:vAlign w:val="center"/>
          </w:tcPr>
          <w:p w:rsidR="00A12E7B" w:rsidRDefault="00E91FB8">
            <w:pPr>
              <w:jc w:val="right"/>
            </w:pPr>
            <w:r>
              <w:rPr>
                <w:color w:val="000000"/>
                <w:sz w:val="24"/>
                <w:szCs w:val="24"/>
              </w:rPr>
              <w:t>120,206,509.42</w:t>
            </w:r>
          </w:p>
        </w:tc>
        <w:tc>
          <w:tcPr>
            <w:tcW w:w="1644" w:type="dxa"/>
            <w:vAlign w:val="center"/>
          </w:tcPr>
          <w:p w:rsidR="00A12E7B" w:rsidRDefault="00E91FB8">
            <w:pPr>
              <w:jc w:val="right"/>
            </w:pPr>
            <w:r>
              <w:rPr>
                <w:color w:val="000000"/>
                <w:sz w:val="24"/>
                <w:szCs w:val="24"/>
              </w:rPr>
              <w:t>4.41</w:t>
            </w:r>
          </w:p>
        </w:tc>
      </w:tr>
      <w:tr w:rsidR="00A12E7B">
        <w:trPr>
          <w:jc w:val="center"/>
        </w:trPr>
        <w:tc>
          <w:tcPr>
            <w:tcW w:w="855" w:type="dxa"/>
            <w:vAlign w:val="center"/>
          </w:tcPr>
          <w:p w:rsidR="00A12E7B" w:rsidRDefault="00E91FB8">
            <w:pPr>
              <w:jc w:val="center"/>
            </w:pPr>
            <w:r>
              <w:rPr>
                <w:color w:val="000000"/>
                <w:sz w:val="24"/>
                <w:szCs w:val="24"/>
              </w:rPr>
              <w:t>7</w:t>
            </w:r>
          </w:p>
        </w:tc>
        <w:tc>
          <w:tcPr>
            <w:tcW w:w="1334" w:type="dxa"/>
            <w:vAlign w:val="center"/>
          </w:tcPr>
          <w:p w:rsidR="00A12E7B" w:rsidRDefault="00E91FB8">
            <w:pPr>
              <w:jc w:val="center"/>
            </w:pPr>
            <w:r>
              <w:rPr>
                <w:color w:val="000000"/>
                <w:sz w:val="24"/>
                <w:szCs w:val="24"/>
              </w:rPr>
              <w:t>000681</w:t>
            </w:r>
          </w:p>
        </w:tc>
        <w:tc>
          <w:tcPr>
            <w:tcW w:w="1777" w:type="dxa"/>
            <w:vAlign w:val="center"/>
          </w:tcPr>
          <w:p w:rsidR="00A12E7B" w:rsidRDefault="00E91FB8">
            <w:pPr>
              <w:jc w:val="center"/>
            </w:pPr>
            <w:r>
              <w:rPr>
                <w:color w:val="000000"/>
                <w:sz w:val="24"/>
                <w:szCs w:val="24"/>
              </w:rPr>
              <w:t>视觉中国</w:t>
            </w:r>
          </w:p>
        </w:tc>
        <w:tc>
          <w:tcPr>
            <w:tcW w:w="1334" w:type="dxa"/>
            <w:vAlign w:val="center"/>
          </w:tcPr>
          <w:p w:rsidR="00A12E7B" w:rsidRDefault="00E91FB8">
            <w:pPr>
              <w:jc w:val="right"/>
            </w:pPr>
            <w:r>
              <w:rPr>
                <w:color w:val="000000"/>
                <w:sz w:val="24"/>
                <w:szCs w:val="24"/>
              </w:rPr>
              <w:t>4,996,391</w:t>
            </w:r>
          </w:p>
        </w:tc>
        <w:tc>
          <w:tcPr>
            <w:tcW w:w="1924" w:type="dxa"/>
            <w:vAlign w:val="center"/>
          </w:tcPr>
          <w:p w:rsidR="00A12E7B" w:rsidRDefault="00E91FB8">
            <w:pPr>
              <w:jc w:val="right"/>
            </w:pPr>
            <w:r>
              <w:rPr>
                <w:color w:val="000000"/>
                <w:sz w:val="24"/>
                <w:szCs w:val="24"/>
              </w:rPr>
              <w:t>116,515,838.12</w:t>
            </w:r>
          </w:p>
        </w:tc>
        <w:tc>
          <w:tcPr>
            <w:tcW w:w="1644" w:type="dxa"/>
            <w:vAlign w:val="center"/>
          </w:tcPr>
          <w:p w:rsidR="00A12E7B" w:rsidRDefault="00E91FB8">
            <w:pPr>
              <w:jc w:val="right"/>
            </w:pPr>
            <w:r>
              <w:rPr>
                <w:color w:val="000000"/>
                <w:sz w:val="24"/>
                <w:szCs w:val="24"/>
              </w:rPr>
              <w:t>4.27</w:t>
            </w:r>
          </w:p>
        </w:tc>
      </w:tr>
      <w:tr w:rsidR="00A12E7B">
        <w:trPr>
          <w:jc w:val="center"/>
        </w:trPr>
        <w:tc>
          <w:tcPr>
            <w:tcW w:w="855" w:type="dxa"/>
            <w:vAlign w:val="center"/>
          </w:tcPr>
          <w:p w:rsidR="00A12E7B" w:rsidRDefault="00E91FB8">
            <w:pPr>
              <w:jc w:val="center"/>
            </w:pPr>
            <w:r>
              <w:rPr>
                <w:color w:val="000000"/>
                <w:sz w:val="24"/>
                <w:szCs w:val="24"/>
              </w:rPr>
              <w:t>8</w:t>
            </w:r>
          </w:p>
        </w:tc>
        <w:tc>
          <w:tcPr>
            <w:tcW w:w="1334" w:type="dxa"/>
            <w:vAlign w:val="center"/>
          </w:tcPr>
          <w:p w:rsidR="00A12E7B" w:rsidRDefault="00E91FB8">
            <w:pPr>
              <w:jc w:val="center"/>
            </w:pPr>
            <w:r>
              <w:rPr>
                <w:color w:val="000000"/>
                <w:sz w:val="24"/>
                <w:szCs w:val="24"/>
              </w:rPr>
              <w:t>000661</w:t>
            </w:r>
          </w:p>
        </w:tc>
        <w:tc>
          <w:tcPr>
            <w:tcW w:w="1777" w:type="dxa"/>
            <w:vAlign w:val="center"/>
          </w:tcPr>
          <w:p w:rsidR="00A12E7B" w:rsidRDefault="00E91FB8">
            <w:pPr>
              <w:jc w:val="center"/>
            </w:pPr>
            <w:r>
              <w:rPr>
                <w:color w:val="000000"/>
                <w:sz w:val="24"/>
                <w:szCs w:val="24"/>
              </w:rPr>
              <w:t>长春高新</w:t>
            </w:r>
          </w:p>
        </w:tc>
        <w:tc>
          <w:tcPr>
            <w:tcW w:w="1334" w:type="dxa"/>
            <w:vAlign w:val="center"/>
          </w:tcPr>
          <w:p w:rsidR="00A12E7B" w:rsidRDefault="00E91FB8">
            <w:pPr>
              <w:jc w:val="right"/>
            </w:pPr>
            <w:r>
              <w:rPr>
                <w:color w:val="000000"/>
                <w:sz w:val="24"/>
                <w:szCs w:val="24"/>
              </w:rPr>
              <w:t>628,622</w:t>
            </w:r>
          </w:p>
        </w:tc>
        <w:tc>
          <w:tcPr>
            <w:tcW w:w="1924" w:type="dxa"/>
            <w:vAlign w:val="center"/>
          </w:tcPr>
          <w:p w:rsidR="00A12E7B" w:rsidRDefault="00E91FB8">
            <w:pPr>
              <w:jc w:val="right"/>
            </w:pPr>
            <w:r>
              <w:rPr>
                <w:color w:val="000000"/>
                <w:sz w:val="24"/>
                <w:szCs w:val="24"/>
              </w:rPr>
              <w:t>110,008,850.00</w:t>
            </w:r>
          </w:p>
        </w:tc>
        <w:tc>
          <w:tcPr>
            <w:tcW w:w="1644" w:type="dxa"/>
            <w:vAlign w:val="center"/>
          </w:tcPr>
          <w:p w:rsidR="00A12E7B" w:rsidRDefault="00E91FB8">
            <w:pPr>
              <w:jc w:val="right"/>
            </w:pPr>
            <w:r>
              <w:rPr>
                <w:color w:val="000000"/>
                <w:sz w:val="24"/>
                <w:szCs w:val="24"/>
              </w:rPr>
              <w:t>4.03</w:t>
            </w:r>
          </w:p>
        </w:tc>
      </w:tr>
      <w:tr w:rsidR="00A12E7B">
        <w:trPr>
          <w:jc w:val="center"/>
        </w:trPr>
        <w:tc>
          <w:tcPr>
            <w:tcW w:w="855" w:type="dxa"/>
            <w:vAlign w:val="center"/>
          </w:tcPr>
          <w:p w:rsidR="00A12E7B" w:rsidRDefault="00E91FB8">
            <w:pPr>
              <w:jc w:val="center"/>
            </w:pPr>
            <w:r>
              <w:rPr>
                <w:color w:val="000000"/>
                <w:sz w:val="24"/>
                <w:szCs w:val="24"/>
              </w:rPr>
              <w:t>9</w:t>
            </w:r>
          </w:p>
        </w:tc>
        <w:tc>
          <w:tcPr>
            <w:tcW w:w="1334" w:type="dxa"/>
            <w:vAlign w:val="center"/>
          </w:tcPr>
          <w:p w:rsidR="00A12E7B" w:rsidRDefault="00E91FB8">
            <w:pPr>
              <w:jc w:val="center"/>
            </w:pPr>
            <w:r>
              <w:rPr>
                <w:color w:val="000000"/>
                <w:sz w:val="24"/>
                <w:szCs w:val="24"/>
              </w:rPr>
              <w:t>002690</w:t>
            </w:r>
          </w:p>
        </w:tc>
        <w:tc>
          <w:tcPr>
            <w:tcW w:w="1777" w:type="dxa"/>
            <w:vAlign w:val="center"/>
          </w:tcPr>
          <w:p w:rsidR="00A12E7B" w:rsidRDefault="00E91FB8">
            <w:pPr>
              <w:jc w:val="center"/>
            </w:pPr>
            <w:r>
              <w:rPr>
                <w:color w:val="000000"/>
                <w:sz w:val="24"/>
                <w:szCs w:val="24"/>
              </w:rPr>
              <w:t>美亚光电</w:t>
            </w:r>
          </w:p>
        </w:tc>
        <w:tc>
          <w:tcPr>
            <w:tcW w:w="1334" w:type="dxa"/>
            <w:vAlign w:val="center"/>
          </w:tcPr>
          <w:p w:rsidR="00A12E7B" w:rsidRDefault="00E91FB8">
            <w:pPr>
              <w:jc w:val="right"/>
            </w:pPr>
            <w:r>
              <w:rPr>
                <w:color w:val="000000"/>
                <w:sz w:val="24"/>
                <w:szCs w:val="24"/>
              </w:rPr>
              <w:t>4,769,620</w:t>
            </w:r>
          </w:p>
        </w:tc>
        <w:tc>
          <w:tcPr>
            <w:tcW w:w="1924" w:type="dxa"/>
            <w:vAlign w:val="center"/>
          </w:tcPr>
          <w:p w:rsidR="00A12E7B" w:rsidRDefault="00E91FB8">
            <w:pPr>
              <w:jc w:val="right"/>
            </w:pPr>
            <w:r>
              <w:rPr>
                <w:color w:val="000000"/>
                <w:sz w:val="24"/>
                <w:szCs w:val="24"/>
              </w:rPr>
              <w:t>101,497,513.60</w:t>
            </w:r>
          </w:p>
        </w:tc>
        <w:tc>
          <w:tcPr>
            <w:tcW w:w="1644" w:type="dxa"/>
            <w:vAlign w:val="center"/>
          </w:tcPr>
          <w:p w:rsidR="00A12E7B" w:rsidRDefault="00E91FB8">
            <w:pPr>
              <w:jc w:val="right"/>
            </w:pPr>
            <w:r>
              <w:rPr>
                <w:color w:val="000000"/>
                <w:sz w:val="24"/>
                <w:szCs w:val="24"/>
              </w:rPr>
              <w:t>3.72</w:t>
            </w:r>
          </w:p>
        </w:tc>
      </w:tr>
      <w:tr w:rsidR="00A12E7B">
        <w:trPr>
          <w:jc w:val="center"/>
        </w:trPr>
        <w:tc>
          <w:tcPr>
            <w:tcW w:w="855" w:type="dxa"/>
            <w:vAlign w:val="center"/>
          </w:tcPr>
          <w:p w:rsidR="00A12E7B" w:rsidRDefault="00E91FB8">
            <w:pPr>
              <w:jc w:val="center"/>
            </w:pPr>
            <w:r>
              <w:rPr>
                <w:color w:val="000000"/>
                <w:sz w:val="24"/>
                <w:szCs w:val="24"/>
              </w:rPr>
              <w:t>10</w:t>
            </w:r>
          </w:p>
        </w:tc>
        <w:tc>
          <w:tcPr>
            <w:tcW w:w="1334" w:type="dxa"/>
            <w:vAlign w:val="center"/>
          </w:tcPr>
          <w:p w:rsidR="00A12E7B" w:rsidRDefault="00E91FB8">
            <w:pPr>
              <w:jc w:val="center"/>
            </w:pPr>
            <w:r>
              <w:rPr>
                <w:color w:val="000000"/>
                <w:sz w:val="24"/>
                <w:szCs w:val="24"/>
              </w:rPr>
              <w:t>300271</w:t>
            </w:r>
          </w:p>
        </w:tc>
        <w:tc>
          <w:tcPr>
            <w:tcW w:w="1777" w:type="dxa"/>
            <w:vAlign w:val="center"/>
          </w:tcPr>
          <w:p w:rsidR="00A12E7B" w:rsidRDefault="00E91FB8">
            <w:pPr>
              <w:jc w:val="center"/>
            </w:pPr>
            <w:r>
              <w:rPr>
                <w:color w:val="000000"/>
                <w:sz w:val="24"/>
                <w:szCs w:val="24"/>
              </w:rPr>
              <w:t>华宇软件</w:t>
            </w:r>
          </w:p>
        </w:tc>
        <w:tc>
          <w:tcPr>
            <w:tcW w:w="1334" w:type="dxa"/>
            <w:vAlign w:val="center"/>
          </w:tcPr>
          <w:p w:rsidR="00A12E7B" w:rsidRDefault="00E91FB8">
            <w:pPr>
              <w:jc w:val="right"/>
            </w:pPr>
            <w:r>
              <w:rPr>
                <w:color w:val="000000"/>
                <w:sz w:val="24"/>
                <w:szCs w:val="24"/>
              </w:rPr>
              <w:t>6,153,977</w:t>
            </w:r>
          </w:p>
        </w:tc>
        <w:tc>
          <w:tcPr>
            <w:tcW w:w="1924" w:type="dxa"/>
            <w:vAlign w:val="center"/>
          </w:tcPr>
          <w:p w:rsidR="00A12E7B" w:rsidRDefault="00E91FB8">
            <w:pPr>
              <w:jc w:val="right"/>
            </w:pPr>
            <w:r>
              <w:rPr>
                <w:color w:val="000000"/>
                <w:sz w:val="24"/>
                <w:szCs w:val="24"/>
              </w:rPr>
              <w:t>92,371,194.77</w:t>
            </w:r>
          </w:p>
        </w:tc>
        <w:tc>
          <w:tcPr>
            <w:tcW w:w="1644" w:type="dxa"/>
            <w:vAlign w:val="center"/>
          </w:tcPr>
          <w:p w:rsidR="00A12E7B" w:rsidRDefault="00E91FB8">
            <w:pPr>
              <w:jc w:val="right"/>
            </w:pPr>
            <w:r>
              <w:rPr>
                <w:color w:val="000000"/>
                <w:sz w:val="24"/>
                <w:szCs w:val="24"/>
              </w:rPr>
              <w:t>3.39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49,700,000.00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100,242,000.00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100,242,000.00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55,713.60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149,997,713.60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12E7B">
        <w:trPr>
          <w:jc w:val="center"/>
        </w:trPr>
        <w:tc>
          <w:tcPr>
            <w:tcW w:w="850" w:type="dxa"/>
            <w:vAlign w:val="center"/>
          </w:tcPr>
          <w:p w:rsidR="00A12E7B" w:rsidRDefault="00E91FB8">
            <w:pPr>
              <w:jc w:val="center"/>
            </w:pPr>
            <w:r>
              <w:rPr>
                <w:color w:val="000000"/>
                <w:sz w:val="24"/>
                <w:szCs w:val="24"/>
              </w:rPr>
              <w:t>1</w:t>
            </w:r>
          </w:p>
        </w:tc>
        <w:tc>
          <w:tcPr>
            <w:tcW w:w="1475" w:type="dxa"/>
            <w:vAlign w:val="center"/>
          </w:tcPr>
          <w:p w:rsidR="00A12E7B" w:rsidRDefault="00E91FB8">
            <w:pPr>
              <w:jc w:val="center"/>
            </w:pPr>
            <w:r>
              <w:rPr>
                <w:color w:val="000000"/>
                <w:sz w:val="24"/>
                <w:szCs w:val="24"/>
              </w:rPr>
              <w:t>180305</w:t>
            </w:r>
          </w:p>
        </w:tc>
        <w:tc>
          <w:tcPr>
            <w:tcW w:w="1769" w:type="dxa"/>
            <w:vAlign w:val="center"/>
          </w:tcPr>
          <w:p w:rsidR="00A12E7B" w:rsidRDefault="00E91FB8">
            <w:pPr>
              <w:jc w:val="center"/>
            </w:pPr>
            <w:r>
              <w:rPr>
                <w:color w:val="000000"/>
                <w:sz w:val="24"/>
                <w:szCs w:val="24"/>
              </w:rPr>
              <w:t>18</w:t>
            </w:r>
            <w:r>
              <w:rPr>
                <w:color w:val="000000"/>
                <w:sz w:val="24"/>
                <w:szCs w:val="24"/>
              </w:rPr>
              <w:t>进出</w:t>
            </w:r>
            <w:r>
              <w:rPr>
                <w:color w:val="000000"/>
                <w:sz w:val="24"/>
                <w:szCs w:val="24"/>
              </w:rPr>
              <w:t>05</w:t>
            </w:r>
          </w:p>
        </w:tc>
        <w:tc>
          <w:tcPr>
            <w:tcW w:w="1387" w:type="dxa"/>
            <w:vAlign w:val="center"/>
          </w:tcPr>
          <w:p w:rsidR="00A12E7B" w:rsidRDefault="00E91FB8">
            <w:pPr>
              <w:jc w:val="right"/>
            </w:pPr>
            <w:r>
              <w:rPr>
                <w:color w:val="000000"/>
                <w:sz w:val="24"/>
                <w:szCs w:val="24"/>
              </w:rPr>
              <w:t>800,000</w:t>
            </w:r>
          </w:p>
        </w:tc>
        <w:tc>
          <w:tcPr>
            <w:tcW w:w="2150" w:type="dxa"/>
            <w:vAlign w:val="center"/>
          </w:tcPr>
          <w:p w:rsidR="00A12E7B" w:rsidRDefault="00E91FB8">
            <w:pPr>
              <w:jc w:val="right"/>
            </w:pPr>
            <w:r>
              <w:rPr>
                <w:color w:val="000000"/>
                <w:sz w:val="24"/>
                <w:szCs w:val="24"/>
              </w:rPr>
              <w:t>80,192,000.00</w:t>
            </w:r>
          </w:p>
        </w:tc>
        <w:tc>
          <w:tcPr>
            <w:tcW w:w="1237" w:type="dxa"/>
            <w:vAlign w:val="center"/>
          </w:tcPr>
          <w:p w:rsidR="00A12E7B" w:rsidRDefault="00E91FB8">
            <w:pPr>
              <w:jc w:val="right"/>
            </w:pPr>
            <w:r>
              <w:rPr>
                <w:color w:val="000000"/>
                <w:sz w:val="24"/>
                <w:szCs w:val="24"/>
              </w:rPr>
              <w:t>2.94</w:t>
            </w:r>
          </w:p>
        </w:tc>
      </w:tr>
      <w:tr w:rsidR="00A12E7B">
        <w:trPr>
          <w:jc w:val="center"/>
        </w:trPr>
        <w:tc>
          <w:tcPr>
            <w:tcW w:w="850" w:type="dxa"/>
            <w:vAlign w:val="center"/>
          </w:tcPr>
          <w:p w:rsidR="00A12E7B" w:rsidRDefault="00E91FB8">
            <w:pPr>
              <w:jc w:val="center"/>
            </w:pPr>
            <w:r>
              <w:rPr>
                <w:color w:val="000000"/>
                <w:sz w:val="24"/>
                <w:szCs w:val="24"/>
              </w:rPr>
              <w:t>2</w:t>
            </w:r>
          </w:p>
        </w:tc>
        <w:tc>
          <w:tcPr>
            <w:tcW w:w="1475" w:type="dxa"/>
            <w:vAlign w:val="center"/>
          </w:tcPr>
          <w:p w:rsidR="00A12E7B" w:rsidRDefault="00E91FB8">
            <w:pPr>
              <w:jc w:val="center"/>
            </w:pPr>
            <w:r>
              <w:rPr>
                <w:color w:val="000000"/>
                <w:sz w:val="24"/>
                <w:szCs w:val="24"/>
              </w:rPr>
              <w:t>189953</w:t>
            </w:r>
          </w:p>
        </w:tc>
        <w:tc>
          <w:tcPr>
            <w:tcW w:w="1769" w:type="dxa"/>
            <w:vAlign w:val="center"/>
          </w:tcPr>
          <w:p w:rsidR="00A12E7B" w:rsidRDefault="00E91FB8">
            <w:pPr>
              <w:jc w:val="center"/>
            </w:pPr>
            <w:r>
              <w:rPr>
                <w:color w:val="000000"/>
                <w:sz w:val="24"/>
                <w:szCs w:val="24"/>
              </w:rPr>
              <w:t>18</w:t>
            </w:r>
            <w:r>
              <w:rPr>
                <w:color w:val="000000"/>
                <w:sz w:val="24"/>
                <w:szCs w:val="24"/>
              </w:rPr>
              <w:t>贴现国债</w:t>
            </w:r>
            <w:r>
              <w:rPr>
                <w:color w:val="000000"/>
                <w:sz w:val="24"/>
                <w:szCs w:val="24"/>
              </w:rPr>
              <w:t>53</w:t>
            </w:r>
          </w:p>
        </w:tc>
        <w:tc>
          <w:tcPr>
            <w:tcW w:w="1387" w:type="dxa"/>
            <w:vAlign w:val="center"/>
          </w:tcPr>
          <w:p w:rsidR="00A12E7B" w:rsidRDefault="00E91FB8">
            <w:pPr>
              <w:jc w:val="right"/>
            </w:pPr>
            <w:r>
              <w:rPr>
                <w:color w:val="000000"/>
                <w:sz w:val="24"/>
                <w:szCs w:val="24"/>
              </w:rPr>
              <w:t>500,000</w:t>
            </w:r>
          </w:p>
        </w:tc>
        <w:tc>
          <w:tcPr>
            <w:tcW w:w="2150" w:type="dxa"/>
            <w:vAlign w:val="center"/>
          </w:tcPr>
          <w:p w:rsidR="00A12E7B" w:rsidRDefault="00E91FB8">
            <w:pPr>
              <w:jc w:val="right"/>
            </w:pPr>
            <w:r>
              <w:rPr>
                <w:color w:val="000000"/>
                <w:sz w:val="24"/>
                <w:szCs w:val="24"/>
              </w:rPr>
              <w:t>49,700,000.00</w:t>
            </w:r>
          </w:p>
        </w:tc>
        <w:tc>
          <w:tcPr>
            <w:tcW w:w="1237" w:type="dxa"/>
            <w:vAlign w:val="center"/>
          </w:tcPr>
          <w:p w:rsidR="00A12E7B" w:rsidRDefault="00E91FB8">
            <w:pPr>
              <w:jc w:val="right"/>
            </w:pPr>
            <w:r>
              <w:rPr>
                <w:color w:val="000000"/>
                <w:sz w:val="24"/>
                <w:szCs w:val="24"/>
              </w:rPr>
              <w:t>1.82</w:t>
            </w:r>
          </w:p>
        </w:tc>
      </w:tr>
      <w:tr w:rsidR="00A12E7B">
        <w:trPr>
          <w:jc w:val="center"/>
        </w:trPr>
        <w:tc>
          <w:tcPr>
            <w:tcW w:w="850" w:type="dxa"/>
            <w:vAlign w:val="center"/>
          </w:tcPr>
          <w:p w:rsidR="00A12E7B" w:rsidRDefault="00E91FB8">
            <w:pPr>
              <w:jc w:val="center"/>
            </w:pPr>
            <w:r>
              <w:rPr>
                <w:color w:val="000000"/>
                <w:sz w:val="24"/>
                <w:szCs w:val="24"/>
              </w:rPr>
              <w:t>3</w:t>
            </w:r>
          </w:p>
        </w:tc>
        <w:tc>
          <w:tcPr>
            <w:tcW w:w="1475" w:type="dxa"/>
            <w:vAlign w:val="center"/>
          </w:tcPr>
          <w:p w:rsidR="00A12E7B" w:rsidRDefault="00E91FB8">
            <w:pPr>
              <w:jc w:val="center"/>
            </w:pPr>
            <w:r>
              <w:rPr>
                <w:color w:val="000000"/>
                <w:sz w:val="24"/>
                <w:szCs w:val="24"/>
              </w:rPr>
              <w:t>180404</w:t>
            </w:r>
          </w:p>
        </w:tc>
        <w:tc>
          <w:tcPr>
            <w:tcW w:w="1769" w:type="dxa"/>
            <w:vAlign w:val="center"/>
          </w:tcPr>
          <w:p w:rsidR="00A12E7B" w:rsidRDefault="00E91FB8">
            <w:pPr>
              <w:jc w:val="center"/>
            </w:pPr>
            <w:r>
              <w:rPr>
                <w:color w:val="000000"/>
                <w:sz w:val="24"/>
                <w:szCs w:val="24"/>
              </w:rPr>
              <w:t>18</w:t>
            </w:r>
            <w:r>
              <w:rPr>
                <w:color w:val="000000"/>
                <w:sz w:val="24"/>
                <w:szCs w:val="24"/>
              </w:rPr>
              <w:t>农发</w:t>
            </w:r>
            <w:r>
              <w:rPr>
                <w:color w:val="000000"/>
                <w:sz w:val="24"/>
                <w:szCs w:val="24"/>
              </w:rPr>
              <w:t>04</w:t>
            </w:r>
          </w:p>
        </w:tc>
        <w:tc>
          <w:tcPr>
            <w:tcW w:w="1387" w:type="dxa"/>
            <w:vAlign w:val="center"/>
          </w:tcPr>
          <w:p w:rsidR="00A12E7B" w:rsidRDefault="00E91FB8">
            <w:pPr>
              <w:jc w:val="right"/>
            </w:pPr>
            <w:r>
              <w:rPr>
                <w:color w:val="000000"/>
                <w:sz w:val="24"/>
                <w:szCs w:val="24"/>
              </w:rPr>
              <w:t>200,000</w:t>
            </w:r>
          </w:p>
        </w:tc>
        <w:tc>
          <w:tcPr>
            <w:tcW w:w="2150" w:type="dxa"/>
            <w:vAlign w:val="center"/>
          </w:tcPr>
          <w:p w:rsidR="00A12E7B" w:rsidRDefault="00E91FB8">
            <w:pPr>
              <w:jc w:val="right"/>
            </w:pPr>
            <w:r>
              <w:rPr>
                <w:color w:val="000000"/>
                <w:sz w:val="24"/>
                <w:szCs w:val="24"/>
              </w:rPr>
              <w:t>20,050,000.00</w:t>
            </w:r>
          </w:p>
        </w:tc>
        <w:tc>
          <w:tcPr>
            <w:tcW w:w="1237" w:type="dxa"/>
            <w:vAlign w:val="center"/>
          </w:tcPr>
          <w:p w:rsidR="00A12E7B" w:rsidRDefault="00E91FB8">
            <w:pPr>
              <w:jc w:val="right"/>
            </w:pPr>
            <w:r>
              <w:rPr>
                <w:color w:val="000000"/>
                <w:sz w:val="24"/>
                <w:szCs w:val="24"/>
              </w:rPr>
              <w:t>0.74</w:t>
            </w:r>
          </w:p>
        </w:tc>
      </w:tr>
      <w:tr w:rsidR="00A12E7B">
        <w:trPr>
          <w:jc w:val="center"/>
        </w:trPr>
        <w:tc>
          <w:tcPr>
            <w:tcW w:w="850" w:type="dxa"/>
            <w:vAlign w:val="center"/>
          </w:tcPr>
          <w:p w:rsidR="00A12E7B" w:rsidRDefault="00E91FB8">
            <w:pPr>
              <w:jc w:val="center"/>
            </w:pPr>
            <w:r>
              <w:rPr>
                <w:color w:val="000000"/>
                <w:sz w:val="24"/>
                <w:szCs w:val="24"/>
              </w:rPr>
              <w:t>4</w:t>
            </w:r>
          </w:p>
        </w:tc>
        <w:tc>
          <w:tcPr>
            <w:tcW w:w="1475" w:type="dxa"/>
            <w:vAlign w:val="center"/>
          </w:tcPr>
          <w:p w:rsidR="00A12E7B" w:rsidRDefault="00E91FB8">
            <w:pPr>
              <w:jc w:val="center"/>
            </w:pPr>
            <w:r>
              <w:rPr>
                <w:color w:val="000000"/>
                <w:sz w:val="24"/>
                <w:szCs w:val="24"/>
              </w:rPr>
              <w:t>113011</w:t>
            </w:r>
          </w:p>
        </w:tc>
        <w:tc>
          <w:tcPr>
            <w:tcW w:w="1769" w:type="dxa"/>
            <w:vAlign w:val="center"/>
          </w:tcPr>
          <w:p w:rsidR="00A12E7B" w:rsidRDefault="00E91FB8">
            <w:pPr>
              <w:jc w:val="center"/>
            </w:pPr>
            <w:r>
              <w:rPr>
                <w:color w:val="000000"/>
                <w:sz w:val="24"/>
                <w:szCs w:val="24"/>
              </w:rPr>
              <w:t>光大转债</w:t>
            </w:r>
          </w:p>
        </w:tc>
        <w:tc>
          <w:tcPr>
            <w:tcW w:w="1387" w:type="dxa"/>
            <w:vAlign w:val="center"/>
          </w:tcPr>
          <w:p w:rsidR="00A12E7B" w:rsidRDefault="00E91FB8">
            <w:pPr>
              <w:jc w:val="right"/>
            </w:pPr>
            <w:r>
              <w:rPr>
                <w:color w:val="000000"/>
                <w:sz w:val="24"/>
                <w:szCs w:val="24"/>
              </w:rPr>
              <w:t>530</w:t>
            </w:r>
          </w:p>
        </w:tc>
        <w:tc>
          <w:tcPr>
            <w:tcW w:w="2150" w:type="dxa"/>
            <w:vAlign w:val="center"/>
          </w:tcPr>
          <w:p w:rsidR="00A12E7B" w:rsidRDefault="00E91FB8">
            <w:pPr>
              <w:jc w:val="right"/>
            </w:pPr>
            <w:r>
              <w:rPr>
                <w:color w:val="000000"/>
                <w:sz w:val="24"/>
                <w:szCs w:val="24"/>
              </w:rPr>
              <w:t>55,713.60</w:t>
            </w:r>
          </w:p>
        </w:tc>
        <w:tc>
          <w:tcPr>
            <w:tcW w:w="1237" w:type="dxa"/>
            <w:vAlign w:val="center"/>
          </w:tcPr>
          <w:p w:rsidR="00A12E7B" w:rsidRDefault="00E91FB8">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1,328,172.97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9,964,851.19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2,970,349.92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3,864,130.14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18,127,504.22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A12E7B">
        <w:trPr>
          <w:jc w:val="center"/>
        </w:trPr>
        <w:tc>
          <w:tcPr>
            <w:tcW w:w="1883" w:type="dxa"/>
            <w:vAlign w:val="center"/>
          </w:tcPr>
          <w:p w:rsidR="00A12E7B" w:rsidRDefault="00E91FB8">
            <w:pPr>
              <w:jc w:val="center"/>
            </w:pPr>
            <w:r>
              <w:rPr>
                <w:color w:val="000000"/>
                <w:sz w:val="24"/>
                <w:szCs w:val="24"/>
              </w:rPr>
              <w:t>1</w:t>
            </w:r>
          </w:p>
        </w:tc>
        <w:tc>
          <w:tcPr>
            <w:tcW w:w="1801" w:type="dxa"/>
            <w:vAlign w:val="center"/>
          </w:tcPr>
          <w:p w:rsidR="00A12E7B" w:rsidRDefault="00E91FB8">
            <w:pPr>
              <w:jc w:val="center"/>
            </w:pPr>
            <w:r>
              <w:rPr>
                <w:color w:val="000000"/>
                <w:sz w:val="24"/>
                <w:szCs w:val="24"/>
              </w:rPr>
              <w:t>113011</w:t>
            </w:r>
          </w:p>
        </w:tc>
        <w:tc>
          <w:tcPr>
            <w:tcW w:w="1727" w:type="dxa"/>
            <w:vAlign w:val="center"/>
          </w:tcPr>
          <w:p w:rsidR="00A12E7B" w:rsidRDefault="00E91FB8">
            <w:pPr>
              <w:jc w:val="center"/>
            </w:pPr>
            <w:r>
              <w:rPr>
                <w:color w:val="000000"/>
                <w:sz w:val="24"/>
                <w:szCs w:val="24"/>
              </w:rPr>
              <w:t>光大转债</w:t>
            </w:r>
          </w:p>
        </w:tc>
        <w:tc>
          <w:tcPr>
            <w:tcW w:w="1768" w:type="dxa"/>
            <w:vAlign w:val="center"/>
          </w:tcPr>
          <w:p w:rsidR="00A12E7B" w:rsidRDefault="00E91FB8">
            <w:pPr>
              <w:jc w:val="right"/>
            </w:pPr>
            <w:r>
              <w:rPr>
                <w:color w:val="000000"/>
                <w:sz w:val="24"/>
                <w:szCs w:val="24"/>
              </w:rPr>
              <w:t>55,713.60</w:t>
            </w:r>
          </w:p>
        </w:tc>
        <w:tc>
          <w:tcPr>
            <w:tcW w:w="1689" w:type="dxa"/>
            <w:vAlign w:val="center"/>
          </w:tcPr>
          <w:p w:rsidR="00A12E7B" w:rsidRDefault="00E91FB8">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12E7B">
        <w:trPr>
          <w:jc w:val="center"/>
        </w:trPr>
        <w:tc>
          <w:tcPr>
            <w:tcW w:w="1129" w:type="dxa"/>
            <w:vAlign w:val="center"/>
          </w:tcPr>
          <w:p w:rsidR="00A12E7B" w:rsidRDefault="00E91FB8">
            <w:pPr>
              <w:jc w:val="center"/>
            </w:pPr>
            <w:r>
              <w:rPr>
                <w:color w:val="000000"/>
                <w:sz w:val="24"/>
                <w:szCs w:val="24"/>
              </w:rPr>
              <w:t>1</w:t>
            </w:r>
          </w:p>
        </w:tc>
        <w:tc>
          <w:tcPr>
            <w:tcW w:w="1356" w:type="dxa"/>
            <w:vAlign w:val="center"/>
          </w:tcPr>
          <w:p w:rsidR="00A12E7B" w:rsidRDefault="00E91FB8">
            <w:pPr>
              <w:jc w:val="center"/>
            </w:pPr>
            <w:r>
              <w:rPr>
                <w:color w:val="000000"/>
                <w:sz w:val="24"/>
                <w:szCs w:val="24"/>
              </w:rPr>
              <w:t>300188</w:t>
            </w:r>
          </w:p>
        </w:tc>
        <w:tc>
          <w:tcPr>
            <w:tcW w:w="1355" w:type="dxa"/>
            <w:vAlign w:val="center"/>
          </w:tcPr>
          <w:p w:rsidR="00A12E7B" w:rsidRDefault="00E91FB8">
            <w:pPr>
              <w:jc w:val="center"/>
            </w:pPr>
            <w:r>
              <w:rPr>
                <w:color w:val="000000"/>
                <w:sz w:val="24"/>
                <w:szCs w:val="24"/>
              </w:rPr>
              <w:t>美亚柏科</w:t>
            </w:r>
          </w:p>
        </w:tc>
        <w:tc>
          <w:tcPr>
            <w:tcW w:w="1880" w:type="dxa"/>
            <w:vAlign w:val="center"/>
          </w:tcPr>
          <w:p w:rsidR="00A12E7B" w:rsidRDefault="00E91FB8">
            <w:pPr>
              <w:jc w:val="right"/>
            </w:pPr>
            <w:r>
              <w:rPr>
                <w:color w:val="000000"/>
                <w:sz w:val="24"/>
                <w:szCs w:val="24"/>
              </w:rPr>
              <w:t>16,263,000.00</w:t>
            </w:r>
          </w:p>
        </w:tc>
        <w:tc>
          <w:tcPr>
            <w:tcW w:w="1724" w:type="dxa"/>
            <w:vAlign w:val="center"/>
          </w:tcPr>
          <w:p w:rsidR="00A12E7B" w:rsidRDefault="00E91FB8">
            <w:pPr>
              <w:jc w:val="right"/>
            </w:pPr>
            <w:r>
              <w:rPr>
                <w:color w:val="000000"/>
                <w:sz w:val="24"/>
                <w:szCs w:val="24"/>
              </w:rPr>
              <w:t>0.60</w:t>
            </w:r>
          </w:p>
        </w:tc>
        <w:tc>
          <w:tcPr>
            <w:tcW w:w="1424" w:type="dxa"/>
            <w:vAlign w:val="center"/>
          </w:tcPr>
          <w:p w:rsidR="00A12E7B" w:rsidRDefault="00E91FB8">
            <w:pPr>
              <w:jc w:val="right"/>
              <w:rPr>
                <w:rFonts w:hint="eastAsia"/>
              </w:rPr>
            </w:pPr>
            <w:r>
              <w:rPr>
                <w:rFonts w:hint="eastAsia"/>
                <w:color w:val="000000"/>
                <w:sz w:val="24"/>
                <w:szCs w:val="24"/>
              </w:rPr>
              <w:t>限售股</w:t>
            </w:r>
          </w:p>
        </w:tc>
        <w:bookmarkStart w:id="0" w:name="_GoBack"/>
        <w:bookmarkEnd w:id="0"/>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1,533,186,478.09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268,154,378.81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213,233,612.95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1,588,107,243.95</w:t>
            </w:r>
          </w:p>
        </w:tc>
      </w:tr>
    </w:tbl>
    <w:p w:rsidR="00A12E7B" w:rsidRDefault="00E91FB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12E7B" w:rsidRDefault="00E91FB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A12E7B" w:rsidRDefault="00E91FB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A12E7B" w:rsidRDefault="00E91FB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A12E7B" w:rsidRDefault="00E91FB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A12E7B" w:rsidRDefault="00E91FB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A12E7B" w:rsidRDefault="00E91FB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A12E7B" w:rsidRDefault="00E91FB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12E7B" w:rsidRDefault="00E91FB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w:t>
      </w:r>
      <w:r>
        <w:rPr>
          <w:color w:val="000000"/>
          <w:sz w:val="24"/>
          <w:szCs w:val="24"/>
        </w:rPr>
        <w:t>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91FB8">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E91FB8">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交银施罗德阿尔法核心混合型证券投资基金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2E70"/>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875DA"/>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2E7B"/>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307D3"/>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91FB8"/>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ED648A6-0A9D-432C-936E-024385CF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67B9A-4EB1-4A1A-BE39-256C403F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12</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许琦欣</cp:lastModifiedBy>
  <cp:revision>583</cp:revision>
  <dcterms:created xsi:type="dcterms:W3CDTF">2012-10-16T06:07:00Z</dcterms:created>
  <dcterms:modified xsi:type="dcterms:W3CDTF">2019-01-11T05:23:00Z</dcterms:modified>
</cp:coreProperties>
</file>