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交银施罗德新回报灵活配置混合型证券投资基金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2018年第4季度报告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2018年12月31日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中信银行股份有限公司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二〇一九年一月二十一日</w:t>
      </w:r>
    </w:p>
    <w:p w:rsidP="000A2988" w:rsidR="009238DB" w:rsidRDefault="009238DB" w:rsidRPr="007F52FA">
      <w:pPr>
        <w:pStyle w:val="1"/>
        <w:spacing w:afterLines="100"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基金托管人中信银行股份有限公司根据本基金合同规定，于2019年1月18日复核了本报告中的财务指标、净值表现和投资组合报告等内容，保证复核内容不存在虚假记载、误导性陈述或者重大遗漏。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本报告期自2018年10月1日起至12月31日止。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Lines="100"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交银新回报灵活配置混合</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519752</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2015年5月15日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419,732,536.88</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结合基金管理人对宏观经济周期和金融市场运行趋势的判断，自上而下进行宏观分析，自下而上精选投资标的，通过灵活的资产配置策略和积极主动的投资管理，在控制下行风险的前提下，力争为投资者提供长期稳健的投资回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50%×沪深300指数收益率+50%×中债综合全价指数收益率</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本基金是一只混合型基金，其风险和预期收益高于债券型基金和货币市场基金，低于股票型基金。属于承担较高风险、预期收益较高的证券投资基金品种。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交银新回报灵活配置混合A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交银新回报灵活配置混合C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519752</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519760</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415,041,442.81</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4,691,094.07</w:t>
            </w:r>
            <w:r w:rsidRPr="007F52FA">
              <w:rPr>
                <w:color w:val="000000"/>
                <w:kern w:val="0"/>
                <w:sz w:val="24"/>
              </w:rPr>
              <w:t>份</w:t>
            </w:r>
          </w:p>
        </w:tc>
      </w:tr>
    </w:tbl>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Lines="100"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(2018年10月1日-2018年12月31日)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交银新回报灵活配置混合A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交银新回报灵活配置混合C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-3,635,685.76</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-115,807.09</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-3,911,245.01</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-113,941.98</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-0.0095</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-0.0271</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476,853,713.38</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18,624,796.29</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1.149</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3.970</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注：1、上述基金A类业绩指标不包括持有人认购或交易基金的各项费用，计入费用后的实际收益水平要低于所列数字； </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交银新回报灵活配置混合A</w:t>
      </w:r>
      <w:r w:rsidRPr="007F52FA">
        <w:rPr>
          <w:b/>
          <w:sz w:val="24"/>
        </w:rPr>
        <w:t>：</w:t>
      </w:r>
    </w:p>
    <w:tbl>
      <w:tblPr>
        <w:tblStyle w:val="af2"/>
        <w:tblW w:type="dxa" w:w="8868"/>
        <w:jc w:val="center"/>
        <w:tblLayout w:type="fixed"/>
        <w:tblCellMar>
          <w:top w:type="dxa" w:w="57"/>
          <w:bottom w:type="dxa" w:w="57"/>
        </w:tblCellMar>
        <w:tblLook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-0.78%</w:t>
            </w:r>
          </w:p>
        </w:tc>
        <w:tc>
          <w:tcPr>
            <w:vAlign w:val="center"/>
          </w:tcPr>
          <w:p>
            <w:pPr>
              <w:jc w:val="center"/>
            </w:pPr>
            <w:r>
              <w:rPr>
                <w:color w:val="000000"/>
                <w:sz w:val="24"/>
              </w:rPr>
              <w:t>0.19%</w:t>
            </w:r>
          </w:p>
        </w:tc>
        <w:tc>
          <w:tcPr>
            <w:vAlign w:val="center"/>
          </w:tcPr>
          <w:p>
            <w:pPr>
              <w:jc w:val="center"/>
            </w:pPr>
            <w:r>
              <w:rPr>
                <w:color w:val="000000"/>
                <w:sz w:val="24"/>
              </w:rPr>
              <w:t>-5.31%</w:t>
            </w:r>
          </w:p>
        </w:tc>
        <w:tc>
          <w:tcPr>
            <w:vAlign w:val="center"/>
          </w:tcPr>
          <w:p>
            <w:pPr>
              <w:jc w:val="center"/>
            </w:pPr>
            <w:r>
              <w:rPr>
                <w:color w:val="000000"/>
                <w:sz w:val="24"/>
              </w:rPr>
              <w:t>0.81%</w:t>
            </w:r>
          </w:p>
        </w:tc>
        <w:tc>
          <w:tcPr>
            <w:vAlign w:val="center"/>
          </w:tcPr>
          <w:p>
            <w:pPr>
              <w:jc w:val="center"/>
            </w:pPr>
            <w:r>
              <w:rPr>
                <w:color w:val="000000"/>
                <w:sz w:val="24"/>
              </w:rPr>
              <w:t>4.53%</w:t>
            </w:r>
          </w:p>
        </w:tc>
        <w:tc>
          <w:tcPr>
            <w:vAlign w:val="center"/>
          </w:tcPr>
          <w:p>
            <w:pPr>
              <w:jc w:val="center"/>
            </w:pPr>
            <w:r>
              <w:rPr>
                <w:color w:val="000000"/>
                <w:sz w:val="24"/>
              </w:rPr>
              <w:t>-0.62%</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交银新回报灵活配置混合C</w:t>
      </w:r>
      <w:r w:rsidRPr="007F52FA">
        <w:rPr>
          <w:b/>
          <w:color w:val="000000"/>
          <w:kern w:val="0"/>
          <w:sz w:val="24"/>
        </w:rPr>
        <w:t>：</w:t>
      </w:r>
    </w:p>
    <w:tbl>
      <w:tblPr>
        <w:tblStyle w:val="af2"/>
        <w:tblW w:type="dxa" w:w="8868"/>
        <w:jc w:val="center"/>
        <w:tblLayout w:type="fixed"/>
        <w:tblCellMar>
          <w:top w:type="dxa" w:w="57"/>
          <w:bottom w:type="dxa" w:w="57"/>
        </w:tblCellMar>
        <w:tblLook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-0.75%</w:t>
            </w:r>
          </w:p>
        </w:tc>
        <w:tc>
          <w:tcPr>
            <w:vAlign w:val="center"/>
          </w:tcPr>
          <w:p>
            <w:pPr>
              <w:jc w:val="center"/>
            </w:pPr>
            <w:r>
              <w:rPr>
                <w:color w:val="000000"/>
                <w:sz w:val="24"/>
              </w:rPr>
              <w:t>0.20%</w:t>
            </w:r>
          </w:p>
        </w:tc>
        <w:tc>
          <w:tcPr>
            <w:vAlign w:val="center"/>
          </w:tcPr>
          <w:p>
            <w:pPr>
              <w:jc w:val="center"/>
            </w:pPr>
            <w:r>
              <w:rPr>
                <w:color w:val="000000"/>
                <w:sz w:val="24"/>
              </w:rPr>
              <w:t>-5.31%</w:t>
            </w:r>
          </w:p>
        </w:tc>
        <w:tc>
          <w:tcPr>
            <w:vAlign w:val="center"/>
          </w:tcPr>
          <w:p>
            <w:pPr>
              <w:jc w:val="center"/>
            </w:pPr>
            <w:r>
              <w:rPr>
                <w:color w:val="000000"/>
                <w:sz w:val="24"/>
              </w:rPr>
              <w:t>0.81%</w:t>
            </w:r>
          </w:p>
        </w:tc>
        <w:tc>
          <w:tcPr>
            <w:vAlign w:val="center"/>
          </w:tcPr>
          <w:p>
            <w:pPr>
              <w:jc w:val="center"/>
            </w:pPr>
            <w:r>
              <w:rPr>
                <w:color w:val="000000"/>
                <w:sz w:val="24"/>
              </w:rPr>
              <w:t>4.56%</w:t>
            </w:r>
          </w:p>
        </w:tc>
        <w:tc>
          <w:tcPr>
            <w:vAlign w:val="center"/>
          </w:tcPr>
          <w:p>
            <w:pPr>
              <w:jc w:val="center"/>
            </w:pPr>
            <w:r>
              <w:rPr>
                <w:color w:val="000000"/>
                <w:sz w:val="24"/>
              </w:rPr>
              <w:t>-0.61%</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交银施罗德新回报灵活配置混合型证券投资基金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2015年5月15日</w:t>
      </w:r>
      <w:r w:rsidR="009A045B" w:rsidRPr="007F52FA">
        <w:rPr>
          <w:rFonts w:ascii="Times New Roman" w:hAnsi="Times New Roman"/>
          <w:sz w:val="24"/>
          <w:szCs w:val="24"/>
        </w:rPr>
        <w:t>至</w:t>
      </w:r>
      <w:r w:rsidRPr="007F52FA">
        <w:rPr>
          <w:rFonts w:ascii="Times New Roman" w:hAnsi="Times New Roman"/>
          <w:sz w:val="24"/>
          <w:szCs w:val="24"/>
        </w:rPr>
        <w:t>2018年12月31日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交银新回报灵活配置混合A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注：图示日期为2015年5月15日至2018年12月31日。本基金建仓期为自基金合同生效日起的6个月。截至建仓期结束，本基金各项资产配置比例符合基金合同及招募说明书有关投资比例的约定。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交银新回报灵活配置混合C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注：本基金自2015年11月19日起，开始销售C类份额，投资者提交的申购申请于2015年11月20日被确认并将有效份额登记在册。图示日期为2015年11月20日至2018年12月31日。</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Lines="100"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李娜</w:t>
            </w:r>
          </w:p>
        </w:tc>
        <w:tc>
          <w:tcPr>
            <w:vAlign w:val="center"/>
          </w:tcPr>
          <w:p>
            <w:pPr>
              <w:jc w:val="center"/>
            </w:pPr>
            <w:r>
              <w:rPr>
                <w:color w:val="000000"/>
                <w:sz w:val="24"/>
              </w:rPr>
              <w:t>交银周期回报灵活配置混合、交银新回报灵活配置混合、交银多策略回报灵活配置混合、交银优选回报灵活配置混合、交银优择回报灵活配置混合、交银领先回报灵活配置混合、交银瑞鑫定期开放灵活配置混合、交银裕祥纯债债券的基金经理</w:t>
            </w:r>
          </w:p>
        </w:tc>
        <w:tc>
          <w:tcPr>
            <w:vAlign w:val="center"/>
          </w:tcPr>
          <w:p>
            <w:pPr>
              <w:jc w:val="center"/>
            </w:pPr>
            <w:r>
              <w:rPr>
                <w:color w:val="000000"/>
                <w:sz w:val="24"/>
              </w:rPr>
              <w:t>2015-08-04</w:t>
            </w:r>
          </w:p>
        </w:tc>
        <w:tc>
          <w:tcPr>
            <w:vAlign w:val="center"/>
          </w:tcPr>
          <w:p>
            <w:pPr>
              <w:jc w:val="center"/>
            </w:pPr>
            <w:r>
              <w:rPr>
                <w:color w:val="000000"/>
                <w:sz w:val="24"/>
              </w:rPr>
              <w:t>-</w:t>
            </w:r>
          </w:p>
        </w:tc>
        <w:tc>
          <w:tcPr>
            <w:vAlign w:val="center"/>
          </w:tcPr>
          <w:p>
            <w:pPr>
              <w:jc w:val="center"/>
            </w:pPr>
            <w:r>
              <w:rPr>
                <w:color w:val="000000"/>
                <w:sz w:val="24"/>
              </w:rPr>
              <w:t>8年</w:t>
            </w:r>
          </w:p>
        </w:tc>
        <w:tc>
          <w:tcPr>
            <w:vAlign w:val="center"/>
          </w:tcPr>
          <w:p>
            <w:pPr>
              <w:jc w:val="both"/>
            </w:pPr>
            <w:r>
              <w:rPr>
                <w:color w:val="000000"/>
                <w:sz w:val="24"/>
              </w:rPr>
              <w:t>李娜女士，美国宾夕法尼亚大学应用数学与计算科学硕士。历任国泰基金管理有限公司研究员。2012年加入交银施罗德基金管理有限公司，历任债券分析师、基金经理助理。2017年3月2日至2018年4月10日担任交银施罗德瑞安定期开放灵活配置混合型证券投资基金基金经理。2017年2月24日至2018年7月18日担任交银施罗德瑞利定期开放灵活配置混合型证券投资基金的基金经理。2017年3月31日至2018年8月23日担任交银施罗德启通灵活配置混合型证券投资基金的基金经理。2016年12月21日至2018年11月16日担任交银施罗德瑞景定期开放灵活配置混合型证券投资基金的基金经理。2016年2月17日至2018年12月7日担任交银施罗德卓越回报灵活配置混合型证券投资基金的基金经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国内经济增速呈现下行态势，通胀维持低位，市场在两条逻辑线条相互角力下演进，一方面是“宽信用”政策陆续出台，影响基本面预期，从而对债券市场形成阶段性扰动；另一方面，金融数据持续走弱，原油价格快速回落，美联储加息预期下行，工业企业利润和PMI数据走弱等因素，带动债券市场收益率再度下行。年末资金面呈现季节性结构性紧张，整个收益率曲线呈现牛平态势。权益市场在基本面预期下，面临风险偏好持续回落，呈现震荡下行态势。报告期内，上证综指和创业板指分别下跌11.61%和11.39%，十年期国债收益率大幅下行39BP至3.22%，十年期国开债收益率大幅下行56BP至3.65%。</w:t>
      </w:r>
    </w:p>
    <w:p>
      <w:pPr>
        <w:spacing w:before="29" w:line="288" w:lineRule="auto"/>
        <w:ind w:firstLine="480" w:firstLineChars="200"/>
        <w:rPr>
          <w:color w:val="000000"/>
          <w:sz w:val="24"/>
        </w:rPr>
      </w:pPr>
      <w:r>
        <w:rPr>
          <w:color w:val="000000"/>
          <w:sz w:val="24"/>
        </w:rPr>
        <w:t>策略层面，本基金重点关注中短久期信用债的配置价值，保持适度久期，同时保持组合流动性。积极关注新股发行动态，进行权益一级市场投资，同时也关注二级市场的投资机会，从各方面争取为持有人赚取回报。</w:t>
      </w:r>
    </w:p>
    <w:p w:rsidP="007C14DF" w:rsidR="00952A72" w:rsidRDefault="00323F25" w:rsidRPr="007F52FA">
      <w:pPr>
        <w:spacing w:before="29" w:line="288" w:lineRule="auto"/>
        <w:ind w:firstLine="480" w:firstLineChars="200"/>
        <w:rPr>
          <w:color w:val="000000"/>
          <w:sz w:val="24"/>
        </w:rPr>
      </w:pPr>
      <w:r w:rsidRPr="007F52FA">
        <w:rPr>
          <w:color w:val="000000"/>
          <w:sz w:val="24"/>
        </w:rPr>
        <w:t xml:space="preserve">展望2019年一季度，市场对于基本面下滑的预期相对较为充分，需要关注基本面下滑预期的兑现路径；中性的货币政策下，重点关注融资渠道疏导的发力方式及融资需求的边际变化；海外方面关注美国基本面变化、联储加息路径以及欧元区缩表预期。此外，我们还将密切关注低评级信用债违约风险的演化及相对应信用利差的变化。股票方面，力争继续保持稳健、审慎投资，积极关注一级市场动态。债券方面，在保持组合流动性的前提下积极关注交易机会，把握适度久期，同时特别关注信用风险。 </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 主要财务指标” 及“3.2.1本报告期基金份额净值增长率及其与同期业绩比较基准收益率的比较”部分披露。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Lines="100"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rsidRPr="0028293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tbl>
      <w:tblPr>
        <w:tblStyle w:val="af2"/>
        <w:tblW w:type="dxa" w:w="8897"/>
        <w:tblInd w:type="dxa" w:w="108"/>
        <w:tblLayout w:type="fixed"/>
        <w:tblLook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r w:rsidRPr="0028293E">
              <w:rPr>
                <w:rFonts w:eastAsiaTheme="minorEastAsia"/>
                <w:color w:themeColor="text1" w:val="000000"/>
                <w:sz w:val="24"/>
              </w:rPr>
              <w:t>(</w:t>
            </w:r>
            <w:r w:rsidRPr="0028293E">
              <w:rPr>
                <w:rFonts w:eastAsiaTheme="minorEastAsia"/>
                <w:color w:themeColor="text1" w:val="000000"/>
                <w:sz w:val="24"/>
              </w:rPr>
              <w:t>元</w:t>
            </w: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67,050,157.71</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13.02</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67,050,157.71</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13.02</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434,542,200.00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84.38</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434,542,200.00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84.38</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1,700,000.00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0.33</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2,792,182.82</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0.54</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8,905,828.84</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1.73</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514,990,369.37</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lastRenderedPageBreak/>
        <w:t xml:space="preserve">5.2 </w:t>
      </w:r>
      <w:r w:rsidRPr="007F52FA">
        <w:rPr>
          <w:rFonts w:eastAsiaTheme="minorEastAsia"/>
          <w:b/>
          <w:color w:val="000000"/>
          <w:kern w:val="0"/>
          <w:sz w:val="24"/>
        </w:rPr>
        <w:t>报告期末按行业分类的股票投资组合</w:t>
      </w:r>
    </w:p>
    <w:p w:rsidP="001A5D39" w:rsidR="001A5D39" w:rsidRDefault="001A5D39" w:rsidRPr="001A5D39">
      <w:pPr>
        <w:rPr>
          <w:b/>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113"/>
          <w:right w:type="dxa" w:w="113"/>
        </w:tblCellMar>
        <w:tblLook w:val="0000"/>
      </w:tblPr>
      <w:tblGrid>
        <w:gridCol w:w="772"/>
        <w:gridCol w:w="3525"/>
        <w:gridCol w:w="2897"/>
        <w:gridCol w:w="1674"/>
      </w:tblGrid>
      <w:tr w:rsidR="005F458B" w:rsidRPr="007F52FA" w:rsidTr="004D7E11">
        <w:trPr>
          <w:trHeight w:val="390"/>
          <w:jc w:val="center"/>
        </w:trPr>
        <w:tc>
          <w:tcPr>
            <w:tcW w:type="dxa" w:w="772"/>
            <w:tcBorders>
              <w:top w:color="000000" w:space="0" w:sz="4" w:val="single"/>
              <w:left w:color="000000" w:space="0" w:sz="4" w:val="single"/>
              <w:bottom w:color="000000" w:space="0" w:sz="4" w:val="single"/>
              <w:right w:color="000000" w:space="0" w:sz="4" w:val="single"/>
            </w:tcBorders>
            <w:vAlign w:val="center"/>
          </w:tcPr>
          <w:p w:rsidP="007C14DF" w:rsidR="005F458B" w:rsidRDefault="005F458B" w:rsidRPr="007F52FA">
            <w:pPr>
              <w:adjustRightInd w:val="0"/>
              <w:snapToGrid w:val="0"/>
              <w:spacing w:before="29" w:line="288" w:lineRule="auto"/>
              <w:jc w:val="center"/>
              <w:rPr>
                <w:sz w:val="24"/>
              </w:rPr>
            </w:pPr>
            <w:r w:rsidRPr="007F52FA">
              <w:rPr>
                <w:sz w:val="24"/>
              </w:rPr>
              <w:t>代码</w:t>
            </w:r>
            <w:r w:rsidR="00FA0527" w:rsidRPr="007F52FA">
              <w:rPr>
                <w:sz w:val="24"/>
              </w:rPr>
              <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行业类别</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adjustRightInd w:val="0"/>
              <w:snapToGrid w:val="0"/>
              <w:spacing w:before="29" w:line="288" w:lineRule="auto"/>
              <w:jc w:val="center"/>
              <w:rPr>
                <w:sz w:val="24"/>
              </w:rPr>
            </w:pPr>
            <w:r w:rsidRPr="007F52FA">
              <w:rPr>
                <w:sz w:val="24"/>
              </w:rPr>
              <w:t>公允价值（元）</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A</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农、林、牧、渔业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B</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采矿业</w:t>
            </w:r>
          </w:p>
        </w:tc>
        <w:tc>
          <w:tcPr>
            <w:tcW w:type="dxa" w:w="2897"/>
            <w:tcBorders>
              <w:top w:color="000000" w:space="0" w:sz="4" w:val="single"/>
              <w:left w:color="auto" w:space="0" w:sz="4" w:val="single"/>
              <w:bottom w:color="000000" w:space="0" w:sz="4" w:val="single"/>
              <w:right w:color="000000" w:space="0" w:sz="4" w:val="single"/>
            </w:tcBorders>
            <w:vAlign w:val="center"/>
          </w:tcPr>
          <w:p w:rsidP="00DF744A" w:rsidR="005F458B" w:rsidRDefault="005F458B" w:rsidRPr="007F52FA">
            <w:pPr>
              <w:spacing w:before="29" w:line="288" w:lineRule="auto"/>
              <w:jc w:val="right"/>
              <w:rPr>
                <w:sz w:val="24"/>
              </w:rPr>
            </w:pPr>
            <w:r w:rsidRPr="007F52FA">
              <w:rPr>
                <w:sz w:val="24"/>
              </w:rPr>
              <w:t>5,612,000.00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DF744A" w:rsidR="005F458B" w:rsidRDefault="005F458B" w:rsidRPr="007F52FA">
            <w:pPr>
              <w:spacing w:before="29" w:line="288" w:lineRule="auto"/>
              <w:jc w:val="right"/>
              <w:rPr>
                <w:sz w:val="24"/>
              </w:rPr>
            </w:pPr>
            <w:r w:rsidRPr="007F52FA">
              <w:rPr>
                <w:sz w:val="24"/>
              </w:rPr>
              <w:t>1.13</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C</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制造业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29,966,716.07</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6.05</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D</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电力、热力、燃气及水生产和供应业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E</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建筑业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5,023,130.40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1.01</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F</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批发和零售业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G</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交通运输、仓储和邮政业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
            </w:r>
            <w:r w:rsidRPr="007F52FA">
              <w:rPr>
                <w:sz w:val="24"/>
              </w:rPr>
              <w:lastRenderedPageBreak/>
              <w:t>2,027,811.24</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lastRenderedPageBreak/>
              <w:t/>
            </w:r>
            <w:r w:rsidRPr="007F52FA">
              <w:rPr>
                <w:sz w:val="24"/>
              </w:rPr>
              <w:lastRenderedPageBreak/>
              <w:t>0.41</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lastRenderedPageBreak/>
              <w:t>H</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住宿和餐饮业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240CA0">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I</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240CA0" w:rsidR="005F458B" w:rsidRDefault="005F458B" w:rsidRPr="007F52FA">
            <w:pPr>
              <w:adjustRightInd w:val="0"/>
              <w:snapToGrid w:val="0"/>
              <w:spacing w:before="29" w:line="288" w:lineRule="auto"/>
              <w:rPr>
                <w:sz w:val="24"/>
              </w:rPr>
            </w:pPr>
            <w:r w:rsidRPr="007F52FA">
              <w:rPr>
                <w:sz w:val="24"/>
              </w:rPr>
              <w:t>信息传输、软件和信息技术服务业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J</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金融业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20,526,000.00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4.14</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K</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房地产业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2,358,000.00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0.48</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L</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租赁和商务服务业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M</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科学研究和技术服务业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N</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水利、环境和公共设施管理业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
            </w:r>
            <w:r w:rsidRPr="007F52FA">
              <w:rPr>
                <w:sz w:val="24"/>
              </w:rPr>
              <w:lastRenderedPageBreak/>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lastRenderedPageBreak/>
              <w:t>O</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居民服务、修理和其他服务业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P</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教育</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Q</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卫生和社会工作</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1,536,500.00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0.31</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R</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文化、体育和娱乐业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S</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综合</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合计</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67,050,157.71</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13.53</w:t>
            </w:r>
          </w:p>
        </w:tc>
      </w:tr>
    </w:tbl>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val="04A0"/>
      </w:tblPr>
      <w:tblGrid>
        <w:gridCol w:w="850"/>
        <w:gridCol w:w="1327"/>
        <w:gridCol w:w="1769"/>
        <w:gridCol w:w="1327"/>
        <w:gridCol w:w="1915"/>
        <w:gridCol w:w="1680"/>
      </w:tblGrid>
      <w:tr w:rsidR="000871DB" w:rsidRPr="007F52FA" w:rsidTr="00481DB2">
        <w:trPr>
          <w:jc w:val="center"/>
        </w:trPr>
        <w:tc>
          <w:tcPr>
            <w:tcW w:type="dxa" w:w="817"/>
            <w:vAlign w:val="center"/>
          </w:tcPr>
          <w:p w:rsidP="007C14DF" w:rsidR="000871DB" w:rsidRDefault="000871DB" w:rsidRPr="007F52FA">
            <w:pPr>
              <w:spacing w:before="29" w:line="288" w:lineRule="auto"/>
              <w:ind w:left="17"/>
              <w:jc w:val="center"/>
              <w:rPr>
                <w:color w:val="000000"/>
                <w:sz w:val="24"/>
              </w:rPr>
            </w:pPr>
            <w:r w:rsidRPr="007F52FA">
              <w:rPr>
                <w:color w:val="000000"/>
                <w:sz w:val="24"/>
              </w:rPr>
              <w:t>序号</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股票代码</w:t>
            </w:r>
          </w:p>
        </w:tc>
        <w:tc>
          <w:tcPr>
            <w:tcW w:type="dxa" w:w="1701"/>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股票名称</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type="dxa" w:w="1842"/>
            <w:vAlign w:val="center"/>
          </w:tcPr>
          <w:p w:rsidP="007C14DF" w:rsidR="000871DB" w:rsidRDefault="000871DB" w:rsidRPr="007F52FA">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type="dxa" w:w="1616"/>
            <w:vAlign w:val="center"/>
          </w:tcPr>
          <w:p w:rsidP="007C14DF" w:rsidR="000871DB" w:rsidRDefault="000871DB" w:rsidRPr="007F52FA">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tc>
          <w:tcPr>
            <w:vAlign w:val="center"/>
          </w:tcPr>
          <w:p>
            <w:pPr>
              <w:jc w:val="center"/>
            </w:pPr>
            <w:r>
              <w:rPr>
                <w:color w:val="000000"/>
                <w:sz w:val="24"/>
              </w:rPr>
              <w:t>1</w:t>
            </w:r>
          </w:p>
        </w:tc>
        <w:tc>
          <w:tcPr>
            <w:vAlign w:val="center"/>
          </w:tcPr>
          <w:p>
            <w:pPr>
              <w:jc w:val="center"/>
            </w:pPr>
            <w:r>
              <w:rPr>
                <w:color w:val="000000"/>
                <w:sz w:val="24"/>
              </w:rPr>
              <w:t>601398</w:t>
            </w:r>
          </w:p>
        </w:tc>
        <w:tc>
          <w:tcPr>
            <w:vAlign w:val="center"/>
          </w:tcPr>
          <w:p>
            <w:pPr>
              <w:jc w:val="center"/>
            </w:pPr>
            <w:r>
              <w:rPr>
                <w:color w:val="000000"/>
                <w:sz w:val="24"/>
              </w:rPr>
              <w:t>工商银行</w:t>
            </w:r>
          </w:p>
        </w:tc>
        <w:tc>
          <w:tcPr>
            <w:vAlign w:val="center"/>
          </w:tcPr>
          <w:p>
            <w:pPr>
              <w:jc w:val="right"/>
            </w:pPr>
            <w:r>
              <w:rPr>
                <w:color w:val="000000"/>
                <w:sz w:val="24"/>
              </w:rPr>
              <w:t>1,600,000</w:t>
            </w:r>
          </w:p>
        </w:tc>
        <w:tc>
          <w:tcPr>
            <w:vAlign w:val="center"/>
          </w:tcPr>
          <w:p>
            <w:pPr>
              <w:jc w:val="right"/>
            </w:pPr>
            <w:r>
              <w:rPr>
                <w:color w:val="000000"/>
                <w:sz w:val="24"/>
              </w:rPr>
              <w:t>8,464,000.00</w:t>
            </w:r>
          </w:p>
        </w:tc>
        <w:tc>
          <w:tcPr>
            <w:vAlign w:val="center"/>
          </w:tcPr>
          <w:p>
            <w:pPr>
              <w:jc w:val="right"/>
            </w:pPr>
            <w:r>
              <w:rPr>
                <w:color w:val="000000"/>
                <w:sz w:val="24"/>
              </w:rPr>
              <w:t>1.71</w:t>
            </w:r>
          </w:p>
        </w:tc>
      </w:tr>
      <w:tr>
        <w:tc>
          <w:tcPr>
            <w:vAlign w:val="center"/>
          </w:tcPr>
          <w:p>
            <w:pPr>
              <w:jc w:val="center"/>
            </w:pPr>
            <w:r>
              <w:rPr>
                <w:color w:val="000000"/>
                <w:sz w:val="24"/>
              </w:rPr>
              <w:t>2</w:t>
            </w:r>
          </w:p>
        </w:tc>
        <w:tc>
          <w:tcPr>
            <w:vAlign w:val="center"/>
          </w:tcPr>
          <w:p>
            <w:pPr>
              <w:jc w:val="center"/>
            </w:pPr>
            <w:r>
              <w:rPr>
                <w:color w:val="000000"/>
                <w:sz w:val="24"/>
              </w:rPr>
              <w:t>600519</w:t>
            </w:r>
          </w:p>
        </w:tc>
        <w:tc>
          <w:tcPr>
            <w:vAlign w:val="center"/>
          </w:tcPr>
          <w:p>
            <w:pPr>
              <w:jc w:val="center"/>
            </w:pPr>
            <w:r>
              <w:rPr>
                <w:color w:val="000000"/>
                <w:sz w:val="24"/>
              </w:rPr>
              <w:t>贵州茅台</w:t>
            </w:r>
          </w:p>
        </w:tc>
        <w:tc>
          <w:tcPr>
            <w:vAlign w:val="center"/>
          </w:tcPr>
          <w:p>
            <w:pPr>
              <w:jc w:val="right"/>
            </w:pPr>
            <w:r>
              <w:rPr>
                <w:color w:val="000000"/>
                <w:sz w:val="24"/>
              </w:rPr>
              <w:t>13,000</w:t>
            </w:r>
          </w:p>
        </w:tc>
        <w:tc>
          <w:tcPr>
            <w:vAlign w:val="center"/>
          </w:tcPr>
          <w:p>
            <w:pPr>
              <w:jc w:val="right"/>
            </w:pPr>
            <w:r>
              <w:rPr>
                <w:color w:val="000000"/>
                <w:sz w:val="24"/>
              </w:rPr>
              <w:t>7,670,130.00</w:t>
            </w:r>
          </w:p>
        </w:tc>
        <w:tc>
          <w:tcPr>
            <w:vAlign w:val="center"/>
          </w:tcPr>
          <w:p>
            <w:pPr>
              <w:jc w:val="right"/>
            </w:pPr>
            <w:r>
              <w:rPr>
                <w:color w:val="000000"/>
                <w:sz w:val="24"/>
              </w:rPr>
              <w:t>1.55</w:t>
            </w:r>
          </w:p>
        </w:tc>
      </w:tr>
      <w:tr>
        <w:tc>
          <w:tcPr>
            <w:vAlign w:val="center"/>
          </w:tcPr>
          <w:p>
            <w:pPr>
              <w:jc w:val="center"/>
            </w:pPr>
            <w:r>
              <w:rPr>
                <w:color w:val="000000"/>
                <w:sz w:val="24"/>
              </w:rPr>
              <w:t>3</w:t>
            </w:r>
          </w:p>
        </w:tc>
        <w:tc>
          <w:tcPr>
            <w:vAlign w:val="center"/>
          </w:tcPr>
          <w:p>
            <w:pPr>
              <w:jc w:val="center"/>
            </w:pPr>
            <w:r>
              <w:rPr>
                <w:color w:val="000000"/>
                <w:sz w:val="24"/>
              </w:rPr>
              <w:t>600887</w:t>
            </w:r>
          </w:p>
        </w:tc>
        <w:tc>
          <w:tcPr>
            <w:vAlign w:val="center"/>
          </w:tcPr>
          <w:p>
            <w:pPr>
              <w:jc w:val="center"/>
            </w:pPr>
            <w:r>
              <w:rPr>
                <w:color w:val="000000"/>
                <w:sz w:val="24"/>
              </w:rPr>
              <w:t>伊利股份</w:t>
            </w:r>
          </w:p>
        </w:tc>
        <w:tc>
          <w:tcPr>
            <w:vAlign w:val="center"/>
          </w:tcPr>
          <w:p>
            <w:pPr>
              <w:jc w:val="right"/>
            </w:pPr>
            <w:r>
              <w:rPr>
                <w:color w:val="000000"/>
                <w:sz w:val="24"/>
              </w:rPr>
              <w:t>250,000</w:t>
            </w:r>
          </w:p>
        </w:tc>
        <w:tc>
          <w:tcPr>
            <w:vAlign w:val="center"/>
          </w:tcPr>
          <w:p>
            <w:pPr>
              <w:jc w:val="right"/>
            </w:pPr>
            <w:r>
              <w:rPr>
                <w:color w:val="000000"/>
                <w:sz w:val="24"/>
              </w:rPr>
              <w:t>5,720,000.00</w:t>
            </w:r>
          </w:p>
        </w:tc>
        <w:tc>
          <w:tcPr>
            <w:vAlign w:val="center"/>
          </w:tcPr>
          <w:p>
            <w:pPr>
              <w:jc w:val="right"/>
            </w:pPr>
            <w:r>
              <w:rPr>
                <w:color w:val="000000"/>
                <w:sz w:val="24"/>
              </w:rPr>
              <w:t>1.15</w:t>
            </w:r>
          </w:p>
        </w:tc>
      </w:tr>
      <w:tr>
        <w:tc>
          <w:tcPr>
            <w:vAlign w:val="center"/>
          </w:tcPr>
          <w:p>
            <w:pPr>
              <w:jc w:val="center"/>
            </w:pPr>
            <w:r>
              <w:rPr>
                <w:color w:val="000000"/>
                <w:sz w:val="24"/>
              </w:rPr>
              <w:t>4</w:t>
            </w:r>
          </w:p>
        </w:tc>
        <w:tc>
          <w:tcPr>
            <w:vAlign w:val="center"/>
          </w:tcPr>
          <w:p>
            <w:pPr>
              <w:jc w:val="center"/>
            </w:pPr>
            <w:r>
              <w:rPr>
                <w:color w:val="000000"/>
                <w:sz w:val="24"/>
              </w:rPr>
              <w:t>601318</w:t>
            </w:r>
          </w:p>
        </w:tc>
        <w:tc>
          <w:tcPr>
            <w:vAlign w:val="center"/>
          </w:tcPr>
          <w:p>
            <w:pPr>
              <w:jc w:val="center"/>
            </w:pPr>
            <w:r>
              <w:rPr>
                <w:color w:val="000000"/>
                <w:sz w:val="24"/>
              </w:rPr>
              <w:t>中国平安</w:t>
            </w:r>
          </w:p>
        </w:tc>
        <w:tc>
          <w:tcPr>
            <w:vAlign w:val="center"/>
          </w:tcPr>
          <w:p>
            <w:pPr>
              <w:jc w:val="right"/>
            </w:pPr>
            <w:r>
              <w:rPr>
                <w:color w:val="000000"/>
                <w:sz w:val="24"/>
              </w:rPr>
              <w:t>80,000</w:t>
            </w:r>
          </w:p>
        </w:tc>
        <w:tc>
          <w:tcPr>
            <w:vAlign w:val="center"/>
          </w:tcPr>
          <w:p>
            <w:pPr>
              <w:jc w:val="right"/>
            </w:pPr>
            <w:r>
              <w:rPr>
                <w:color w:val="000000"/>
                <w:sz w:val="24"/>
              </w:rPr>
              <w:t>4,488,000.00</w:t>
            </w:r>
          </w:p>
        </w:tc>
        <w:tc>
          <w:tcPr>
            <w:vAlign w:val="center"/>
          </w:tcPr>
          <w:p>
            <w:pPr>
              <w:jc w:val="right"/>
            </w:pPr>
            <w:r>
              <w:rPr>
                <w:color w:val="000000"/>
                <w:sz w:val="24"/>
              </w:rPr>
              <w:t>0.91</w:t>
            </w:r>
          </w:p>
        </w:tc>
      </w:tr>
      <w:tr>
        <w:tc>
          <w:tcPr>
            <w:vAlign w:val="center"/>
          </w:tcPr>
          <w:p>
            <w:pPr>
              <w:jc w:val="center"/>
            </w:pPr>
            <w:r>
              <w:rPr>
                <w:color w:val="000000"/>
                <w:sz w:val="24"/>
              </w:rPr>
              <w:t>5</w:t>
            </w:r>
          </w:p>
        </w:tc>
        <w:tc>
          <w:tcPr>
            <w:vAlign w:val="center"/>
          </w:tcPr>
          <w:p>
            <w:pPr>
              <w:jc w:val="center"/>
            </w:pPr>
            <w:r>
              <w:rPr>
                <w:color w:val="000000"/>
                <w:sz w:val="24"/>
              </w:rPr>
              <w:t>601939</w:t>
            </w:r>
          </w:p>
        </w:tc>
        <w:tc>
          <w:tcPr>
            <w:vAlign w:val="center"/>
          </w:tcPr>
          <w:p>
            <w:pPr>
              <w:jc w:val="center"/>
            </w:pPr>
            <w:r>
              <w:rPr>
                <w:color w:val="000000"/>
                <w:sz w:val="24"/>
              </w:rPr>
              <w:t>建设银行</w:t>
            </w:r>
          </w:p>
        </w:tc>
        <w:tc>
          <w:tcPr>
            <w:vAlign w:val="center"/>
          </w:tcPr>
          <w:p>
            <w:pPr>
              <w:jc w:val="right"/>
            </w:pPr>
            <w:r>
              <w:rPr>
                <w:color w:val="000000"/>
                <w:sz w:val="24"/>
              </w:rPr>
              <w:t>600,000</w:t>
            </w:r>
          </w:p>
        </w:tc>
        <w:tc>
          <w:tcPr>
            <w:vAlign w:val="center"/>
          </w:tcPr>
          <w:p>
            <w:pPr>
              <w:jc w:val="right"/>
            </w:pPr>
            <w:r>
              <w:rPr>
                <w:color w:val="000000"/>
                <w:sz w:val="24"/>
              </w:rPr>
              <w:t>3,822,000.00</w:t>
            </w:r>
          </w:p>
        </w:tc>
        <w:tc>
          <w:tcPr>
            <w:vAlign w:val="center"/>
          </w:tcPr>
          <w:p>
            <w:pPr>
              <w:jc w:val="right"/>
            </w:pPr>
            <w:r>
              <w:rPr>
                <w:color w:val="000000"/>
                <w:sz w:val="24"/>
              </w:rPr>
              <w:t>0.77</w:t>
            </w:r>
          </w:p>
        </w:tc>
      </w:tr>
      <w:tr>
        <w:tc>
          <w:tcPr>
            <w:vAlign w:val="center"/>
          </w:tcPr>
          <w:p>
            <w:pPr>
              <w:jc w:val="center"/>
            </w:pPr>
            <w:r>
              <w:rPr>
                <w:color w:val="000000"/>
                <w:sz w:val="24"/>
              </w:rPr>
              <w:t>6</w:t>
            </w:r>
          </w:p>
        </w:tc>
        <w:tc>
          <w:tcPr>
            <w:vAlign w:val="center"/>
          </w:tcPr>
          <w:p>
            <w:pPr>
              <w:jc w:val="center"/>
            </w:pPr>
            <w:r>
              <w:rPr>
                <w:color w:val="000000"/>
                <w:sz w:val="24"/>
              </w:rPr>
              <w:t>000001</w:t>
            </w:r>
          </w:p>
        </w:tc>
        <w:tc>
          <w:tcPr>
            <w:vAlign w:val="center"/>
          </w:tcPr>
          <w:p>
            <w:pPr>
              <w:jc w:val="center"/>
            </w:pPr>
            <w:r>
              <w:rPr>
                <w:color w:val="000000"/>
                <w:sz w:val="24"/>
              </w:rPr>
              <w:t>平安银行</w:t>
            </w:r>
          </w:p>
        </w:tc>
        <w:tc>
          <w:tcPr>
            <w:vAlign w:val="center"/>
          </w:tcPr>
          <w:p>
            <w:pPr>
              <w:jc w:val="right"/>
            </w:pPr>
            <w:r>
              <w:rPr>
                <w:color w:val="000000"/>
                <w:sz w:val="24"/>
              </w:rPr>
              <w:t>400,000</w:t>
            </w:r>
          </w:p>
        </w:tc>
        <w:tc>
          <w:tcPr>
            <w:vAlign w:val="center"/>
          </w:tcPr>
          <w:p>
            <w:pPr>
              <w:jc w:val="right"/>
            </w:pPr>
            <w:r>
              <w:rPr>
                <w:color w:val="000000"/>
                <w:sz w:val="24"/>
              </w:rPr>
              <w:t>3,752,000.00</w:t>
            </w:r>
          </w:p>
        </w:tc>
        <w:tc>
          <w:tcPr>
            <w:vAlign w:val="center"/>
          </w:tcPr>
          <w:p>
            <w:pPr>
              <w:jc w:val="right"/>
            </w:pPr>
            <w:r>
              <w:rPr>
                <w:color w:val="000000"/>
                <w:sz w:val="24"/>
              </w:rPr>
              <w:t>0.76</w:t>
            </w:r>
          </w:p>
        </w:tc>
      </w:tr>
      <w:tr>
        <w:tc>
          <w:tcPr>
            <w:vAlign w:val="center"/>
          </w:tcPr>
          <w:p>
            <w:pPr>
              <w:jc w:val="center"/>
            </w:pPr>
            <w:r>
              <w:rPr>
                <w:color w:val="000000"/>
                <w:sz w:val="24"/>
              </w:rPr>
              <w:t>7</w:t>
            </w:r>
          </w:p>
        </w:tc>
        <w:tc>
          <w:tcPr>
            <w:vAlign w:val="center"/>
          </w:tcPr>
          <w:p>
            <w:pPr>
              <w:jc w:val="center"/>
            </w:pPr>
            <w:r>
              <w:rPr>
                <w:color w:val="000000"/>
                <w:sz w:val="24"/>
              </w:rPr>
              <w:t>601088</w:t>
            </w:r>
          </w:p>
        </w:tc>
        <w:tc>
          <w:tcPr>
            <w:vAlign w:val="center"/>
          </w:tcPr>
          <w:p>
            <w:pPr>
              <w:jc w:val="center"/>
            </w:pPr>
            <w:r>
              <w:rPr>
                <w:color w:val="000000"/>
                <w:sz w:val="24"/>
              </w:rPr>
              <w:t>中国神华</w:t>
            </w:r>
          </w:p>
        </w:tc>
        <w:tc>
          <w:tcPr>
            <w:vAlign w:val="center"/>
          </w:tcPr>
          <w:p>
            <w:pPr>
              <w:jc w:val="right"/>
            </w:pPr>
            <w:r>
              <w:rPr>
                <w:color w:val="000000"/>
                <w:sz w:val="24"/>
              </w:rPr>
              <w:t>200,000</w:t>
            </w:r>
          </w:p>
        </w:tc>
        <w:tc>
          <w:tcPr>
            <w:vAlign w:val="center"/>
          </w:tcPr>
          <w:p>
            <w:pPr>
              <w:jc w:val="right"/>
            </w:pPr>
            <w:r>
              <w:rPr>
                <w:color w:val="000000"/>
                <w:sz w:val="24"/>
              </w:rPr>
              <w:t>3,592,000.00</w:t>
            </w:r>
          </w:p>
        </w:tc>
        <w:tc>
          <w:tcPr>
            <w:vAlign w:val="center"/>
          </w:tcPr>
          <w:p>
            <w:pPr>
              <w:jc w:val="right"/>
            </w:pPr>
            <w:r>
              <w:rPr>
                <w:color w:val="000000"/>
                <w:sz w:val="24"/>
              </w:rPr>
              <w:t>0.72</w:t>
            </w:r>
          </w:p>
        </w:tc>
      </w:tr>
      <w:tr>
        <w:tc>
          <w:tcPr>
            <w:vAlign w:val="center"/>
          </w:tcPr>
          <w:p>
            <w:pPr>
              <w:jc w:val="center"/>
            </w:pPr>
            <w:r>
              <w:rPr>
                <w:color w:val="000000"/>
                <w:sz w:val="24"/>
              </w:rPr>
              <w:t>8</w:t>
            </w:r>
          </w:p>
        </w:tc>
        <w:tc>
          <w:tcPr>
            <w:vAlign w:val="center"/>
          </w:tcPr>
          <w:p>
            <w:pPr>
              <w:jc w:val="center"/>
            </w:pPr>
            <w:r>
              <w:rPr>
                <w:color w:val="000000"/>
                <w:sz w:val="24"/>
              </w:rPr>
              <w:t>601668</w:t>
            </w:r>
          </w:p>
        </w:tc>
        <w:tc>
          <w:tcPr>
            <w:vAlign w:val="center"/>
          </w:tcPr>
          <w:p>
            <w:pPr>
              <w:jc w:val="center"/>
            </w:pPr>
            <w:r>
              <w:rPr>
                <w:color w:val="000000"/>
                <w:sz w:val="24"/>
              </w:rPr>
              <w:t>中国建筑</w:t>
            </w:r>
          </w:p>
        </w:tc>
        <w:tc>
          <w:tcPr>
            <w:vAlign w:val="center"/>
          </w:tcPr>
          <w:p>
            <w:pPr>
              <w:jc w:val="right"/>
            </w:pPr>
            <w:r>
              <w:rPr>
                <w:color w:val="000000"/>
                <w:sz w:val="24"/>
              </w:rPr>
              <w:t>500,000</w:t>
            </w:r>
          </w:p>
        </w:tc>
        <w:tc>
          <w:tcPr>
            <w:vAlign w:val="center"/>
          </w:tcPr>
          <w:p>
            <w:pPr>
              <w:jc w:val="right"/>
            </w:pPr>
            <w:r>
              <w:rPr>
                <w:color w:val="000000"/>
                <w:sz w:val="24"/>
              </w:rPr>
              <w:t>2,850,000.00</w:t>
            </w:r>
          </w:p>
        </w:tc>
        <w:tc>
          <w:tcPr>
            <w:vAlign w:val="center"/>
          </w:tcPr>
          <w:p>
            <w:pPr>
              <w:jc w:val="right"/>
            </w:pPr>
            <w:r>
              <w:rPr>
                <w:color w:val="000000"/>
                <w:sz w:val="24"/>
              </w:rPr>
              <w:t>0.58</w:t>
            </w:r>
          </w:p>
        </w:tc>
      </w:tr>
      <w:tr>
        <w:tc>
          <w:tcPr>
            <w:vAlign w:val="center"/>
          </w:tcPr>
          <w:p>
            <w:pPr>
              <w:jc w:val="center"/>
            </w:pPr>
            <w:r>
              <w:rPr>
                <w:color w:val="000000"/>
                <w:sz w:val="24"/>
              </w:rPr>
              <w:t>9</w:t>
            </w:r>
          </w:p>
        </w:tc>
        <w:tc>
          <w:tcPr>
            <w:vAlign w:val="center"/>
          </w:tcPr>
          <w:p>
            <w:pPr>
              <w:jc w:val="center"/>
            </w:pPr>
            <w:r>
              <w:rPr>
                <w:color w:val="000000"/>
                <w:sz w:val="24"/>
              </w:rPr>
              <w:t>601766</w:t>
            </w:r>
          </w:p>
        </w:tc>
        <w:tc>
          <w:tcPr>
            <w:vAlign w:val="center"/>
          </w:tcPr>
          <w:p>
            <w:pPr>
              <w:jc w:val="center"/>
            </w:pPr>
            <w:r>
              <w:rPr>
                <w:color w:val="000000"/>
                <w:sz w:val="24"/>
              </w:rPr>
              <w:t>中国中车</w:t>
            </w:r>
          </w:p>
        </w:tc>
        <w:tc>
          <w:tcPr>
            <w:vAlign w:val="center"/>
          </w:tcPr>
          <w:p>
            <w:pPr>
              <w:jc w:val="right"/>
            </w:pPr>
            <w:r>
              <w:rPr>
                <w:color w:val="000000"/>
                <w:sz w:val="24"/>
              </w:rPr>
              <w:t>300,000</w:t>
            </w:r>
          </w:p>
        </w:tc>
        <w:tc>
          <w:tcPr>
            <w:vAlign w:val="center"/>
          </w:tcPr>
          <w:p>
            <w:pPr>
              <w:jc w:val="right"/>
            </w:pPr>
            <w:r>
              <w:rPr>
                <w:color w:val="000000"/>
                <w:sz w:val="24"/>
              </w:rPr>
              <w:t>2,706,000.00</w:t>
            </w:r>
          </w:p>
        </w:tc>
        <w:tc>
          <w:tcPr>
            <w:vAlign w:val="center"/>
          </w:tcPr>
          <w:p>
            <w:pPr>
              <w:jc w:val="right"/>
            </w:pPr>
            <w:r>
              <w:rPr>
                <w:color w:val="000000"/>
                <w:sz w:val="24"/>
              </w:rPr>
              <w:t>0.55</w:t>
            </w:r>
          </w:p>
        </w:tc>
      </w:tr>
      <w:tr>
        <w:tc>
          <w:tcPr>
            <w:vAlign w:val="center"/>
          </w:tcPr>
          <w:p>
            <w:pPr>
              <w:jc w:val="center"/>
            </w:pPr>
            <w:r>
              <w:rPr>
                <w:color w:val="000000"/>
                <w:sz w:val="24"/>
              </w:rPr>
              <w:t>10</w:t>
            </w:r>
          </w:p>
        </w:tc>
        <w:tc>
          <w:tcPr>
            <w:vAlign w:val="center"/>
          </w:tcPr>
          <w:p>
            <w:pPr>
              <w:jc w:val="center"/>
            </w:pPr>
            <w:r>
              <w:rPr>
                <w:color w:val="000000"/>
                <w:sz w:val="24"/>
              </w:rPr>
              <w:t>600276</w:t>
            </w:r>
          </w:p>
        </w:tc>
        <w:tc>
          <w:tcPr>
            <w:vAlign w:val="center"/>
          </w:tcPr>
          <w:p>
            <w:pPr>
              <w:jc w:val="center"/>
            </w:pPr>
            <w:r>
              <w:rPr>
                <w:color w:val="000000"/>
                <w:sz w:val="24"/>
              </w:rPr>
              <w:t>恒瑞医药</w:t>
            </w:r>
          </w:p>
        </w:tc>
        <w:tc>
          <w:tcPr>
            <w:vAlign w:val="center"/>
          </w:tcPr>
          <w:p>
            <w:pPr>
              <w:jc w:val="right"/>
            </w:pPr>
            <w:r>
              <w:rPr>
                <w:color w:val="000000"/>
                <w:sz w:val="24"/>
              </w:rPr>
              <w:t>50,014</w:t>
            </w:r>
          </w:p>
        </w:tc>
        <w:tc>
          <w:tcPr>
            <w:vAlign w:val="center"/>
          </w:tcPr>
          <w:p>
            <w:pPr>
              <w:jc w:val="right"/>
            </w:pPr>
            <w:r>
              <w:rPr>
                <w:color w:val="000000"/>
                <w:sz w:val="24"/>
              </w:rPr>
              <w:t>2,638,238.50</w:t>
            </w:r>
          </w:p>
        </w:tc>
        <w:tc>
          <w:tcPr>
            <w:vAlign w:val="center"/>
          </w:tcPr>
          <w:p>
            <w:pPr>
              <w:jc w:val="right"/>
            </w:pPr>
            <w:r>
              <w:rPr>
                <w:color w:val="000000"/>
                <w:sz w:val="24"/>
              </w:rPr>
              <w:t>0.53</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201,982,200.00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40.77</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201,982,200.00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40.77</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150,923,000.00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30.46</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81,563,000.00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16.46</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74,000.00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0.01</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434,542,200.00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87.70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type="dxa" w:w="8868"/>
        <w:jc w:val="center"/>
        <w:tblLayout w:type="fixed"/>
        <w:tblCellMar>
          <w:top w:type="dxa" w:w="57"/>
          <w:bottom w:type="dxa" w:w="57"/>
        </w:tblCellMar>
        <w:tblLook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180210</w:t>
            </w:r>
          </w:p>
        </w:tc>
        <w:tc>
          <w:tcPr>
            <w:vAlign w:val="center"/>
          </w:tcPr>
          <w:p>
            <w:pPr>
              <w:jc w:val="center"/>
            </w:pPr>
            <w:r>
              <w:rPr>
                <w:color w:val="000000"/>
                <w:sz w:val="24"/>
              </w:rPr>
              <w:t>18国开10</w:t>
            </w:r>
          </w:p>
        </w:tc>
        <w:tc>
          <w:tcPr>
            <w:vAlign w:val="center"/>
          </w:tcPr>
          <w:p>
            <w:pPr>
              <w:jc w:val="right"/>
            </w:pPr>
            <w:r>
              <w:rPr>
                <w:color w:val="000000"/>
                <w:sz w:val="24"/>
              </w:rPr>
              <w:t>800,000</w:t>
            </w:r>
          </w:p>
        </w:tc>
        <w:tc>
          <w:tcPr>
            <w:vAlign w:val="center"/>
          </w:tcPr>
          <w:p>
            <w:pPr>
              <w:jc w:val="right"/>
            </w:pPr>
            <w:r>
              <w:rPr>
                <w:color w:val="000000"/>
                <w:sz w:val="24"/>
              </w:rPr>
              <w:t>82,504,000.00</w:t>
            </w:r>
          </w:p>
        </w:tc>
        <w:tc>
          <w:tcPr>
            <w:vAlign w:val="center"/>
          </w:tcPr>
          <w:p>
            <w:pPr>
              <w:jc w:val="right"/>
            </w:pPr>
            <w:r>
              <w:rPr>
                <w:color w:val="000000"/>
                <w:sz w:val="24"/>
              </w:rPr>
              <w:t>16.65</w:t>
            </w:r>
          </w:p>
        </w:tc>
      </w:tr>
      <w:tr>
        <w:tc>
          <w:tcPr>
            <w:vAlign w:val="center"/>
          </w:tcPr>
          <w:p>
            <w:pPr>
              <w:jc w:val="center"/>
            </w:pPr>
            <w:r>
              <w:rPr>
                <w:color w:val="000000"/>
                <w:sz w:val="24"/>
              </w:rPr>
              <w:t>2</w:t>
            </w:r>
          </w:p>
        </w:tc>
        <w:tc>
          <w:tcPr>
            <w:vAlign w:val="center"/>
          </w:tcPr>
          <w:p>
            <w:pPr>
              <w:jc w:val="center"/>
            </w:pPr>
            <w:r>
              <w:rPr>
                <w:color w:val="000000"/>
                <w:sz w:val="24"/>
              </w:rPr>
              <w:t>180208</w:t>
            </w:r>
          </w:p>
        </w:tc>
        <w:tc>
          <w:tcPr>
            <w:vAlign w:val="center"/>
          </w:tcPr>
          <w:p>
            <w:pPr>
              <w:jc w:val="center"/>
            </w:pPr>
            <w:r>
              <w:rPr>
                <w:color w:val="000000"/>
                <w:sz w:val="24"/>
              </w:rPr>
              <w:t>18国开08</w:t>
            </w:r>
          </w:p>
        </w:tc>
        <w:tc>
          <w:tcPr>
            <w:vAlign w:val="center"/>
          </w:tcPr>
          <w:p>
            <w:pPr>
              <w:jc w:val="right"/>
            </w:pPr>
            <w:r>
              <w:rPr>
                <w:color w:val="000000"/>
                <w:sz w:val="24"/>
              </w:rPr>
              <w:t>500,000</w:t>
            </w:r>
          </w:p>
        </w:tc>
        <w:tc>
          <w:tcPr>
            <w:vAlign w:val="center"/>
          </w:tcPr>
          <w:p>
            <w:pPr>
              <w:jc w:val="right"/>
            </w:pPr>
            <w:r>
              <w:rPr>
                <w:color w:val="000000"/>
                <w:sz w:val="24"/>
              </w:rPr>
              <w:t>50,915,000.00</w:t>
            </w:r>
          </w:p>
        </w:tc>
        <w:tc>
          <w:tcPr>
            <w:vAlign w:val="center"/>
          </w:tcPr>
          <w:p>
            <w:pPr>
              <w:jc w:val="right"/>
            </w:pPr>
            <w:r>
              <w:rPr>
                <w:color w:val="000000"/>
                <w:sz w:val="24"/>
              </w:rPr>
              <w:t>10.28</w:t>
            </w:r>
          </w:p>
        </w:tc>
      </w:tr>
      <w:tr>
        <w:tc>
          <w:tcPr>
            <w:vAlign w:val="center"/>
          </w:tcPr>
          <w:p>
            <w:pPr>
              <w:jc w:val="center"/>
            </w:pPr>
            <w:r>
              <w:rPr>
                <w:color w:val="000000"/>
                <w:sz w:val="24"/>
              </w:rPr>
              <w:t>3</w:t>
            </w:r>
          </w:p>
        </w:tc>
        <w:tc>
          <w:tcPr>
            <w:vAlign w:val="center"/>
          </w:tcPr>
          <w:p>
            <w:pPr>
              <w:jc w:val="center"/>
            </w:pPr>
            <w:r>
              <w:rPr>
                <w:color w:val="000000"/>
                <w:sz w:val="24"/>
              </w:rPr>
              <w:t>180212</w:t>
            </w:r>
          </w:p>
        </w:tc>
        <w:tc>
          <w:tcPr>
            <w:vAlign w:val="center"/>
          </w:tcPr>
          <w:p>
            <w:pPr>
              <w:jc w:val="center"/>
            </w:pPr>
            <w:r>
              <w:rPr>
                <w:color w:val="000000"/>
                <w:sz w:val="24"/>
              </w:rPr>
              <w:t>18国开12</w:t>
            </w:r>
          </w:p>
        </w:tc>
        <w:tc>
          <w:tcPr>
            <w:vAlign w:val="center"/>
          </w:tcPr>
          <w:p>
            <w:pPr>
              <w:jc w:val="right"/>
            </w:pPr>
            <w:r>
              <w:rPr>
                <w:color w:val="000000"/>
                <w:sz w:val="24"/>
              </w:rPr>
              <w:t>400,000</w:t>
            </w:r>
          </w:p>
        </w:tc>
        <w:tc>
          <w:tcPr>
            <w:vAlign w:val="center"/>
          </w:tcPr>
          <w:p>
            <w:pPr>
              <w:jc w:val="right"/>
            </w:pPr>
            <w:r>
              <w:rPr>
                <w:color w:val="000000"/>
                <w:sz w:val="24"/>
              </w:rPr>
              <w:t>40,440,000.00</w:t>
            </w:r>
          </w:p>
        </w:tc>
        <w:tc>
          <w:tcPr>
            <w:vAlign w:val="center"/>
          </w:tcPr>
          <w:p>
            <w:pPr>
              <w:jc w:val="right"/>
            </w:pPr>
            <w:r>
              <w:rPr>
                <w:color w:val="000000"/>
                <w:sz w:val="24"/>
              </w:rPr>
              <w:t>8.16</w:t>
            </w:r>
          </w:p>
        </w:tc>
      </w:tr>
      <w:tr>
        <w:tc>
          <w:tcPr>
            <w:vAlign w:val="center"/>
          </w:tcPr>
          <w:p>
            <w:pPr>
              <w:jc w:val="center"/>
            </w:pPr>
            <w:r>
              <w:rPr>
                <w:color w:val="000000"/>
                <w:sz w:val="24"/>
              </w:rPr>
              <w:t>4</w:t>
            </w:r>
          </w:p>
        </w:tc>
        <w:tc>
          <w:tcPr>
            <w:vAlign w:val="center"/>
          </w:tcPr>
          <w:p>
            <w:pPr>
              <w:jc w:val="center"/>
            </w:pPr>
            <w:r>
              <w:rPr>
                <w:color w:val="000000"/>
                <w:sz w:val="24"/>
              </w:rPr>
              <w:t>101456044</w:t>
            </w:r>
          </w:p>
        </w:tc>
        <w:tc>
          <w:tcPr>
            <w:vAlign w:val="center"/>
          </w:tcPr>
          <w:p>
            <w:pPr>
              <w:jc w:val="center"/>
            </w:pPr>
            <w:r>
              <w:rPr>
                <w:color w:val="000000"/>
                <w:sz w:val="24"/>
              </w:rPr>
              <w:t>14渝富MTN001</w:t>
            </w:r>
          </w:p>
        </w:tc>
        <w:tc>
          <w:tcPr>
            <w:vAlign w:val="center"/>
          </w:tcPr>
          <w:p>
            <w:pPr>
              <w:jc w:val="right"/>
            </w:pPr>
            <w:r>
              <w:rPr>
                <w:color w:val="000000"/>
                <w:sz w:val="24"/>
              </w:rPr>
              <w:t>300,000</w:t>
            </w:r>
          </w:p>
        </w:tc>
        <w:tc>
          <w:tcPr>
            <w:vAlign w:val="center"/>
          </w:tcPr>
          <w:p>
            <w:pPr>
              <w:jc w:val="right"/>
            </w:pPr>
            <w:r>
              <w:rPr>
                <w:color w:val="000000"/>
                <w:sz w:val="24"/>
              </w:rPr>
              <w:t>30,561,000.00</w:t>
            </w:r>
          </w:p>
        </w:tc>
        <w:tc>
          <w:tcPr>
            <w:vAlign w:val="center"/>
          </w:tcPr>
          <w:p>
            <w:pPr>
              <w:jc w:val="right"/>
            </w:pPr>
            <w:r>
              <w:rPr>
                <w:color w:val="000000"/>
                <w:sz w:val="24"/>
              </w:rPr>
              <w:t>6.17</w:t>
            </w:r>
          </w:p>
        </w:tc>
      </w:tr>
      <w:tr>
        <w:tc>
          <w:tcPr>
            <w:vAlign w:val="center"/>
          </w:tcPr>
          <w:p>
            <w:pPr>
              <w:jc w:val="center"/>
            </w:pPr>
            <w:r>
              <w:rPr>
                <w:color w:val="000000"/>
                <w:sz w:val="24"/>
              </w:rPr>
              <w:t>5</w:t>
            </w:r>
          </w:p>
        </w:tc>
        <w:tc>
          <w:tcPr>
            <w:vAlign w:val="center"/>
          </w:tcPr>
          <w:p>
            <w:pPr>
              <w:jc w:val="center"/>
            </w:pPr>
            <w:r>
              <w:rPr>
                <w:color w:val="000000"/>
                <w:sz w:val="24"/>
              </w:rPr>
              <w:t>018005</w:t>
            </w:r>
          </w:p>
        </w:tc>
        <w:tc>
          <w:tcPr>
            <w:vAlign w:val="center"/>
          </w:tcPr>
          <w:p>
            <w:pPr>
              <w:jc w:val="center"/>
            </w:pPr>
            <w:r>
              <w:rPr>
                <w:color w:val="000000"/>
                <w:sz w:val="24"/>
              </w:rPr>
              <w:t>国开1701</w:t>
            </w:r>
          </w:p>
        </w:tc>
        <w:tc>
          <w:tcPr>
            <w:vAlign w:val="center"/>
          </w:tcPr>
          <w:p>
            <w:pPr>
              <w:jc w:val="right"/>
            </w:pPr>
            <w:r>
              <w:rPr>
                <w:color w:val="000000"/>
                <w:sz w:val="24"/>
              </w:rPr>
              <w:t>280,000</w:t>
            </w:r>
          </w:p>
        </w:tc>
        <w:tc>
          <w:tcPr>
            <w:vAlign w:val="center"/>
          </w:tcPr>
          <w:p>
            <w:pPr>
              <w:jc w:val="right"/>
            </w:pPr>
            <w:r>
              <w:rPr>
                <w:color w:val="000000"/>
                <w:sz w:val="24"/>
              </w:rPr>
              <w:t>28,123,200.00</w:t>
            </w:r>
          </w:p>
        </w:tc>
        <w:tc>
          <w:tcPr>
            <w:vAlign w:val="center"/>
          </w:tcPr>
          <w:p>
            <w:pPr>
              <w:jc w:val="right"/>
            </w:pPr>
            <w:r>
              <w:rPr>
                <w:color w:val="000000"/>
                <w:sz w:val="24"/>
              </w:rPr>
              <w:t>5.68</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lastRenderedPageBreak/>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5.11.1报告期内本基金投资的前十名证券的发行主体未被监管部门立案调查，在本报告编制日前一年内本基金投资的前十名证券的发行主体未受到公开谴责和处罚。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5.11.2本基金投资的前十名股票中，没有超出基金合同规定的备选股票库之外的股票。</w:t>
      </w:r>
    </w:p>
    <w:p w:rsidP="007C14DF" w:rsidR="001D5CD0" w:rsidRDefault="001D5CD0" w:rsidRPr="007F52FA">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type="dxa" w:w="8868"/>
        <w:jc w:val="center"/>
        <w:tblLook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51,433.34</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8,769,125.11</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85,270.39</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8,905,828.84</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7F52FA">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P="007C14DF" w:rsidR="001D5CD0" w:rsidRDefault="001D5CD0" w:rsidRPr="007F52FA">
      <w:pPr>
        <w:spacing w:before="29" w:line="288" w:lineRule="auto"/>
        <w:rPr>
          <w:rFonts w:eastAsiaTheme="minorEastAsia"/>
          <w:sz w:val="24"/>
        </w:rPr>
      </w:pPr>
    </w:p>
    <w:p w:rsidP="007C14DF" w:rsidR="001D5CD0" w:rsidRDefault="001D5CD0" w:rsidRPr="007F52FA">
      <w:pPr>
        <w:spacing w:before="29" w:line="288" w:lineRule="auto"/>
        <w:rPr>
          <w:rFonts w:eastAsiaTheme="minorEastAsia"/>
          <w:color w:val="000000"/>
          <w:kern w:val="0"/>
          <w:sz w:val="24"/>
        </w:rPr>
      </w:pPr>
      <w:r w:rsidRPr="007F52FA">
        <w:rPr>
          <w:rFonts w:eastAsiaTheme="minorEastAsia"/>
          <w:color w:val="000000"/>
          <w:kern w:val="0"/>
          <w:sz w:val="24"/>
        </w:rPr>
        <w:lastRenderedPageBreak/>
        <w:t/>
      </w: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C51B4E" w:rsidRDefault="00C51B4E" w:rsidRPr="00C51B4E">
      <w:pPr>
        <w:pStyle w:val="1"/>
        <w:spacing w:afterLines="100" w:beforeLines="100" w:line="360" w:lineRule="auto"/>
        <w:jc w:val="center"/>
        <w:rPr>
          <w:rFonts w:eastAsiaTheme="minorEastAsia"/>
          <w:color w:themeColor="text1" w:val="000000"/>
          <w:kern w:val="0"/>
          <w:sz w:val="21"/>
          <w:szCs w:val="21"/>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Pr="00C51B4E">
        <w:rPr>
          <w:rFonts w:eastAsiaTheme="minorEastAsia" w:hint="eastAsia"/>
          <w:color w:themeColor="text1" w:val="000000"/>
          <w:kern w:val="0"/>
          <w:sz w:val="21"/>
          <w:szCs w:val="21"/>
        </w:rPr>
        <w:t>基金中基金</w:t>
      </w:r>
    </w:p>
    <w:p w:rsidP="00C51B4E" w:rsidR="00C51B4E" w:rsidRDefault="00C51B4E" w:rsidRPr="00C51B4E">
      <w:pPr>
        <w:adjustRightInd w:val="0"/>
        <w:snapToGrid w:val="0"/>
        <w:spacing w:line="360" w:lineRule="auto"/>
        <w:rPr>
          <w:rFonts w:eastAsiaTheme="minorEastAsia"/>
          <w:b/>
          <w:color w:themeColor="text1" w:val="000000"/>
          <w:kern w:val="0"/>
          <w:szCs w:val="21"/>
        </w:rPr>
      </w:pPr>
      <w:r w:rsidRPr="00C51B4E">
        <w:rPr>
          <w:rFonts w:eastAsiaTheme="minorEastAsia"/>
          <w:b/>
          <w:color w:themeColor="text1" w:val="000000"/>
          <w:kern w:val="0"/>
          <w:szCs w:val="21"/>
        </w:rPr>
        <w:t>6.</w:t>
      </w:r>
      <w:r w:rsidRPr="00C51B4E">
        <w:rPr>
          <w:rFonts w:eastAsiaTheme="minorEastAsia" w:hint="eastAsia"/>
          <w:b/>
          <w:color w:themeColor="text1" w:val="000000"/>
          <w:kern w:val="0"/>
          <w:szCs w:val="21"/>
        </w:rPr>
        <w:t/>
      </w:r>
      <w:r w:rsidRPr="00C51B4E">
        <w:rPr>
          <w:rFonts w:eastAsiaTheme="minorEastAsia"/>
          <w:b/>
          <w:color w:themeColor="text1" w:val="000000"/>
          <w:kern w:val="0"/>
          <w:szCs w:val="21"/>
        </w:rPr>
        <w:t>1</w:t>
      </w:r>
      <w:r w:rsidRPr="00C51B4E">
        <w:rPr>
          <w:rFonts w:eastAsiaTheme="minorEastAsia" w:hint="eastAsia"/>
          <w:b/>
          <w:color w:themeColor="text1" w:val="000000"/>
          <w:kern w:val="0"/>
          <w:szCs w:val="21"/>
        </w:rPr>
        <w:t xml:space="preserve"> </w:t>
      </w:r>
      <w:r w:rsidRPr="00C51B4E">
        <w:rPr>
          <w:rFonts w:eastAsiaTheme="minorEastAsia" w:hint="eastAsia"/>
          <w:b/>
          <w:color w:themeColor="text1" w:val="000000"/>
          <w:kern w:val="0"/>
          <w:szCs w:val="21"/>
        </w:rPr>
        <w:t>报告期末按公允价值占基金资产净值比例大小排序的前十名基金投资明细</w:t>
      </w:r>
    </w:p>
    <w:p w:rsidP="00C51B4E" w:rsidR="00C51B4E" w:rsidRDefault="00C51B4E" w:rsidRPr="00C51B4E">
      <w:pPr>
        <w:autoSpaceDE w:val="0"/>
        <w:autoSpaceDN w:val="0"/>
        <w:adjustRightInd w:val="0"/>
        <w:spacing w:line="360" w:lineRule="auto"/>
        <w:ind w:firstLine="420" w:firstLineChars="200"/>
        <w:jc w:val="left"/>
        <w:rPr>
          <w:rFonts w:eastAsiaTheme="minorEastAsia"/>
          <w:color w:themeColor="text1" w:val="000000"/>
          <w:szCs w:val="21"/>
        </w:rPr>
      </w:pPr>
      <w:r w:rsidRPr="00C51B4E">
        <w:rPr>
          <w:rFonts w:eastAsiaTheme="minorEastAsia"/>
          <w:color w:themeColor="text1" w:val="000000"/>
          <w:szCs w:val="21"/>
        </w:rPr>
        <w:t>本基金本报告期末未持有基金。</w:t>
      </w:r>
    </w:p>
    <w:p w:rsidP="000A2988" w:rsidR="00C51B4E" w:rsidRDefault="00C51B4E" w:rsidRPr="00C51B4E">
      <w:pPr>
        <w:adjustRightInd w:val="0"/>
        <w:snapToGrid w:val="0"/>
        <w:spacing w:beforeLines="50" w:line="360" w:lineRule="auto"/>
        <w:rPr>
          <w:rFonts w:eastAsiaTheme="minorEastAsia"/>
          <w:b/>
          <w:color w:themeColor="text1" w:val="000000"/>
          <w:kern w:val="0"/>
          <w:szCs w:val="21"/>
        </w:rPr>
      </w:pPr>
      <w:r w:rsidRPr="00C51B4E">
        <w:rPr>
          <w:rFonts w:eastAsiaTheme="minorEastAsia"/>
          <w:b/>
          <w:color w:themeColor="text1" w:val="000000"/>
          <w:kern w:val="0"/>
          <w:szCs w:val="21"/>
        </w:rPr>
        <w:t>6.</w:t>
      </w:r>
      <w:r w:rsidRPr="00C51B4E">
        <w:rPr>
          <w:rFonts w:eastAsiaTheme="minorEastAsia" w:hint="eastAsia"/>
          <w:b/>
          <w:color w:themeColor="text1" w:val="000000"/>
          <w:kern w:val="0"/>
          <w:szCs w:val="21"/>
        </w:rPr>
        <w:t/>
      </w:r>
      <w:r w:rsidRPr="00C51B4E">
        <w:rPr>
          <w:rFonts w:eastAsiaTheme="minorEastAsia"/>
          <w:b/>
          <w:color w:themeColor="text1" w:val="000000"/>
          <w:kern w:val="0"/>
          <w:szCs w:val="21"/>
        </w:rPr>
        <w:t>2</w:t>
      </w:r>
      <w:r w:rsidRPr="00C51B4E">
        <w:rPr>
          <w:rFonts w:eastAsiaTheme="minorEastAsia" w:hint="eastAsia"/>
          <w:b/>
          <w:color w:themeColor="text1" w:val="000000"/>
          <w:kern w:val="0"/>
          <w:szCs w:val="21"/>
        </w:rPr>
        <w:t xml:space="preserve"> </w:t>
      </w:r>
      <w:r w:rsidRPr="00C51B4E">
        <w:rPr>
          <w:rFonts w:eastAsiaTheme="minorEastAsia" w:hint="eastAsia"/>
          <w:b/>
          <w:color w:themeColor="text1" w:val="000000"/>
          <w:kern w:val="0"/>
          <w:szCs w:val="21"/>
        </w:rPr>
        <w:t>当期交易及持有基金产生的费用</w:t>
      </w:r>
    </w:p>
    <w:p w:rsidP="00C51B4E" w:rsidR="00C51B4E" w:rsidRDefault="00C51B4E" w:rsidRPr="00C51B4E">
      <w:pPr>
        <w:autoSpaceDE w:val="0"/>
        <w:autoSpaceDN w:val="0"/>
        <w:adjustRightInd w:val="0"/>
        <w:spacing w:line="360" w:lineRule="auto"/>
        <w:ind w:firstLine="420" w:firstLineChars="200"/>
        <w:jc w:val="left"/>
        <w:rPr>
          <w:rFonts w:eastAsiaTheme="minorEastAsia"/>
          <w:color w:themeColor="text1" w:val="000000"/>
          <w:szCs w:val="21"/>
        </w:rPr>
      </w:pPr>
      <w:r w:rsidRPr="00C51B4E">
        <w:rPr>
          <w:rFonts w:eastAsiaTheme="minorEastAsia"/>
          <w:color w:themeColor="text1" w:val="000000"/>
          <w:szCs w:val="21"/>
        </w:rPr>
        <w:t>本基金本报告期内未交易或持有基金。</w:t>
      </w:r>
    </w:p>
    <w:p w:rsidP="000A2988" w:rsidR="00C51B4E" w:rsidRDefault="00C51B4E" w:rsidRPr="00C51B4E">
      <w:pPr>
        <w:adjustRightInd w:val="0"/>
        <w:snapToGrid w:val="0"/>
        <w:spacing w:beforeLines="50" w:line="360" w:lineRule="auto"/>
        <w:rPr>
          <w:rFonts w:eastAsiaTheme="minorEastAsia"/>
          <w:b/>
          <w:color w:themeColor="text1" w:val="000000"/>
          <w:kern w:val="0"/>
          <w:szCs w:val="21"/>
        </w:rPr>
      </w:pPr>
      <w:r w:rsidRPr="00C51B4E">
        <w:rPr>
          <w:rFonts w:eastAsiaTheme="minorEastAsia"/>
          <w:b/>
          <w:color w:themeColor="text1" w:val="000000"/>
          <w:kern w:val="0"/>
          <w:szCs w:val="21"/>
        </w:rPr>
        <w:t>6.</w:t>
      </w:r>
      <w:r w:rsidRPr="00C51B4E">
        <w:rPr>
          <w:rFonts w:eastAsiaTheme="minorEastAsia" w:hint="eastAsia"/>
          <w:b/>
          <w:color w:themeColor="text1" w:val="000000"/>
          <w:kern w:val="0"/>
          <w:szCs w:val="21"/>
        </w:rPr>
        <w:t/>
      </w:r>
      <w:r w:rsidRPr="00C51B4E">
        <w:rPr>
          <w:rFonts w:eastAsiaTheme="minorEastAsia"/>
          <w:b/>
          <w:color w:themeColor="text1" w:val="000000"/>
          <w:kern w:val="0"/>
          <w:szCs w:val="21"/>
        </w:rPr>
        <w:t>3</w:t>
      </w:r>
      <w:r w:rsidRPr="00C51B4E">
        <w:rPr>
          <w:rFonts w:eastAsiaTheme="minorEastAsia" w:hint="eastAsia"/>
          <w:b/>
          <w:color w:themeColor="text1" w:val="000000"/>
          <w:kern w:val="0"/>
          <w:szCs w:val="21"/>
        </w:rPr>
        <w:t xml:space="preserve"> </w:t>
      </w:r>
      <w:r w:rsidRPr="00C51B4E">
        <w:rPr>
          <w:rFonts w:eastAsiaTheme="minorEastAsia" w:hint="eastAsia"/>
          <w:b/>
          <w:color w:themeColor="text1" w:val="000000"/>
          <w:kern w:val="0"/>
          <w:szCs w:val="21"/>
        </w:rPr>
        <w:t>本报告期持有的基金发生的重大影响事件</w:t>
      </w:r>
    </w:p>
    <w:tbl>
      <w:tblPr>
        <w:tblStyle w:val="af2"/>
        <w:tblW w:type="auto" w:w="0"/>
        <w:tblBorders>
          <w:top w:color="auto" w:space="0" w:sz="0" w:val="none"/>
          <w:left w:color="auto" w:space="0" w:sz="0" w:val="none"/>
          <w:bottom w:color="auto" w:space="0" w:sz="0" w:val="none"/>
          <w:right w:color="auto" w:space="0" w:sz="0" w:val="none"/>
          <w:insideH w:color="auto" w:space="0" w:sz="0" w:val="none"/>
          <w:insideV w:color="auto" w:space="0" w:sz="0" w:val="none"/>
        </w:tblBorders>
        <w:tblLook w:val="04A0"/>
      </w:tblPr>
      <w:tblGrid>
        <w:gridCol w:w="9036"/>
      </w:tblGrid>
      <w:tr w:rsidR="00C51B4E" w:rsidRPr="00C51B4E" w:rsidTr="00F103C8">
        <w:tc>
          <w:tcPr>
            <w:tcW w:type="dxa" w:w="9036"/>
          </w:tcPr>
          <w:p w:rsidP="00C51B4E" w:rsidR="00C51B4E" w:rsidRDefault="00C51B4E" w:rsidRPr="00C51B4E">
            <w:pPr>
              <w:autoSpaceDE w:val="0"/>
              <w:autoSpaceDN w:val="0"/>
              <w:adjustRightInd w:val="0"/>
              <w:spacing w:line="360" w:lineRule="auto"/>
              <w:ind w:firstLine="420" w:firstLineChars="200"/>
              <w:jc w:val="left"/>
              <w:rPr>
                <w:rFonts w:eastAsiaTheme="minorEastAsia"/>
                <w:color w:themeColor="text1" w:val="000000"/>
                <w:szCs w:val="21"/>
              </w:rPr>
            </w:pPr>
            <w:r w:rsidRPr="00C51B4E">
              <w:rPr>
                <w:rFonts w:eastAsiaTheme="minorEastAsia"/>
                <w:color w:themeColor="text1" w:val="000000"/>
                <w:szCs w:val="21"/>
              </w:rPr>
              <w:t/>
            </w:r>
            <w:r w:rsidRPr="00C51B4E">
              <w:rPr>
                <w:rFonts w:eastAsiaTheme="minorEastAsia" w:hint="eastAsia"/>
                <w:color w:themeColor="text1" w:val="000000"/>
                <w:szCs w:val="21"/>
              </w:rPr>
              <w:t/>
            </w:r>
            <w:r w:rsidRPr="00C51B4E">
              <w:rPr>
                <w:rFonts w:eastAsiaTheme="minorEastAsia"/>
                <w:color w:themeColor="text1" w:val="000000"/>
                <w:szCs w:val="21"/>
              </w:rPr>
              <w:t/>
            </w:r>
            <w:r w:rsidRPr="00C51B4E">
              <w:rPr>
                <w:rFonts w:eastAsiaTheme="minorEastAsia" w:hint="eastAsia"/>
                <w:color w:themeColor="text1" w:val="000000"/>
                <w:szCs w:val="21"/>
              </w:rPr>
              <w:t>无。</w:t>
            </w:r>
          </w:p>
        </w:tc>
      </w:tr>
    </w:tbl>
    <w:p w:rsidP="000A2988" w:rsidR="009238DB" w:rsidRDefault="00C51B4E" w:rsidRPr="007F52FA">
      <w:pPr>
        <w:pStyle w:val="1"/>
        <w:spacing w:afterLines="100"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§7</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交银新回报灵活配置混合A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交银新回报灵活配置混合C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412,789,225.98</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4,010,983.59</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4,791,654.16</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2,426,591.29</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2,539,437.33</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1,746,480.81</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lastRenderedPageBreak/>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415,041,442.81</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4,691,094.07</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Lines="100"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Lines="100"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§9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9.1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92"/>
        <w:gridCol w:w="991"/>
        <w:gridCol w:w="1843"/>
        <w:gridCol w:w="851"/>
        <w:gridCol w:w="850"/>
        <w:gridCol w:w="1134"/>
        <w:gridCol w:w="1419"/>
        <w:gridCol w:w="1130"/>
      </w:tblGrid>
      <w:tr w:rsidR="00ED0E09" w:rsidTr="00ED0E09">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type="dxa" w:w="993"/>
            <w:vMerge/>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2018/10/1-2018/12/31</w:t>
            </w:r>
          </w:p>
        </w:tc>
        <w:tc>
          <w:tcPr>
            <w:vAlign w:val="center"/>
          </w:tcPr>
          <w:p>
            <w:pPr>
              <w:jc w:val="center"/>
            </w:pPr>
            <w:r>
              <w:rPr>
                <w:rFonts w:ascii="宋体" w:hAnsi="宋体" w:hint="eastAsia"/>
                <w:color w:val="000000"/>
                <w:kern w:val="0"/>
                <w:szCs w:val="21"/>
              </w:rPr>
              <w:t>200,035,000.00</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200,035,000.00</w:t>
            </w:r>
          </w:p>
        </w:tc>
        <w:tc>
          <w:tcPr>
            <w:vAlign w:val="center"/>
          </w:tcPr>
          <w:p>
            <w:pPr>
              <w:jc w:val="center"/>
            </w:pPr>
            <w:r>
              <w:rPr>
                <w:rFonts w:ascii="宋体" w:hAnsi="宋体" w:hint="eastAsia"/>
                <w:color w:val="000000"/>
                <w:kern w:val="0"/>
                <w:szCs w:val="21"/>
              </w:rPr>
              <w:t>47.66%</w:t>
            </w:r>
          </w:p>
        </w:tc>
      </w:tr>
      <w:tr>
        <w:tc>
          <w:tcPr>
            <w:vMerge/>
          </w:tcPr>
          <w:p/>
        </w:tc>
        <w:tc>
          <w:tcPr>
            <w:vAlign w:val="center"/>
          </w:tcPr>
          <w:p>
            <w:pPr>
              <w:jc w:val="center"/>
            </w:pPr>
            <w:r>
              <w:rPr>
                <w:rFonts w:ascii="宋体" w:hAnsi="宋体" w:hint="eastAsia"/>
                <w:color w:val="000000"/>
                <w:kern w:val="0"/>
                <w:szCs w:val="21"/>
              </w:rPr>
              <w:t>2</w:t>
            </w:r>
          </w:p>
        </w:tc>
        <w:tc>
          <w:tcPr>
            <w:vAlign w:val="center"/>
          </w:tcPr>
          <w:p>
            <w:pPr>
              <w:jc w:val="center"/>
            </w:pPr>
            <w:r>
              <w:rPr>
                <w:rFonts w:ascii="宋体" w:hAnsi="宋体" w:hint="eastAsia"/>
                <w:color w:val="000000"/>
                <w:kern w:val="0"/>
                <w:szCs w:val="21"/>
              </w:rPr>
              <w:t>2018/10/1-2018/12/31</w:t>
            </w:r>
          </w:p>
        </w:tc>
        <w:tc>
          <w:tcPr>
            <w:vAlign w:val="center"/>
          </w:tcPr>
          <w:p>
            <w:pPr>
              <w:jc w:val="center"/>
            </w:pPr>
            <w:r>
              <w:rPr>
                <w:rFonts w:ascii="宋体" w:hAnsi="宋体" w:hint="eastAsia"/>
                <w:color w:val="000000"/>
                <w:kern w:val="0"/>
                <w:szCs w:val="21"/>
              </w:rPr>
              <w:t>144,229,807.69</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144,229,807.69</w:t>
            </w:r>
          </w:p>
        </w:tc>
        <w:tc>
          <w:tcPr>
            <w:vAlign w:val="center"/>
          </w:tcPr>
          <w:p>
            <w:pPr>
              <w:jc w:val="center"/>
            </w:pPr>
            <w:r>
              <w:rPr>
                <w:rFonts w:ascii="宋体" w:hAnsi="宋体" w:hint="eastAsia"/>
                <w:color w:val="000000"/>
                <w:kern w:val="0"/>
                <w:szCs w:val="21"/>
              </w:rPr>
              <w:t>34.36%</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210"/>
      </w:tblGrid>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0A2988" w:rsidR="00175E3A" w:rsidRDefault="009238DB" w:rsidRPr="007032A6">
      <w:pPr>
        <w:pStyle w:val="1"/>
        <w:spacing w:afterLines="100"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lastRenderedPageBreak/>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bookmarkStart w:id="2" w:name="_GoBack"/>
      <w:bookmarkEnd w:id="2"/>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1、中国证监会准予交银施罗德新回报灵活配置混合型证券投资基金募集注册的文件；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2、《交银施罗德新回报灵活配置混合型证券投资基金基金合同》；</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3、《交银施罗德新回报灵活配置混合型证券投资基金招募说明书》；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4、《交银施罗德新回报灵活配置混合型证券投资基金托管协议》；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5、基金管理人业务资格批件、营业执照；</w:t>
      </w:r>
    </w:p>
    <w:p>
      <w:pPr>
        <w:spacing w:before="29" w:line="288" w:lineRule="auto"/>
        <w:ind w:firstLine="480" w:firstLineChars="200"/>
        <w:rPr>
          <w:rFonts w:eastAsiaTheme="minorEastAsia"/>
          <w:color w:val="000000"/>
          <w:sz w:val="24"/>
        </w:rPr>
      </w:pPr>
      <w:r>
        <w:rPr>
          <w:rFonts w:eastAsiaTheme="minorEastAsia"/>
          <w:color w:val="000000"/>
          <w:sz w:val="24"/>
        </w:rPr>
        <w:t>6、基金托管人业务资格批件、营业执照；</w:t>
      </w:r>
    </w:p>
    <w:p>
      <w:pPr>
        <w:spacing w:before="29" w:line="288" w:lineRule="auto"/>
        <w:ind w:firstLine="480" w:firstLineChars="200"/>
        <w:rPr>
          <w:rFonts w:eastAsiaTheme="minorEastAsia"/>
          <w:color w:val="000000"/>
          <w:sz w:val="24"/>
        </w:rPr>
      </w:pPr>
      <w:r>
        <w:rPr>
          <w:rFonts w:eastAsiaTheme="minorEastAsia"/>
          <w:color w:val="000000"/>
          <w:sz w:val="24"/>
        </w:rPr>
        <w:t>7、关于申请募集注册交银施罗德新回报灵活配置混合型证券投资基金的法律意见书；</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8、报告期内交银施罗德新回报灵活配置混合型证券投资基金在指定报刊上各项公告的原稿。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A1E" w:rsidRDefault="001B5A1E">
      <w:r>
        <w:separator/>
      </w:r>
    </w:p>
  </w:endnote>
  <w:endnote w:type="continuationSeparator" w:id="0">
    <w:p w:rsidR="001B5A1E" w:rsidRDefault="001B5A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C51B4E" w:rsidRDefault="00C51B4E">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0A2988">
      <w:rPr>
        <w:noProof/>
        <w:kern w:val="0"/>
        <w:szCs w:val="21"/>
      </w:rPr>
      <w:t>21</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0A2988">
      <w:rPr>
        <w:noProof/>
        <w:kern w:val="0"/>
        <w:szCs w:val="21"/>
      </w:rPr>
      <w:t>28</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C51B4E" w:rsidRDefault="00C51B4E">
    <w:pPr>
      <w:pStyle w:val="a6"/>
    </w:pPr>
  </w:p>
</w:ftr>
</file>

<file path=word/footer4.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R="001B5A1E" w:rsidRDefault="001B5A1E">
      <w:r>
        <w:separator/>
      </w:r>
    </w:p>
  </w:footnote>
  <w:footnote w:id="0" w:type="continuationSeparator">
    <w:p w:rsidR="001B5A1E" w:rsidRDefault="001B5A1E">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C51B4E" w:rsidRDefault="00C51B4E">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交银施罗德新回报灵活配置混合型证券投资基金2018年第4季度报告</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C51B4E" w:rsidRDefault="00C51B4E">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printPostScriptOverText/>
  <w:bordersDoNotSurroundHeader/>
  <w:bordersDoNotSurroundFooter/>
  <w:attachedTemplate r:id="rId1"/>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宋体" w:hAnsi="Times New Roman"/>
        <w:lang w:bidi="ar-SA" w:eastAsia="zh-CN" w:val="en-US"/>
      </w:rPr>
    </w:rPrDefault>
    <w:pPrDefault/>
  </w:docDefaults>
  <w:latentStyles w:count="267" w:defLockedState="0" w:defQFormat="0" w:defSemiHidden="1" w:defUIPriority="0" w:defUnhideWhenUsed="1">
    <w:lsdException w:name="Normal" w:qFormat="1" w:semiHidden="0" w:unhideWhenUsed="0"/>
    <w:lsdException w:name="heading 1" w:qFormat="1" w:semiHidden="0" w:uiPriority="99" w:unhideWhenUsed="0"/>
    <w:lsdException w:name="heading 2" w:qFormat="1" w:semiHidden="0" w:unhideWhenUsed="0"/>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qFormat="1" w:semiHidden="0" w:unhideWhenUsed="0"/>
    <w:lsdException w:name="Subtitle" w:qFormat="1" w:semiHidden="0" w:unhideWhenUsed="0"/>
    <w:lsdException w:name="Salutation" w:semiHidden="0" w:unhideWhenUsed="0"/>
    <w:lsdException w:name="Date" w:semiHidden="0" w:unhideWhenUsed="0"/>
    <w:lsdException w:name="Body Text First Indent" w:semiHidden="0" w:unhideWhenUsed="0"/>
    <w:lsdException w:name="Strong" w:qFormat="1" w:semiHidden="0" w:uiPriority="22" w:unhideWhenUsed="0"/>
    <w:lsdException w:name="Emphasis" w:qFormat="1" w:semiHidden="0" w:unhideWhenUsed="0"/>
    <w:lsdException w:name="Plain Text" w:uiPriority="99"/>
    <w:lsdException w:name="Table Grid" w:qFormat="1" w:semiHidden="0" w:unhideWhenUsed="0"/>
    <w:lsdException w:name="Placeholder Text" w:uiPriority="99"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r="http://schemas.openxmlformats.org/officeDocument/2006/relationships" xmlns:w="http://schemas.openxmlformats.org/wordprocessingml/2006/main">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1B44A-4F1F-404E-8194-4BCDA7DFD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208</TotalTime>
  <Pages>28</Pages>
  <Words>4625</Words>
  <Characters>26366</Characters>
  <Application>Microsoft Office Word</Application>
  <DocSecurity>0</DocSecurity>
  <Lines>219</Lines>
  <Paragraphs>61</Paragraphs>
  <ScaleCrop>false</ScaleCrop>
  <Company>TRT. Ltd. Co.</Company>
  <LinksUpToDate>false</LinksUpToDate>
  <CharactersWithSpaces>30930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Administrator</cp:lastModifiedBy>
  <cp:lastPrinted>2007-07-19T00:46:00Z</cp:lastPrinted>
  <dcterms:modified xsi:type="dcterms:W3CDTF">2018-09-13T02:52:00Z</dcterms:modified>
  <cp:revision>377</cp:revision>
</cp:coreProperties>
</file>