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交银施罗德经济新动力混合型证券投资基金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2018年第4季度报告</w:t>
      </w:r>
    </w:p>
    <w:p w:rsidP="00C15CAC" w:rsidR="004061AC" w:rsidRDefault="00655CD8" w:rsidRPr="0081286B">
      <w:pPr>
        <w:spacing w:before="29" w:line="288" w:lineRule="auto"/>
        <w:jc w:val="center"/>
        <w:rPr>
          <w:b/>
          <w:sz w:val="36"/>
          <w:szCs w:val="36"/>
        </w:rPr>
      </w:pPr>
      <w:r w:rsidRPr="0081286B">
        <w:rPr>
          <w:b/>
          <w:sz w:val="36"/>
          <w:szCs w:val="36"/>
        </w:rPr>
        <w:t>2018年12月31日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二〇一九年一月二十一日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交银经济新动力混合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519778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519778</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2016年10月20日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119,801,450.91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本基金通过深度优选在经济新常态下受益于发展新动力的优质企业，分享因中国经济改革、创新和升级发展所带来的投资新机会，力争为基金份额持有人获得超越业绩比较基准的收益。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(2018年10月1日-2018年12月31日)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1,436,886.37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-3,491,422.44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-0.0291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118,363,077.66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0.9880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pPr>
        <w:autoSpaceDE w:val="0"/>
        <w:autoSpaceDN w:val="0"/>
        <w:adjustRightInd w:val="0"/>
        <w:spacing w:before="29" w:line="288" w:lineRule="auto"/>
        <w:jc w:val="left"/>
        <w:rPr>
          <w:color w:val="000000"/>
          <w:sz w:val="24"/>
          <w:szCs w:val="24"/>
        </w:rPr>
      </w:pPr>
      <w:r>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-2.88%</w:t>
            </w:r>
          </w:p>
        </w:tc>
        <w:tc>
          <w:tcPr>
            <w:vAlign w:val="center"/>
          </w:tcPr>
          <w:p>
            <w:pPr>
              <w:jc w:val="center"/>
            </w:pPr>
            <w:r>
              <w:rPr>
                <w:color w:val="000000"/>
                <w:sz w:val="24"/>
                <w:szCs w:val="24"/>
              </w:rPr>
              <w:t>1.42%</w:t>
            </w:r>
          </w:p>
        </w:tc>
        <w:tc>
          <w:tcPr>
            <w:vAlign w:val="center"/>
          </w:tcPr>
          <w:p>
            <w:pPr>
              <w:jc w:val="center"/>
            </w:pPr>
            <w:r>
              <w:rPr>
                <w:color w:val="000000"/>
                <w:sz w:val="24"/>
                <w:szCs w:val="24"/>
              </w:rPr>
              <w:t>-6.54%</w:t>
            </w:r>
          </w:p>
        </w:tc>
        <w:tc>
          <w:tcPr>
            <w:vAlign w:val="center"/>
          </w:tcPr>
          <w:p>
            <w:pPr>
              <w:jc w:val="center"/>
            </w:pPr>
            <w:r>
              <w:rPr>
                <w:color w:val="000000"/>
                <w:sz w:val="24"/>
                <w:szCs w:val="24"/>
              </w:rPr>
              <w:t>0.98%</w:t>
            </w:r>
          </w:p>
        </w:tc>
        <w:tc>
          <w:tcPr>
            <w:vAlign w:val="center"/>
          </w:tcPr>
          <w:p>
            <w:pPr>
              <w:jc w:val="center"/>
            </w:pPr>
            <w:r>
              <w:rPr>
                <w:color w:val="000000"/>
                <w:sz w:val="24"/>
                <w:szCs w:val="24"/>
              </w:rPr>
              <w:t>3.66%</w:t>
            </w:r>
          </w:p>
        </w:tc>
        <w:tc>
          <w:tcPr>
            <w:vAlign w:val="center"/>
          </w:tcPr>
          <w:p>
            <w:pPr>
              <w:jc w:val="center"/>
            </w:pPr>
            <w:r>
              <w:rPr>
                <w:color w:val="000000"/>
                <w:sz w:val="24"/>
                <w:szCs w:val="24"/>
              </w:rPr>
              <w:t>0.44%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交银施罗德经济新动力混合型证券投资基金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2016年10月20日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郭斐</w:t>
            </w:r>
          </w:p>
        </w:tc>
        <w:tc>
          <w:tcPr>
            <w:vAlign w:val="center"/>
          </w:tcPr>
          <w:p>
            <w:pPr>
              <w:jc w:val="center"/>
            </w:pPr>
            <w:r>
              <w:rPr>
                <w:color w:val="000000"/>
                <w:sz w:val="24"/>
                <w:szCs w:val="24"/>
              </w:rPr>
              <w:t>交银成长30混合、交银经济新动力混合的基金经理</w:t>
            </w:r>
          </w:p>
        </w:tc>
        <w:tc>
          <w:tcPr>
            <w:vAlign w:val="center"/>
          </w:tcPr>
          <w:p>
            <w:pPr>
              <w:jc w:val="center"/>
            </w:pPr>
            <w:r>
              <w:rPr>
                <w:color w:val="000000"/>
                <w:sz w:val="24"/>
                <w:szCs w:val="24"/>
              </w:rPr>
              <w:t>2018-06-02</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郭斐先生，复旦大学经济学本科。2009年8月至2014年3月于高盛（亚洲）有限责任公司、高华证券公司任职。2014年加入交银施罗德基金管理有限公司，历任行业分析师、基金经理助理。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2018年四季度，A股市场在震荡向下的同时波动率放大。国内经济基本面呈现持续向下的趋势，叠加中美贸易摩擦、华为事件等的波澜起伏，在海外美股整体筑顶向下的大背景下，使得市场愈发悲观。</w:t>
      </w:r>
    </w:p>
    <w:p>
      <w:pPr>
        <w:spacing w:before="29" w:line="288" w:lineRule="auto"/>
        <w:ind w:firstLine="480" w:firstLineChars="200"/>
        <w:rPr>
          <w:color w:val="000000"/>
          <w:sz w:val="24"/>
          <w:szCs w:val="24"/>
        </w:rPr>
      </w:pPr>
      <w:r>
        <w:rPr>
          <w:color w:val="000000"/>
          <w:sz w:val="24"/>
          <w:szCs w:val="24"/>
        </w:rPr>
        <w:t>报告期内，本基金维持中性偏低的仓位，重点配置了新能源汽车、5G、创新硬件、先进制造、医药等领域的成长股及以地产为代表的逆周期蓝筹品种。</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一季度，我们认为市场可能将继续弱势磨底。在市场对中美摩擦以及经济下行压力的预期已比较悲观的情况下，即将到来的业绩期将考验市场方面的成色。我们看好一批已经历充分调整、估值具备吸引力的优质成长股将有相对较好的表现。同时，以地产为代表的逆周期蓝筹品种已得到政策方面的确认，仍然具备配置的价值。本基金将持续挖掘行业成长空间广阔、具备核心竞争力的公司，把握合适的配置窗口，力争为投资人获得持续稳定的超额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67,455,182.29</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55.80</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67,455,182.29</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55.80</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52,537,319.18</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43.46</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887,558.46</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0.73</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120,880,059.93</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4,095,235.80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3.46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38,974,242.36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32.93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3,375,909.30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3,407,854.83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15,381,750.00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1,223,320.00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996,870.00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67,455,182.29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56.99</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300014</w:t>
            </w:r>
          </w:p>
        </w:tc>
        <w:tc>
          <w:tcPr>
            <w:vAlign w:val="center"/>
          </w:tcPr>
          <w:p>
            <w:pPr>
              <w:jc w:val="center"/>
            </w:pPr>
            <w:r>
              <w:rPr>
                <w:color w:val="000000"/>
                <w:sz w:val="24"/>
                <w:szCs w:val="24"/>
              </w:rPr>
              <w:t>亿纬锂能</w:t>
            </w:r>
          </w:p>
        </w:tc>
        <w:tc>
          <w:tcPr>
            <w:vAlign w:val="center"/>
          </w:tcPr>
          <w:p>
            <w:pPr>
              <w:jc w:val="right"/>
            </w:pPr>
            <w:r>
              <w:rPr>
                <w:color w:val="000000"/>
                <w:sz w:val="24"/>
                <w:szCs w:val="24"/>
              </w:rPr>
              <w:t>550,675</w:t>
            </w:r>
          </w:p>
        </w:tc>
        <w:tc>
          <w:tcPr>
            <w:vAlign w:val="center"/>
          </w:tcPr>
          <w:p>
            <w:pPr>
              <w:jc w:val="right"/>
            </w:pPr>
            <w:r>
              <w:rPr>
                <w:color w:val="000000"/>
                <w:sz w:val="24"/>
                <w:szCs w:val="24"/>
              </w:rPr>
              <w:t>8,656,611.00</w:t>
            </w:r>
          </w:p>
        </w:tc>
        <w:tc>
          <w:tcPr>
            <w:vAlign w:val="center"/>
          </w:tcPr>
          <w:p>
            <w:pPr>
              <w:jc w:val="right"/>
            </w:pPr>
            <w:r>
              <w:rPr>
                <w:color w:val="000000"/>
                <w:sz w:val="24"/>
                <w:szCs w:val="24"/>
              </w:rPr>
              <w:t>7.31</w:t>
            </w:r>
          </w:p>
        </w:tc>
      </w:tr>
      <w:tr>
        <w:tc>
          <w:tcPr>
            <w:vAlign w:val="center"/>
          </w:tcPr>
          <w:p>
            <w:pPr>
              <w:jc w:val="center"/>
            </w:pPr>
            <w:r>
              <w:rPr>
                <w:color w:val="000000"/>
                <w:sz w:val="24"/>
                <w:szCs w:val="24"/>
              </w:rPr>
              <w:t>2</w:t>
            </w:r>
          </w:p>
        </w:tc>
        <w:tc>
          <w:tcPr>
            <w:vAlign w:val="center"/>
          </w:tcPr>
          <w:p>
            <w:pPr>
              <w:jc w:val="center"/>
            </w:pPr>
            <w:r>
              <w:rPr>
                <w:color w:val="000000"/>
                <w:sz w:val="24"/>
                <w:szCs w:val="24"/>
              </w:rPr>
              <w:t>603160</w:t>
            </w:r>
          </w:p>
        </w:tc>
        <w:tc>
          <w:tcPr>
            <w:vAlign w:val="center"/>
          </w:tcPr>
          <w:p>
            <w:pPr>
              <w:jc w:val="center"/>
            </w:pPr>
            <w:r>
              <w:rPr>
                <w:color w:val="000000"/>
                <w:sz w:val="24"/>
                <w:szCs w:val="24"/>
              </w:rPr>
              <w:t>汇顶科技</w:t>
            </w:r>
          </w:p>
        </w:tc>
        <w:tc>
          <w:tcPr>
            <w:vAlign w:val="center"/>
          </w:tcPr>
          <w:p>
            <w:pPr>
              <w:jc w:val="right"/>
            </w:pPr>
            <w:r>
              <w:rPr>
                <w:color w:val="000000"/>
                <w:sz w:val="24"/>
                <w:szCs w:val="24"/>
              </w:rPr>
              <w:t>88,176</w:t>
            </w:r>
          </w:p>
        </w:tc>
        <w:tc>
          <w:tcPr>
            <w:vAlign w:val="center"/>
          </w:tcPr>
          <w:p>
            <w:pPr>
              <w:jc w:val="right"/>
            </w:pPr>
            <w:r>
              <w:rPr>
                <w:color w:val="000000"/>
                <w:sz w:val="24"/>
                <w:szCs w:val="24"/>
              </w:rPr>
              <w:t>6,939,451.20</w:t>
            </w:r>
          </w:p>
        </w:tc>
        <w:tc>
          <w:tcPr>
            <w:vAlign w:val="center"/>
          </w:tcPr>
          <w:p>
            <w:pPr>
              <w:jc w:val="right"/>
            </w:pPr>
            <w:r>
              <w:rPr>
                <w:color w:val="000000"/>
                <w:sz w:val="24"/>
                <w:szCs w:val="24"/>
              </w:rPr>
              <w:t>5.86</w:t>
            </w:r>
          </w:p>
        </w:tc>
      </w:tr>
      <w:tr>
        <w:tc>
          <w:tcPr>
            <w:vAlign w:val="center"/>
          </w:tcPr>
          <w:p>
            <w:pPr>
              <w:jc w:val="center"/>
            </w:pPr>
            <w:r>
              <w:rPr>
                <w:color w:val="000000"/>
                <w:sz w:val="24"/>
                <w:szCs w:val="24"/>
              </w:rPr>
              <w:t>3</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587,100</w:t>
            </w:r>
          </w:p>
        </w:tc>
        <w:tc>
          <w:tcPr>
            <w:vAlign w:val="center"/>
          </w:tcPr>
          <w:p>
            <w:pPr>
              <w:jc w:val="right"/>
            </w:pPr>
            <w:r>
              <w:rPr>
                <w:color w:val="000000"/>
                <w:sz w:val="24"/>
                <w:szCs w:val="24"/>
              </w:rPr>
              <w:t>6,921,909.00</w:t>
            </w:r>
          </w:p>
        </w:tc>
        <w:tc>
          <w:tcPr>
            <w:vAlign w:val="center"/>
          </w:tcPr>
          <w:p>
            <w:pPr>
              <w:jc w:val="right"/>
            </w:pPr>
            <w:r>
              <w:rPr>
                <w:color w:val="000000"/>
                <w:sz w:val="24"/>
                <w:szCs w:val="24"/>
              </w:rPr>
              <w:t>5.85</w:t>
            </w:r>
          </w:p>
        </w:tc>
      </w:tr>
      <w:tr>
        <w:tc>
          <w:tcPr>
            <w:vAlign w:val="center"/>
          </w:tcPr>
          <w:p>
            <w:pPr>
              <w:jc w:val="center"/>
            </w:pPr>
            <w:r>
              <w:rPr>
                <w:color w:val="000000"/>
                <w:sz w:val="24"/>
                <w:szCs w:val="24"/>
              </w:rPr>
              <w:t>4</w:t>
            </w:r>
          </w:p>
        </w:tc>
        <w:tc>
          <w:tcPr>
            <w:vAlign w:val="center"/>
          </w:tcPr>
          <w:p>
            <w:pPr>
              <w:jc w:val="center"/>
            </w:pPr>
            <w:r>
              <w:rPr>
                <w:color w:val="000000"/>
                <w:sz w:val="24"/>
                <w:szCs w:val="24"/>
              </w:rPr>
              <w:t>601155</w:t>
            </w:r>
          </w:p>
        </w:tc>
        <w:tc>
          <w:tcPr>
            <w:vAlign w:val="center"/>
          </w:tcPr>
          <w:p>
            <w:pPr>
              <w:jc w:val="center"/>
            </w:pPr>
            <w:r>
              <w:rPr>
                <w:color w:val="000000"/>
                <w:sz w:val="24"/>
                <w:szCs w:val="24"/>
              </w:rPr>
              <w:t>新城控股</w:t>
            </w:r>
          </w:p>
        </w:tc>
        <w:tc>
          <w:tcPr>
            <w:vAlign w:val="center"/>
          </w:tcPr>
          <w:p>
            <w:pPr>
              <w:jc w:val="right"/>
            </w:pPr>
            <w:r>
              <w:rPr>
                <w:color w:val="000000"/>
                <w:sz w:val="24"/>
                <w:szCs w:val="24"/>
              </w:rPr>
              <w:t>268,800</w:t>
            </w:r>
          </w:p>
        </w:tc>
        <w:tc>
          <w:tcPr>
            <w:vAlign w:val="center"/>
          </w:tcPr>
          <w:p>
            <w:pPr>
              <w:jc w:val="right"/>
            </w:pPr>
            <w:r>
              <w:rPr>
                <w:color w:val="000000"/>
                <w:sz w:val="24"/>
                <w:szCs w:val="24"/>
              </w:rPr>
              <w:t>6,367,872.00</w:t>
            </w:r>
          </w:p>
        </w:tc>
        <w:tc>
          <w:tcPr>
            <w:vAlign w:val="center"/>
          </w:tcPr>
          <w:p>
            <w:pPr>
              <w:jc w:val="right"/>
            </w:pPr>
            <w:r>
              <w:rPr>
                <w:color w:val="000000"/>
                <w:sz w:val="24"/>
                <w:szCs w:val="24"/>
              </w:rPr>
              <w:t>5.38</w:t>
            </w:r>
          </w:p>
        </w:tc>
      </w:tr>
      <w:tr>
        <w:tc>
          <w:tcPr>
            <w:vAlign w:val="center"/>
          </w:tcPr>
          <w:p>
            <w:pPr>
              <w:jc w:val="center"/>
            </w:pPr>
            <w:r>
              <w:rPr>
                <w:color w:val="000000"/>
                <w:sz w:val="24"/>
                <w:szCs w:val="24"/>
              </w:rPr>
              <w:t>5</w:t>
            </w:r>
          </w:p>
        </w:tc>
        <w:tc>
          <w:tcPr>
            <w:vAlign w:val="center"/>
          </w:tcPr>
          <w:p>
            <w:pPr>
              <w:jc w:val="center"/>
            </w:pPr>
            <w:r>
              <w:rPr>
                <w:color w:val="000000"/>
                <w:sz w:val="24"/>
                <w:szCs w:val="24"/>
              </w:rPr>
              <w:t>000661</w:t>
            </w:r>
          </w:p>
        </w:tc>
        <w:tc>
          <w:tcPr>
            <w:vAlign w:val="center"/>
          </w:tcPr>
          <w:p>
            <w:pPr>
              <w:jc w:val="center"/>
            </w:pPr>
            <w:r>
              <w:rPr>
                <w:color w:val="000000"/>
                <w:sz w:val="24"/>
                <w:szCs w:val="24"/>
              </w:rPr>
              <w:t>长春高新</w:t>
            </w:r>
          </w:p>
        </w:tc>
        <w:tc>
          <w:tcPr>
            <w:vAlign w:val="center"/>
          </w:tcPr>
          <w:p>
            <w:pPr>
              <w:jc w:val="right"/>
            </w:pPr>
            <w:r>
              <w:rPr>
                <w:color w:val="000000"/>
                <w:sz w:val="24"/>
                <w:szCs w:val="24"/>
              </w:rPr>
              <w:t>34,802</w:t>
            </w:r>
          </w:p>
        </w:tc>
        <w:tc>
          <w:tcPr>
            <w:vAlign w:val="center"/>
          </w:tcPr>
          <w:p>
            <w:pPr>
              <w:jc w:val="right"/>
            </w:pPr>
            <w:r>
              <w:rPr>
                <w:color w:val="000000"/>
                <w:sz w:val="24"/>
                <w:szCs w:val="24"/>
              </w:rPr>
              <w:t>6,090,350.00</w:t>
            </w:r>
          </w:p>
        </w:tc>
        <w:tc>
          <w:tcPr>
            <w:vAlign w:val="center"/>
          </w:tcPr>
          <w:p>
            <w:pPr>
              <w:jc w:val="right"/>
            </w:pPr>
            <w:r>
              <w:rPr>
                <w:color w:val="000000"/>
                <w:sz w:val="24"/>
                <w:szCs w:val="24"/>
              </w:rPr>
              <w:t>5.15</w:t>
            </w:r>
          </w:p>
        </w:tc>
      </w:tr>
      <w:tr>
        <w:tc>
          <w:tcPr>
            <w:vAlign w:val="center"/>
          </w:tcPr>
          <w:p>
            <w:pPr>
              <w:jc w:val="center"/>
            </w:pPr>
            <w:r>
              <w:rPr>
                <w:color w:val="000000"/>
                <w:sz w:val="24"/>
                <w:szCs w:val="24"/>
              </w:rPr>
              <w:t>6</w:t>
            </w:r>
          </w:p>
        </w:tc>
        <w:tc>
          <w:tcPr>
            <w:vAlign w:val="center"/>
          </w:tcPr>
          <w:p>
            <w:pPr>
              <w:jc w:val="center"/>
            </w:pPr>
            <w:r>
              <w:rPr>
                <w:color w:val="000000"/>
                <w:sz w:val="24"/>
                <w:szCs w:val="24"/>
              </w:rPr>
              <w:t>603505</w:t>
            </w:r>
          </w:p>
        </w:tc>
        <w:tc>
          <w:tcPr>
            <w:vAlign w:val="center"/>
          </w:tcPr>
          <w:p>
            <w:pPr>
              <w:jc w:val="center"/>
            </w:pPr>
            <w:r>
              <w:rPr>
                <w:color w:val="000000"/>
                <w:sz w:val="24"/>
                <w:szCs w:val="24"/>
              </w:rPr>
              <w:t>金石资源</w:t>
            </w:r>
          </w:p>
        </w:tc>
        <w:tc>
          <w:tcPr>
            <w:vAlign w:val="center"/>
          </w:tcPr>
          <w:p>
            <w:pPr>
              <w:jc w:val="right"/>
            </w:pPr>
            <w:r>
              <w:rPr>
                <w:color w:val="000000"/>
                <w:sz w:val="24"/>
                <w:szCs w:val="24"/>
              </w:rPr>
              <w:t>332,946</w:t>
            </w:r>
          </w:p>
        </w:tc>
        <w:tc>
          <w:tcPr>
            <w:vAlign w:val="center"/>
          </w:tcPr>
          <w:p>
            <w:pPr>
              <w:jc w:val="right"/>
            </w:pPr>
            <w:r>
              <w:rPr>
                <w:color w:val="000000"/>
                <w:sz w:val="24"/>
                <w:szCs w:val="24"/>
              </w:rPr>
              <w:t>4,095,235.80</w:t>
            </w:r>
          </w:p>
        </w:tc>
        <w:tc>
          <w:tcPr>
            <w:vAlign w:val="center"/>
          </w:tcPr>
          <w:p>
            <w:pPr>
              <w:jc w:val="right"/>
            </w:pPr>
            <w:r>
              <w:rPr>
                <w:color w:val="000000"/>
                <w:sz w:val="24"/>
                <w:szCs w:val="24"/>
              </w:rPr>
              <w:t>3.46</w:t>
            </w:r>
          </w:p>
        </w:tc>
      </w:tr>
      <w:tr>
        <w:tc>
          <w:tcPr>
            <w:vAlign w:val="center"/>
          </w:tcPr>
          <w:p>
            <w:pPr>
              <w:jc w:val="center"/>
            </w:pPr>
            <w:r>
              <w:rPr>
                <w:color w:val="000000"/>
                <w:sz w:val="24"/>
                <w:szCs w:val="24"/>
              </w:rPr>
              <w:t>7</w:t>
            </w:r>
          </w:p>
        </w:tc>
        <w:tc>
          <w:tcPr>
            <w:vAlign w:val="center"/>
          </w:tcPr>
          <w:p>
            <w:pPr>
              <w:jc w:val="center"/>
            </w:pPr>
            <w:r>
              <w:rPr>
                <w:color w:val="000000"/>
                <w:sz w:val="24"/>
                <w:szCs w:val="24"/>
              </w:rPr>
              <w:t>603713</w:t>
            </w:r>
          </w:p>
        </w:tc>
        <w:tc>
          <w:tcPr>
            <w:vAlign w:val="center"/>
          </w:tcPr>
          <w:p>
            <w:pPr>
              <w:jc w:val="center"/>
            </w:pPr>
            <w:r>
              <w:rPr>
                <w:color w:val="000000"/>
                <w:sz w:val="24"/>
                <w:szCs w:val="24"/>
              </w:rPr>
              <w:t>密尔克卫</w:t>
            </w:r>
          </w:p>
        </w:tc>
        <w:tc>
          <w:tcPr>
            <w:vAlign w:val="center"/>
          </w:tcPr>
          <w:p>
            <w:pPr>
              <w:jc w:val="right"/>
            </w:pPr>
            <w:r>
              <w:rPr>
                <w:color w:val="000000"/>
                <w:sz w:val="24"/>
                <w:szCs w:val="24"/>
              </w:rPr>
              <w:t>121,830</w:t>
            </w:r>
          </w:p>
        </w:tc>
        <w:tc>
          <w:tcPr>
            <w:vAlign w:val="center"/>
          </w:tcPr>
          <w:p>
            <w:pPr>
              <w:jc w:val="right"/>
            </w:pPr>
            <w:r>
              <w:rPr>
                <w:color w:val="000000"/>
                <w:sz w:val="24"/>
                <w:szCs w:val="24"/>
              </w:rPr>
              <w:t>3,375,909.30</w:t>
            </w:r>
          </w:p>
        </w:tc>
        <w:tc>
          <w:tcPr>
            <w:vAlign w:val="center"/>
          </w:tcPr>
          <w:p>
            <w:pPr>
              <w:jc w:val="right"/>
            </w:pPr>
            <w:r>
              <w:rPr>
                <w:color w:val="000000"/>
                <w:sz w:val="24"/>
                <w:szCs w:val="24"/>
              </w:rPr>
              <w:t>2.85</w:t>
            </w:r>
          </w:p>
        </w:tc>
      </w:tr>
      <w:tr>
        <w:tc>
          <w:tcPr>
            <w:vAlign w:val="center"/>
          </w:tcPr>
          <w:p>
            <w:pPr>
              <w:jc w:val="center"/>
            </w:pPr>
            <w:r>
              <w:rPr>
                <w:color w:val="000000"/>
                <w:sz w:val="24"/>
                <w:szCs w:val="24"/>
              </w:rPr>
              <w:t>8</w:t>
            </w:r>
          </w:p>
        </w:tc>
        <w:tc>
          <w:tcPr>
            <w:vAlign w:val="center"/>
          </w:tcPr>
          <w:p>
            <w:pPr>
              <w:jc w:val="center"/>
            </w:pPr>
            <w:r>
              <w:rPr>
                <w:color w:val="000000"/>
                <w:sz w:val="24"/>
                <w:szCs w:val="24"/>
              </w:rPr>
              <w:t>601231</w:t>
            </w:r>
          </w:p>
        </w:tc>
        <w:tc>
          <w:tcPr>
            <w:vAlign w:val="center"/>
          </w:tcPr>
          <w:p>
            <w:pPr>
              <w:jc w:val="center"/>
            </w:pPr>
            <w:r>
              <w:rPr>
                <w:color w:val="000000"/>
                <w:sz w:val="24"/>
                <w:szCs w:val="24"/>
              </w:rPr>
              <w:t>环旭电子</w:t>
            </w:r>
          </w:p>
        </w:tc>
        <w:tc>
          <w:tcPr>
            <w:vAlign w:val="center"/>
          </w:tcPr>
          <w:p>
            <w:pPr>
              <w:jc w:val="right"/>
            </w:pPr>
            <w:r>
              <w:rPr>
                <w:color w:val="000000"/>
                <w:sz w:val="24"/>
                <w:szCs w:val="24"/>
              </w:rPr>
              <w:t>367,467</w:t>
            </w:r>
          </w:p>
        </w:tc>
        <w:tc>
          <w:tcPr>
            <w:vAlign w:val="center"/>
          </w:tcPr>
          <w:p>
            <w:pPr>
              <w:jc w:val="right"/>
            </w:pPr>
            <w:r>
              <w:rPr>
                <w:color w:val="000000"/>
                <w:sz w:val="24"/>
                <w:szCs w:val="24"/>
              </w:rPr>
              <w:t>3,307,203.00</w:t>
            </w:r>
          </w:p>
        </w:tc>
        <w:tc>
          <w:tcPr>
            <w:vAlign w:val="center"/>
          </w:tcPr>
          <w:p>
            <w:pPr>
              <w:jc w:val="right"/>
            </w:pPr>
            <w:r>
              <w:rPr>
                <w:color w:val="000000"/>
                <w:sz w:val="24"/>
                <w:szCs w:val="24"/>
              </w:rPr>
              <w:t>2.79</w:t>
            </w:r>
          </w:p>
        </w:tc>
      </w:tr>
      <w:tr>
        <w:tc>
          <w:tcPr>
            <w:vAlign w:val="center"/>
          </w:tcPr>
          <w:p>
            <w:pPr>
              <w:jc w:val="center"/>
            </w:pPr>
            <w:r>
              <w:rPr>
                <w:color w:val="000000"/>
                <w:sz w:val="24"/>
                <w:szCs w:val="24"/>
              </w:rPr>
              <w:t>9</w:t>
            </w:r>
          </w:p>
        </w:tc>
        <w:tc>
          <w:tcPr>
            <w:vAlign w:val="center"/>
          </w:tcPr>
          <w:p>
            <w:pPr>
              <w:jc w:val="center"/>
            </w:pPr>
            <w:r>
              <w:rPr>
                <w:color w:val="000000"/>
                <w:sz w:val="24"/>
                <w:szCs w:val="24"/>
              </w:rPr>
              <w:t>002407</w:t>
            </w:r>
          </w:p>
        </w:tc>
        <w:tc>
          <w:tcPr>
            <w:vAlign w:val="center"/>
          </w:tcPr>
          <w:p>
            <w:pPr>
              <w:jc w:val="center"/>
            </w:pPr>
            <w:r>
              <w:rPr>
                <w:color w:val="000000"/>
                <w:sz w:val="24"/>
                <w:szCs w:val="24"/>
              </w:rPr>
              <w:t>多氟多</w:t>
            </w:r>
          </w:p>
        </w:tc>
        <w:tc>
          <w:tcPr>
            <w:vAlign w:val="center"/>
          </w:tcPr>
          <w:p>
            <w:pPr>
              <w:jc w:val="right"/>
            </w:pPr>
            <w:r>
              <w:rPr>
                <w:color w:val="000000"/>
                <w:sz w:val="24"/>
                <w:szCs w:val="24"/>
              </w:rPr>
              <w:t>285,500</w:t>
            </w:r>
          </w:p>
        </w:tc>
        <w:tc>
          <w:tcPr>
            <w:vAlign w:val="center"/>
          </w:tcPr>
          <w:p>
            <w:pPr>
              <w:jc w:val="right"/>
            </w:pPr>
            <w:r>
              <w:rPr>
                <w:color w:val="000000"/>
                <w:sz w:val="24"/>
                <w:szCs w:val="24"/>
              </w:rPr>
              <w:t>3,129,080.00</w:t>
            </w:r>
          </w:p>
        </w:tc>
        <w:tc>
          <w:tcPr>
            <w:vAlign w:val="center"/>
          </w:tcPr>
          <w:p>
            <w:pPr>
              <w:jc w:val="right"/>
            </w:pPr>
            <w:r>
              <w:rPr>
                <w:color w:val="000000"/>
                <w:sz w:val="24"/>
                <w:szCs w:val="24"/>
              </w:rPr>
              <w:t>2.64</w:t>
            </w:r>
          </w:p>
        </w:tc>
      </w:tr>
      <w:tr>
        <w:tc>
          <w:tcPr>
            <w:vAlign w:val="center"/>
          </w:tcPr>
          <w:p>
            <w:pPr>
              <w:jc w:val="center"/>
            </w:pPr>
            <w:r>
              <w:rPr>
                <w:color w:val="000000"/>
                <w:sz w:val="24"/>
                <w:szCs w:val="24"/>
              </w:rPr>
              <w:t>10</w:t>
            </w:r>
          </w:p>
        </w:tc>
        <w:tc>
          <w:tcPr>
            <w:vAlign w:val="center"/>
          </w:tcPr>
          <w:p>
            <w:pPr>
              <w:jc w:val="center"/>
            </w:pPr>
            <w:r>
              <w:rPr>
                <w:color w:val="000000"/>
                <w:sz w:val="24"/>
                <w:szCs w:val="24"/>
              </w:rPr>
              <w:t>300207</w:t>
            </w:r>
          </w:p>
        </w:tc>
        <w:tc>
          <w:tcPr>
            <w:vAlign w:val="center"/>
          </w:tcPr>
          <w:p>
            <w:pPr>
              <w:jc w:val="center"/>
            </w:pPr>
            <w:r>
              <w:rPr>
                <w:color w:val="000000"/>
                <w:sz w:val="24"/>
                <w:szCs w:val="24"/>
              </w:rPr>
              <w:t>欣旺达</w:t>
            </w:r>
          </w:p>
        </w:tc>
        <w:tc>
          <w:tcPr>
            <w:vAlign w:val="center"/>
          </w:tcPr>
          <w:p>
            <w:pPr>
              <w:jc w:val="right"/>
            </w:pPr>
            <w:r>
              <w:rPr>
                <w:color w:val="000000"/>
                <w:sz w:val="24"/>
                <w:szCs w:val="24"/>
              </w:rPr>
              <w:t>265,200</w:t>
            </w:r>
          </w:p>
        </w:tc>
        <w:tc>
          <w:tcPr>
            <w:vAlign w:val="center"/>
          </w:tcPr>
          <w:p>
            <w:pPr>
              <w:jc w:val="right"/>
            </w:pPr>
            <w:r>
              <w:rPr>
                <w:color w:val="000000"/>
                <w:sz w:val="24"/>
                <w:szCs w:val="24"/>
              </w:rPr>
              <w:t>2,278,068.00</w:t>
            </w:r>
          </w:p>
        </w:tc>
        <w:tc>
          <w:tcPr>
            <w:vAlign w:val="center"/>
          </w:tcPr>
          <w:p>
            <w:pPr>
              <w:jc w:val="right"/>
            </w:pPr>
            <w:r>
              <w:rPr>
                <w:color w:val="000000"/>
                <w:sz w:val="24"/>
                <w:szCs w:val="24"/>
              </w:rPr>
              <w:t>1.92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本基金本报告期末未持有债券。</w:t>
      </w:r>
    </w:p>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88,458.91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591,844.37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11,383.06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195,872.12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887,558.46</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120,324,488.07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4,187,030.41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4,710,067.57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119,801,450.91</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注：1、如果本报告期间发生转换入、份额类别调整、红利再投业务，则总申购份额中包含该业务；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2、如果本报告期间发生转换出、份额类别调整业务，则总赎回份额中包含该业务。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1、中国证监会准予交银施罗德经济新动力混合型证券投资基金募集注册的文件；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2、《交银施罗德经济新动力混合型证券投资基金基金合同》；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3、《交银施罗德经济新动力混合型证券投资基金招募说明书》；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4、《交银施罗德经济新动力混合型证券投资基金托管协议》；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5、关于申请募集注册交银施罗德经济新动力混合型证券投资基金的法律意见书；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8、报告期内交银施罗德经济新动力混合型证券投资基金在指定报刊上各项公告的原稿。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交银施罗德经济新动力混合型证券投资基金2018年第4季度报告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