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交银施罗德趋势优先混合型证券投资基金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2010年12月22日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264,455,971.13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-20,843,931.32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-40,801,237.39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-0.1560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299,525,031.46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-12.10%</w:t>
            </w:r>
          </w:p>
        </w:tc>
        <w:tc>
          <w:tcPr>
            <w:vAlign w:val="center"/>
          </w:tcPr>
          <w:p>
            <w:pPr>
              <w:jc w:val="center"/>
            </w:pPr>
            <w:r>
              <w:rPr>
                <w:color w:val="000000"/>
                <w:sz w:val="24"/>
                <w:szCs w:val="24"/>
              </w:rPr>
              <w:t>1.88%</w:t>
            </w:r>
          </w:p>
        </w:tc>
        <w:tc>
          <w:tcPr>
            <w:vAlign w:val="center"/>
          </w:tcPr>
          <w:p>
            <w:pPr>
              <w:jc w:val="center"/>
            </w:pPr>
            <w:r>
              <w:rPr>
                <w:color w:val="000000"/>
                <w:sz w:val="24"/>
                <w:szCs w:val="24"/>
              </w:rPr>
              <w:t>-8.77%</w:t>
            </w:r>
          </w:p>
        </w:tc>
        <w:tc>
          <w:tcPr>
            <w:vAlign w:val="center"/>
          </w:tcPr>
          <w:p>
            <w:pPr>
              <w:jc w:val="center"/>
            </w:pPr>
            <w:r>
              <w:rPr>
                <w:color w:val="000000"/>
                <w:sz w:val="24"/>
                <w:szCs w:val="24"/>
              </w:rPr>
              <w:t>1.23%</w:t>
            </w:r>
          </w:p>
        </w:tc>
        <w:tc>
          <w:tcPr>
            <w:vAlign w:val="center"/>
          </w:tcPr>
          <w:p>
            <w:pPr>
              <w:jc w:val="center"/>
            </w:pPr>
            <w:r>
              <w:rPr>
                <w:color w:val="000000"/>
                <w:sz w:val="24"/>
                <w:szCs w:val="24"/>
              </w:rPr>
              <w:t>-3.33%</w:t>
            </w:r>
          </w:p>
        </w:tc>
        <w:tc>
          <w:tcPr>
            <w:vAlign w:val="center"/>
          </w:tcPr>
          <w:p>
            <w:pPr>
              <w:jc w:val="center"/>
            </w:pPr>
            <w:r>
              <w:rPr>
                <w:color w:val="000000"/>
                <w:sz w:val="24"/>
                <w:szCs w:val="24"/>
              </w:rPr>
              <w:t>0.65%</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交银施罗德趋势优先混合型证券投资基金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2010年12月22日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2017-06-03</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进入2018年四季度，贸易战和人民币汇率等海外因素进入白热化阶段，导致海外资金对于国内市场的边际波动影响进一步扩大。国内宏观经济开始出现下降的趋势，虽然从七月出现了货币政策和财政政策的双拐点，但是真正反映到资本市场的流动性向好还需要一定的时滞，整个A股市场的赚钱效应并不是特别明显。</w:t>
      </w:r>
    </w:p>
    <w:p>
      <w:pPr>
        <w:spacing w:before="29" w:line="288" w:lineRule="auto"/>
        <w:ind w:firstLine="480" w:firstLineChars="200"/>
        <w:rPr>
          <w:color w:val="000000"/>
          <w:sz w:val="24"/>
          <w:szCs w:val="24"/>
        </w:rPr>
      </w:pPr>
      <w:r>
        <w:rPr>
          <w:color w:val="000000"/>
          <w:sz w:val="24"/>
          <w:szCs w:val="24"/>
        </w:rPr>
        <w:t>本基金四季度维持在中性仓位，十月在市场大幅回落的时候，适当提高了部分仓位。第一，考虑到十月以后中美汇率敞口可能带来的人民币汇率阶段性升值的机会，适度增加了黄金、基建、航空等配置比例，并在十一月中下旬逐步兑现。目前只留下了部分基建股作为2019年一季度的配置。第二，本基金在2018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2019年一季度整体房地产销售面积和新开工面积等中观数据压力会比较大，后续更多的还是要关注2019年三、四月的政策时间窗口以及市场对于地产龙头企业的业绩预期变化。第三，本基金在十二月中下旬增加了消费白马龙头的配置比例，特别是市场预期较低的白马龙头。这些白马龙头虽然预计2019年业绩增速大概率低于2018年，但是在整体宏观经济放缓的背景下已经逐步稀缺。经过中报以及三季报对于消费白马龙头的盈利预测下调，目前整体处于低预期下的低估值。从现金流和未来空间来看，目前的消费白马虽然股价弹性可能不是太大，但是在2019年应该能够获得不错的绝对收益和分红收益率。</w:t>
      </w:r>
    </w:p>
    <w:p>
      <w:pPr>
        <w:spacing w:before="29" w:line="288" w:lineRule="auto"/>
        <w:ind w:firstLine="480" w:firstLineChars="200"/>
        <w:rPr>
          <w:color w:val="000000"/>
          <w:sz w:val="24"/>
          <w:szCs w:val="24"/>
        </w:rPr>
      </w:pPr>
      <w:r>
        <w:rPr>
          <w:color w:val="000000"/>
          <w:sz w:val="24"/>
          <w:szCs w:val="24"/>
        </w:rPr>
        <w:t>展望2019年一季度：首先，中美贸易摩擦预估基本告一段落，美国如果一季度末放缓加息进度，有望推动人民币汇率往升值方向发展，在标普纳入A股以及2019年年中MSCI比例提高的背景下，以人民币计价的A股在全球市场的吸引力会明显提升。其次，国内宏观增速出现回落已形成普遍预期，除非出现超预期的黑天鹅事件，否则整个市场的风险偏好很难进一步下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本基金在2019年一季度将维持现有仓位和配置思路，从现金流低预期的角度配置消费白马龙头，从人民币汇率升值重估角度配置地产基建或者黄金等。此外，希望通过自下而上的研究方式，从而挖掘到一季度能够业绩明显超预期的消费小黑马，并在一季度末开始做重点研究和配置。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xml:space="preserve">本基金本报告期内无需预警说明。 </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264,334,581.30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86.57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264,334,581.30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86.57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40,674,268.82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13.32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328,039.48</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0.11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305,336,889.60</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195,541,961.18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65.28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13,364,134.84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50,145.80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52,324,807.72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244,571.76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2,808,960.00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264,334,581.30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88.25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47,644</w:t>
            </w:r>
          </w:p>
        </w:tc>
        <w:tc>
          <w:tcPr>
            <w:vAlign w:val="center"/>
          </w:tcPr>
          <w:p>
            <w:pPr>
              <w:jc w:val="right"/>
            </w:pPr>
            <w:r>
              <w:rPr>
                <w:color w:val="000000"/>
                <w:sz w:val="24"/>
                <w:szCs w:val="24"/>
              </w:rPr>
              <w:t>28,110,436.44</w:t>
            </w:r>
          </w:p>
        </w:tc>
        <w:tc>
          <w:tcPr>
            <w:vAlign w:val="center"/>
          </w:tcPr>
          <w:p>
            <w:pPr>
              <w:jc w:val="right"/>
            </w:pPr>
            <w:r>
              <w:rPr>
                <w:color w:val="000000"/>
                <w:sz w:val="24"/>
                <w:szCs w:val="24"/>
              </w:rPr>
              <w:t>9.39</w:t>
            </w:r>
          </w:p>
        </w:tc>
      </w:tr>
      <w:tr>
        <w:tc>
          <w:tcPr>
            <w:vAlign w:val="center"/>
          </w:tcPr>
          <w:p>
            <w:pPr>
              <w:jc w:val="center"/>
            </w:pPr>
            <w:r>
              <w:rPr>
                <w:color w:val="000000"/>
                <w:sz w:val="24"/>
                <w:szCs w:val="24"/>
              </w:rPr>
              <w:t>2</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1,629,660</w:t>
            </w:r>
          </w:p>
        </w:tc>
        <w:tc>
          <w:tcPr>
            <w:vAlign w:val="center"/>
          </w:tcPr>
          <w:p>
            <w:pPr>
              <w:jc w:val="right"/>
            </w:pPr>
            <w:r>
              <w:rPr>
                <w:color w:val="000000"/>
                <w:sz w:val="24"/>
                <w:szCs w:val="24"/>
              </w:rPr>
              <w:t>27,687,923.40</w:t>
            </w:r>
          </w:p>
        </w:tc>
        <w:tc>
          <w:tcPr>
            <w:vAlign w:val="center"/>
          </w:tcPr>
          <w:p>
            <w:pPr>
              <w:jc w:val="right"/>
            </w:pPr>
            <w:r>
              <w:rPr>
                <w:color w:val="000000"/>
                <w:sz w:val="24"/>
                <w:szCs w:val="24"/>
              </w:rPr>
              <w:t>9.24</w:t>
            </w:r>
          </w:p>
        </w:tc>
      </w:tr>
      <w:tr>
        <w:tc>
          <w:tcPr>
            <w:vAlign w:val="center"/>
          </w:tcPr>
          <w:p>
            <w:pPr>
              <w:jc w:val="center"/>
            </w:pPr>
            <w:r>
              <w:rPr>
                <w:color w:val="000000"/>
                <w:sz w:val="24"/>
                <w:szCs w:val="24"/>
              </w:rPr>
              <w:t>3</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243,294</w:t>
            </w:r>
          </w:p>
        </w:tc>
        <w:tc>
          <w:tcPr>
            <w:vAlign w:val="center"/>
          </w:tcPr>
          <w:p>
            <w:pPr>
              <w:jc w:val="right"/>
            </w:pPr>
            <w:r>
              <w:rPr>
                <w:color w:val="000000"/>
                <w:sz w:val="24"/>
                <w:szCs w:val="24"/>
              </w:rPr>
              <w:t>23,044,807.68</w:t>
            </w:r>
          </w:p>
        </w:tc>
        <w:tc>
          <w:tcPr>
            <w:vAlign w:val="center"/>
          </w:tcPr>
          <w:p>
            <w:pPr>
              <w:jc w:val="right"/>
            </w:pPr>
            <w:r>
              <w:rPr>
                <w:color w:val="000000"/>
                <w:sz w:val="24"/>
                <w:szCs w:val="24"/>
              </w:rPr>
              <w:t>7.69</w:t>
            </w:r>
          </w:p>
        </w:tc>
      </w:tr>
      <w:tr>
        <w:tc>
          <w:tcPr>
            <w:vAlign w:val="center"/>
          </w:tcPr>
          <w:p>
            <w:pPr>
              <w:jc w:val="center"/>
            </w:pPr>
            <w:r>
              <w:rPr>
                <w:color w:val="000000"/>
                <w:sz w:val="24"/>
                <w:szCs w:val="24"/>
              </w:rPr>
              <w:t>4</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448,181</w:t>
            </w:r>
          </w:p>
        </w:tc>
        <w:tc>
          <w:tcPr>
            <w:vAlign w:val="center"/>
          </w:tcPr>
          <w:p>
            <w:pPr>
              <w:jc w:val="right"/>
            </w:pPr>
            <w:r>
              <w:rPr>
                <w:color w:val="000000"/>
                <w:sz w:val="24"/>
                <w:szCs w:val="24"/>
              </w:rPr>
              <w:t>22,803,449.28</w:t>
            </w:r>
          </w:p>
        </w:tc>
        <w:tc>
          <w:tcPr>
            <w:vAlign w:val="center"/>
          </w:tcPr>
          <w:p>
            <w:pPr>
              <w:jc w:val="right"/>
            </w:pPr>
            <w:r>
              <w:rPr>
                <w:color w:val="000000"/>
                <w:sz w:val="24"/>
                <w:szCs w:val="24"/>
              </w:rPr>
              <w:t>7.61</w:t>
            </w:r>
          </w:p>
        </w:tc>
      </w:tr>
      <w:tr>
        <w:tc>
          <w:tcPr>
            <w:vAlign w:val="center"/>
          </w:tcPr>
          <w:p>
            <w:pPr>
              <w:jc w:val="center"/>
            </w:pPr>
            <w:r>
              <w:rPr>
                <w:color w:val="000000"/>
                <w:sz w:val="24"/>
                <w:szCs w:val="24"/>
              </w:rPr>
              <w:t>5</w:t>
            </w:r>
          </w:p>
        </w:tc>
        <w:tc>
          <w:tcPr>
            <w:vAlign w:val="center"/>
          </w:tcPr>
          <w:p>
            <w:pPr>
              <w:jc w:val="center"/>
            </w:pPr>
            <w:r>
              <w:rPr>
                <w:color w:val="000000"/>
                <w:sz w:val="24"/>
                <w:szCs w:val="24"/>
              </w:rPr>
              <w:t>603808</w:t>
            </w:r>
          </w:p>
        </w:tc>
        <w:tc>
          <w:tcPr>
            <w:vAlign w:val="center"/>
          </w:tcPr>
          <w:p>
            <w:pPr>
              <w:jc w:val="center"/>
            </w:pPr>
            <w:r>
              <w:rPr>
                <w:color w:val="000000"/>
                <w:sz w:val="24"/>
                <w:szCs w:val="24"/>
              </w:rPr>
              <w:t>歌力思</w:t>
            </w:r>
          </w:p>
        </w:tc>
        <w:tc>
          <w:tcPr>
            <w:vAlign w:val="center"/>
          </w:tcPr>
          <w:p>
            <w:pPr>
              <w:jc w:val="right"/>
            </w:pPr>
            <w:r>
              <w:rPr>
                <w:color w:val="000000"/>
                <w:sz w:val="24"/>
                <w:szCs w:val="24"/>
              </w:rPr>
              <w:t>1,390,342</w:t>
            </w:r>
          </w:p>
        </w:tc>
        <w:tc>
          <w:tcPr>
            <w:vAlign w:val="center"/>
          </w:tcPr>
          <w:p>
            <w:pPr>
              <w:jc w:val="right"/>
            </w:pPr>
            <w:r>
              <w:rPr>
                <w:color w:val="000000"/>
                <w:sz w:val="24"/>
                <w:szCs w:val="24"/>
              </w:rPr>
              <w:t>22,579,154.08</w:t>
            </w:r>
          </w:p>
        </w:tc>
        <w:tc>
          <w:tcPr>
            <w:vAlign w:val="center"/>
          </w:tcPr>
          <w:p>
            <w:pPr>
              <w:jc w:val="right"/>
            </w:pPr>
            <w:r>
              <w:rPr>
                <w:color w:val="000000"/>
                <w:sz w:val="24"/>
                <w:szCs w:val="24"/>
              </w:rPr>
              <w:t>7.54</w:t>
            </w:r>
          </w:p>
        </w:tc>
      </w:tr>
      <w:tr>
        <w:tc>
          <w:tcPr>
            <w:vAlign w:val="center"/>
          </w:tcPr>
          <w:p>
            <w:pPr>
              <w:jc w:val="center"/>
            </w:pPr>
            <w:r>
              <w:rPr>
                <w:color w:val="000000"/>
                <w:sz w:val="24"/>
                <w:szCs w:val="24"/>
              </w:rPr>
              <w:t>6</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771,694</w:t>
            </w:r>
          </w:p>
        </w:tc>
        <w:tc>
          <w:tcPr>
            <w:vAlign w:val="center"/>
          </w:tcPr>
          <w:p>
            <w:pPr>
              <w:jc w:val="right"/>
            </w:pPr>
            <w:r>
              <w:rPr>
                <w:color w:val="000000"/>
                <w:sz w:val="24"/>
                <w:szCs w:val="24"/>
              </w:rPr>
              <w:t>18,281,430.86</w:t>
            </w:r>
          </w:p>
        </w:tc>
        <w:tc>
          <w:tcPr>
            <w:vAlign w:val="center"/>
          </w:tcPr>
          <w:p>
            <w:pPr>
              <w:jc w:val="right"/>
            </w:pPr>
            <w:r>
              <w:rPr>
                <w:color w:val="000000"/>
                <w:sz w:val="24"/>
                <w:szCs w:val="24"/>
              </w:rPr>
              <w:t>6.10</w:t>
            </w:r>
          </w:p>
        </w:tc>
      </w:tr>
      <w:tr>
        <w:tc>
          <w:tcPr>
            <w:vAlign w:val="center"/>
          </w:tcPr>
          <w:p>
            <w:pPr>
              <w:jc w:val="center"/>
            </w:pPr>
            <w:r>
              <w:rPr>
                <w:color w:val="000000"/>
                <w:sz w:val="24"/>
                <w:szCs w:val="24"/>
              </w:rPr>
              <w:t>7</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1,516,363</w:t>
            </w:r>
          </w:p>
        </w:tc>
        <w:tc>
          <w:tcPr>
            <w:vAlign w:val="center"/>
          </w:tcPr>
          <w:p>
            <w:pPr>
              <w:jc w:val="right"/>
            </w:pPr>
            <w:r>
              <w:rPr>
                <w:color w:val="000000"/>
                <w:sz w:val="24"/>
                <w:szCs w:val="24"/>
              </w:rPr>
              <w:t>17,877,919.77</w:t>
            </w:r>
          </w:p>
        </w:tc>
        <w:tc>
          <w:tcPr>
            <w:vAlign w:val="center"/>
          </w:tcPr>
          <w:p>
            <w:pPr>
              <w:jc w:val="right"/>
            </w:pPr>
            <w:r>
              <w:rPr>
                <w:color w:val="000000"/>
                <w:sz w:val="24"/>
                <w:szCs w:val="24"/>
              </w:rPr>
              <w:t>5.97</w:t>
            </w:r>
          </w:p>
        </w:tc>
      </w:tr>
      <w:tr>
        <w:tc>
          <w:tcPr>
            <w:vAlign w:val="center"/>
          </w:tcPr>
          <w:p>
            <w:pPr>
              <w:jc w:val="center"/>
            </w:pPr>
            <w:r>
              <w:rPr>
                <w:color w:val="000000"/>
                <w:sz w:val="24"/>
                <w:szCs w:val="24"/>
              </w:rPr>
              <w:t>8</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670,025</w:t>
            </w:r>
          </w:p>
        </w:tc>
        <w:tc>
          <w:tcPr>
            <w:vAlign w:val="center"/>
          </w:tcPr>
          <w:p>
            <w:pPr>
              <w:jc w:val="right"/>
            </w:pPr>
            <w:r>
              <w:rPr>
                <w:color w:val="000000"/>
                <w:sz w:val="24"/>
                <w:szCs w:val="24"/>
              </w:rPr>
              <w:t>15,330,172.00</w:t>
            </w:r>
          </w:p>
        </w:tc>
        <w:tc>
          <w:tcPr>
            <w:vAlign w:val="center"/>
          </w:tcPr>
          <w:p>
            <w:pPr>
              <w:jc w:val="right"/>
            </w:pPr>
            <w:r>
              <w:rPr>
                <w:color w:val="000000"/>
                <w:sz w:val="24"/>
                <w:szCs w:val="24"/>
              </w:rPr>
              <w:t>5.12</w:t>
            </w:r>
          </w:p>
        </w:tc>
      </w:tr>
      <w:tr>
        <w:tc>
          <w:tcPr>
            <w:vAlign w:val="center"/>
          </w:tcPr>
          <w:p>
            <w:pPr>
              <w:jc w:val="center"/>
            </w:pPr>
            <w:r>
              <w:rPr>
                <w:color w:val="000000"/>
                <w:sz w:val="24"/>
                <w:szCs w:val="24"/>
              </w:rPr>
              <w:t>9</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282,000</w:t>
            </w:r>
          </w:p>
        </w:tc>
        <w:tc>
          <w:tcPr>
            <w:vAlign w:val="center"/>
          </w:tcPr>
          <w:p>
            <w:pPr>
              <w:jc w:val="right"/>
            </w:pPr>
            <w:r>
              <w:rPr>
                <w:color w:val="000000"/>
                <w:sz w:val="24"/>
                <w:szCs w:val="24"/>
              </w:rPr>
              <w:t>14,875,500.00</w:t>
            </w:r>
          </w:p>
        </w:tc>
        <w:tc>
          <w:tcPr>
            <w:vAlign w:val="center"/>
          </w:tcPr>
          <w:p>
            <w:pPr>
              <w:jc w:val="right"/>
            </w:pPr>
            <w:r>
              <w:rPr>
                <w:color w:val="000000"/>
                <w:sz w:val="24"/>
                <w:szCs w:val="24"/>
              </w:rPr>
              <w:t>4.97</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1,150,005</w:t>
            </w:r>
          </w:p>
        </w:tc>
        <w:tc>
          <w:tcPr>
            <w:vAlign w:val="center"/>
          </w:tcPr>
          <w:p>
            <w:pPr>
              <w:jc w:val="right"/>
            </w:pPr>
            <w:r>
              <w:rPr>
                <w:color w:val="000000"/>
                <w:sz w:val="24"/>
                <w:szCs w:val="24"/>
              </w:rPr>
              <w:t>14,214,061.80</w:t>
            </w:r>
          </w:p>
        </w:tc>
        <w:tc>
          <w:tcPr>
            <w:vAlign w:val="center"/>
          </w:tcPr>
          <w:p>
            <w:pPr>
              <w:jc w:val="right"/>
            </w:pPr>
            <w:r>
              <w:rPr>
                <w:color w:val="000000"/>
                <w:sz w:val="24"/>
                <w:szCs w:val="24"/>
              </w:rPr>
              <w:t>4.75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111,191.96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132,987.78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8,244.50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75,615.24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328,039.48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259,192,346.84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14,806,490.05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9,542,865.76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264,455,971.13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1、中国证监会核准交银施罗德趋势优先股票证券投资基金募集的文件；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2、《交银施罗德趋势优先混合型证券投资基金基金合同》； </w:t>
      </w:r>
    </w:p>
    <w:p>
      <w:pPr>
        <w:spacing w:before="29" w:line="288" w:lineRule="auto"/>
        <w:ind w:firstLine="480" w:firstLineChars="200"/>
        <w:rPr>
          <w:color w:val="000000"/>
          <w:sz w:val="24"/>
          <w:szCs w:val="24"/>
        </w:rPr>
      </w:pPr>
      <w:r>
        <w:rPr>
          <w:color w:val="000000"/>
          <w:sz w:val="24"/>
          <w:szCs w:val="24"/>
        </w:rPr>
        <w:t>3、《交银施罗德趋势优先混合型证券投资基金招募说明书》；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4、《交银施罗德趋势优先混合型证券投资基金托管协议》； </w:t>
      </w:r>
    </w:p>
    <w:p>
      <w:pPr>
        <w:spacing w:before="29" w:line="288" w:lineRule="auto"/>
        <w:ind w:firstLine="480" w:firstLineChars="200"/>
        <w:rPr>
          <w:color w:val="000000"/>
          <w:sz w:val="24"/>
          <w:szCs w:val="24"/>
        </w:rPr>
      </w:pPr>
      <w:r>
        <w:rPr>
          <w:color w:val="000000"/>
          <w:sz w:val="24"/>
          <w:szCs w:val="24"/>
        </w:rPr>
        <w:t>5、关于申请募集交银施罗德趋势优先股票证券投资基金之法律意见书；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8、报告期内交银施罗德趋势优先混合型证券投资基金在指定报刊上各项公告的原稿。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交银施罗德趋势优先混合型证券投资基金2018年第4季度报告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