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81857" w:rsidRDefault="00F0587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基金托管人</w:t>
      </w:r>
      <w:r w:rsidR="00A76848">
        <w:rPr>
          <w:rFonts w:hint="eastAsia"/>
          <w:color w:val="000000"/>
          <w:sz w:val="24"/>
          <w:szCs w:val="24"/>
        </w:rPr>
        <w:t>招商</w:t>
      </w:r>
      <w:r>
        <w:rPr>
          <w:color w:val="000000"/>
          <w:sz w:val="24"/>
          <w:szCs w:val="24"/>
        </w:rPr>
        <w:t>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本报告中财务资料未经审计。</w:t>
      </w:r>
    </w:p>
    <w:p w:rsidR="00681857" w:rsidRDefault="00F05870">
      <w:pPr>
        <w:spacing w:before="29" w:line="288" w:lineRule="auto"/>
        <w:ind w:firstLineChars="200" w:firstLine="480"/>
        <w:rPr>
          <w:color w:val="000000"/>
          <w:sz w:val="24"/>
          <w:szCs w:val="24"/>
        </w:rPr>
      </w:pPr>
      <w:r>
        <w:rPr>
          <w:color w:val="000000"/>
          <w:sz w:val="24"/>
          <w:szCs w:val="24"/>
        </w:rPr>
        <w:t>本基金自</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30</w:t>
      </w:r>
      <w:r>
        <w:rPr>
          <w:color w:val="000000"/>
          <w:sz w:val="24"/>
          <w:szCs w:val="24"/>
        </w:rPr>
        <w:t>日起进入清算程序，财务报表数据披露截至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29</w:t>
      </w:r>
      <w:r>
        <w:rPr>
          <w:color w:val="000000"/>
          <w:sz w:val="24"/>
          <w:szCs w:val="24"/>
        </w:rPr>
        <w:t>日</w:t>
      </w:r>
      <w:r>
        <w:rPr>
          <w:color w:val="000000"/>
          <w:sz w:val="24"/>
          <w:szCs w:val="24"/>
        </w:rPr>
        <w:t>(</w:t>
      </w:r>
      <w:r>
        <w:rPr>
          <w:color w:val="000000"/>
          <w:sz w:val="24"/>
          <w:szCs w:val="24"/>
        </w:rPr>
        <w:t>基金最后运作日</w:t>
      </w:r>
      <w:r>
        <w:rPr>
          <w:color w:val="000000"/>
          <w:sz w:val="24"/>
          <w:szCs w:val="24"/>
        </w:rPr>
        <w:t>)</w:t>
      </w: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11</w:t>
      </w:r>
      <w:r w:rsidRPr="00414345">
        <w:rPr>
          <w:color w:val="000000"/>
          <w:sz w:val="24"/>
          <w:szCs w:val="24"/>
        </w:rPr>
        <w:t>月</w:t>
      </w:r>
      <w:r w:rsidRPr="00414345">
        <w:rPr>
          <w:color w:val="000000"/>
          <w:sz w:val="24"/>
          <w:szCs w:val="24"/>
        </w:rPr>
        <w:t>29</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3,038,184.06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05870" w:rsidRPr="00414345" w:rsidTr="00F0587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00F05870" w:rsidRPr="00414345">
              <w:rPr>
                <w:color w:val="000000"/>
                <w:sz w:val="24"/>
                <w:szCs w:val="24"/>
              </w:rPr>
              <w:t>11</w:t>
            </w:r>
            <w:r w:rsidR="00F05870" w:rsidRPr="00414345">
              <w:rPr>
                <w:color w:val="000000"/>
                <w:sz w:val="24"/>
                <w:szCs w:val="24"/>
              </w:rPr>
              <w:t>月</w:t>
            </w:r>
            <w:r w:rsidR="00F05870" w:rsidRPr="00414345">
              <w:rPr>
                <w:color w:val="000000"/>
                <w:sz w:val="24"/>
                <w:szCs w:val="24"/>
              </w:rPr>
              <w:t>29</w:t>
            </w:r>
            <w:r w:rsidR="00F05870" w:rsidRPr="00414345">
              <w:rPr>
                <w:color w:val="000000"/>
                <w:sz w:val="24"/>
                <w:szCs w:val="24"/>
              </w:rPr>
              <w:t>日</w:t>
            </w:r>
            <w:r w:rsidRPr="00414345">
              <w:rPr>
                <w:color w:val="000000"/>
                <w:sz w:val="24"/>
                <w:szCs w:val="24"/>
              </w:rPr>
              <w:t>)</w:t>
            </w:r>
          </w:p>
        </w:tc>
      </w:tr>
      <w:tr w:rsidR="00F05870" w:rsidRPr="00414345" w:rsidTr="00F058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27,485.44</w:t>
            </w:r>
          </w:p>
        </w:tc>
      </w:tr>
      <w:tr w:rsidR="00F05870" w:rsidRPr="00414345" w:rsidTr="00F058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23,385.44</w:t>
            </w:r>
          </w:p>
        </w:tc>
      </w:tr>
      <w:tr w:rsidR="00F05870" w:rsidRPr="00414345" w:rsidTr="00F058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0.0074</w:t>
            </w:r>
          </w:p>
        </w:tc>
      </w:tr>
      <w:tr w:rsidR="00F05870" w:rsidRPr="00414345" w:rsidTr="00F0587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3,640,437.08</w:t>
            </w:r>
          </w:p>
        </w:tc>
      </w:tr>
      <w:tr w:rsidR="00F05870" w:rsidRPr="00414345" w:rsidTr="00F0587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1.198</w:t>
            </w:r>
          </w:p>
        </w:tc>
      </w:tr>
    </w:tbl>
    <w:p w:rsidR="00681857" w:rsidRDefault="00F0587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81857">
        <w:trPr>
          <w:jc w:val="center"/>
        </w:trPr>
        <w:tc>
          <w:tcPr>
            <w:tcW w:w="1701" w:type="dxa"/>
            <w:vAlign w:val="center"/>
          </w:tcPr>
          <w:p w:rsidR="00681857" w:rsidRDefault="00F05870">
            <w:pPr>
              <w:jc w:val="left"/>
            </w:pPr>
            <w:r>
              <w:rPr>
                <w:color w:val="000000"/>
                <w:sz w:val="24"/>
                <w:szCs w:val="24"/>
              </w:rPr>
              <w:t>过去三个月</w:t>
            </w:r>
          </w:p>
        </w:tc>
        <w:tc>
          <w:tcPr>
            <w:tcW w:w="1045" w:type="dxa"/>
            <w:vAlign w:val="center"/>
          </w:tcPr>
          <w:p w:rsidR="00681857" w:rsidRDefault="00F05870">
            <w:pPr>
              <w:jc w:val="center"/>
            </w:pPr>
            <w:r>
              <w:rPr>
                <w:color w:val="000000"/>
                <w:sz w:val="24"/>
                <w:szCs w:val="24"/>
              </w:rPr>
              <w:t>0.59%</w:t>
            </w:r>
          </w:p>
        </w:tc>
        <w:tc>
          <w:tcPr>
            <w:tcW w:w="1344" w:type="dxa"/>
            <w:vAlign w:val="center"/>
          </w:tcPr>
          <w:p w:rsidR="00681857" w:rsidRDefault="00F05870">
            <w:pPr>
              <w:jc w:val="center"/>
            </w:pPr>
            <w:r>
              <w:rPr>
                <w:color w:val="000000"/>
                <w:sz w:val="24"/>
                <w:szCs w:val="24"/>
              </w:rPr>
              <w:t>0.06%</w:t>
            </w:r>
          </w:p>
        </w:tc>
        <w:tc>
          <w:tcPr>
            <w:tcW w:w="1194" w:type="dxa"/>
            <w:vAlign w:val="center"/>
          </w:tcPr>
          <w:p w:rsidR="00681857" w:rsidRDefault="00F05870">
            <w:pPr>
              <w:jc w:val="center"/>
            </w:pPr>
            <w:r>
              <w:rPr>
                <w:color w:val="000000"/>
                <w:sz w:val="24"/>
                <w:szCs w:val="24"/>
              </w:rPr>
              <w:t>-3.68%</w:t>
            </w:r>
          </w:p>
        </w:tc>
        <w:tc>
          <w:tcPr>
            <w:tcW w:w="1492" w:type="dxa"/>
            <w:vAlign w:val="center"/>
          </w:tcPr>
          <w:p w:rsidR="00681857" w:rsidRDefault="00F05870">
            <w:pPr>
              <w:jc w:val="center"/>
            </w:pPr>
            <w:r>
              <w:rPr>
                <w:color w:val="000000"/>
                <w:sz w:val="24"/>
                <w:szCs w:val="24"/>
              </w:rPr>
              <w:t>0.93%</w:t>
            </w:r>
          </w:p>
        </w:tc>
        <w:tc>
          <w:tcPr>
            <w:tcW w:w="1194" w:type="dxa"/>
            <w:vAlign w:val="center"/>
          </w:tcPr>
          <w:p w:rsidR="00681857" w:rsidRDefault="00F05870">
            <w:pPr>
              <w:jc w:val="center"/>
            </w:pPr>
            <w:r>
              <w:rPr>
                <w:color w:val="000000"/>
                <w:sz w:val="24"/>
                <w:szCs w:val="24"/>
              </w:rPr>
              <w:t>4.27%</w:t>
            </w:r>
          </w:p>
        </w:tc>
        <w:tc>
          <w:tcPr>
            <w:tcW w:w="898" w:type="dxa"/>
            <w:vAlign w:val="center"/>
          </w:tcPr>
          <w:p w:rsidR="00681857" w:rsidRDefault="00F05870">
            <w:pPr>
              <w:jc w:val="center"/>
            </w:pPr>
            <w:r>
              <w:rPr>
                <w:color w:val="000000"/>
                <w:sz w:val="24"/>
                <w:szCs w:val="24"/>
              </w:rPr>
              <w:t>-0.87%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F05870" w:rsidRPr="00414345">
        <w:rPr>
          <w:color w:val="000000"/>
          <w:sz w:val="24"/>
          <w:szCs w:val="24"/>
        </w:rPr>
        <w:t>11月29日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个月。截至建仓期结束，本基金各项资产配置比例符合基金合同及招募说明书有关投资比例的约定。自</w:t>
      </w:r>
      <w:r w:rsidRPr="00414345">
        <w:rPr>
          <w:color w:val="000000"/>
          <w:sz w:val="24"/>
          <w:szCs w:val="24"/>
        </w:rPr>
        <w:t>2018</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30</w:t>
      </w:r>
      <w:r w:rsidRPr="00414345">
        <w:rPr>
          <w:color w:val="000000"/>
          <w:sz w:val="24"/>
          <w:szCs w:val="24"/>
        </w:rPr>
        <w:t>日起，本基金进入清算程序，图示日期为</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13</w:t>
      </w:r>
      <w:r w:rsidRPr="00414345">
        <w:rPr>
          <w:color w:val="000000"/>
          <w:sz w:val="24"/>
          <w:szCs w:val="24"/>
        </w:rPr>
        <w:t>日至</w:t>
      </w:r>
      <w:r w:rsidRPr="00414345">
        <w:rPr>
          <w:color w:val="000000"/>
          <w:sz w:val="24"/>
          <w:szCs w:val="24"/>
        </w:rPr>
        <w:t>2018</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29</w:t>
      </w:r>
      <w:r w:rsidRPr="00414345">
        <w:rPr>
          <w:color w:val="000000"/>
          <w:sz w:val="24"/>
          <w:szCs w:val="24"/>
        </w:rPr>
        <w:t>日。</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81857">
        <w:trPr>
          <w:jc w:val="center"/>
        </w:trPr>
        <w:tc>
          <w:tcPr>
            <w:tcW w:w="846" w:type="dxa"/>
            <w:vAlign w:val="center"/>
          </w:tcPr>
          <w:p w:rsidR="00681857" w:rsidRDefault="00F05870">
            <w:pPr>
              <w:jc w:val="center"/>
            </w:pPr>
            <w:r>
              <w:rPr>
                <w:color w:val="000000"/>
                <w:sz w:val="24"/>
                <w:szCs w:val="24"/>
              </w:rPr>
              <w:t>李娜</w:t>
            </w:r>
          </w:p>
        </w:tc>
        <w:tc>
          <w:tcPr>
            <w:tcW w:w="845" w:type="dxa"/>
            <w:vAlign w:val="center"/>
          </w:tcPr>
          <w:p w:rsidR="00681857" w:rsidRDefault="00F05870">
            <w:pPr>
              <w:jc w:val="center"/>
            </w:pPr>
            <w:r>
              <w:rPr>
                <w:color w:val="000000"/>
                <w:sz w:val="24"/>
                <w:szCs w:val="24"/>
              </w:rPr>
              <w:t>交银周期回报灵活配置混合、交银新回报灵活配</w:t>
            </w:r>
            <w:r>
              <w:rPr>
                <w:color w:val="000000"/>
                <w:sz w:val="24"/>
                <w:szCs w:val="24"/>
              </w:rPr>
              <w:lastRenderedPageBreak/>
              <w:t>置混合、交银多策略回报灵活配置混合、交银优选回报灵活配置混合、交银优择回报灵活配置混合、交银领先回报灵活配置混合、交银瑞鑫定期开放灵活配置混合、交银裕祥纯债债券的基金经理</w:t>
            </w:r>
          </w:p>
        </w:tc>
        <w:tc>
          <w:tcPr>
            <w:tcW w:w="1549" w:type="dxa"/>
            <w:vAlign w:val="center"/>
          </w:tcPr>
          <w:p w:rsidR="00681857" w:rsidRDefault="00F05870">
            <w:pPr>
              <w:jc w:val="center"/>
            </w:pPr>
            <w:r>
              <w:rPr>
                <w:color w:val="000000"/>
                <w:sz w:val="24"/>
                <w:szCs w:val="24"/>
              </w:rPr>
              <w:lastRenderedPageBreak/>
              <w:t>2016-09-13</w:t>
            </w:r>
          </w:p>
        </w:tc>
        <w:tc>
          <w:tcPr>
            <w:tcW w:w="1548" w:type="dxa"/>
            <w:vAlign w:val="center"/>
          </w:tcPr>
          <w:p w:rsidR="00681857" w:rsidRDefault="00F05870">
            <w:pPr>
              <w:jc w:val="center"/>
            </w:pPr>
            <w:r>
              <w:rPr>
                <w:color w:val="000000"/>
                <w:sz w:val="24"/>
                <w:szCs w:val="24"/>
              </w:rPr>
              <w:t>-</w:t>
            </w:r>
          </w:p>
        </w:tc>
        <w:tc>
          <w:tcPr>
            <w:tcW w:w="1407" w:type="dxa"/>
            <w:vAlign w:val="center"/>
          </w:tcPr>
          <w:p w:rsidR="00681857" w:rsidRDefault="00F05870">
            <w:pPr>
              <w:jc w:val="center"/>
            </w:pPr>
            <w:r>
              <w:rPr>
                <w:color w:val="000000"/>
                <w:sz w:val="24"/>
                <w:szCs w:val="24"/>
              </w:rPr>
              <w:t>8</w:t>
            </w:r>
            <w:r>
              <w:rPr>
                <w:color w:val="000000"/>
                <w:sz w:val="24"/>
                <w:szCs w:val="24"/>
              </w:rPr>
              <w:t>年</w:t>
            </w:r>
          </w:p>
        </w:tc>
        <w:tc>
          <w:tcPr>
            <w:tcW w:w="2673" w:type="dxa"/>
            <w:vAlign w:val="center"/>
          </w:tcPr>
          <w:p w:rsidR="00681857" w:rsidRDefault="00F05870">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w:t>
            </w:r>
            <w:r>
              <w:rPr>
                <w:color w:val="000000"/>
                <w:sz w:val="24"/>
                <w:szCs w:val="24"/>
              </w:rPr>
              <w:lastRenderedPageBreak/>
              <w:t>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81857" w:rsidRDefault="00F0587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81857" w:rsidRDefault="00F0587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81857" w:rsidRDefault="00F0587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53D47" w:rsidRPr="00253D47" w:rsidRDefault="00253D47" w:rsidP="00253D47">
      <w:pPr>
        <w:spacing w:before="29" w:line="288" w:lineRule="auto"/>
        <w:ind w:firstLineChars="200" w:firstLine="480"/>
        <w:rPr>
          <w:color w:val="000000"/>
          <w:sz w:val="24"/>
          <w:szCs w:val="24"/>
        </w:rPr>
      </w:pPr>
      <w:r w:rsidRPr="00253D47">
        <w:rPr>
          <w:rFonts w:hint="eastAsia"/>
          <w:color w:val="000000"/>
          <w:sz w:val="24"/>
          <w:szCs w:val="24"/>
        </w:rPr>
        <w:t>本报告期内，国内经济增速呈现下行态势，通胀维持低位，市场在两条逻辑线条相互角力下演进，一方面是“宽信用”政策陆续出台，影响基本面预期，从而对债券市场形成阶段性扰动；另一方面，金融数据持续走弱，原油价格快速回落，美联储加息预期下行，工业企业利润和</w:t>
      </w:r>
      <w:r w:rsidRPr="00253D47">
        <w:rPr>
          <w:rFonts w:hint="eastAsia"/>
          <w:color w:val="000000"/>
          <w:sz w:val="24"/>
          <w:szCs w:val="24"/>
        </w:rPr>
        <w:t>PMI</w:t>
      </w:r>
      <w:r w:rsidRPr="00253D47">
        <w:rPr>
          <w:rFonts w:hint="eastAsia"/>
          <w:color w:val="000000"/>
          <w:sz w:val="24"/>
          <w:szCs w:val="24"/>
        </w:rPr>
        <w:t>数据走弱等因素，带动债券市场收益率再度下行。年末资金面呈现季节性结构性紧张，整个收益率曲线呈现牛平态势。权益市场在基本面预期下，面临风险偏好持续回落，呈现震荡下行态势。报告期内，上证综指和创业板指分别下跌</w:t>
      </w:r>
      <w:r w:rsidRPr="00253D47">
        <w:rPr>
          <w:rFonts w:hint="eastAsia"/>
          <w:color w:val="000000"/>
          <w:sz w:val="24"/>
          <w:szCs w:val="24"/>
        </w:rPr>
        <w:t>11.61%</w:t>
      </w:r>
      <w:r w:rsidRPr="00253D47">
        <w:rPr>
          <w:rFonts w:hint="eastAsia"/>
          <w:color w:val="000000"/>
          <w:sz w:val="24"/>
          <w:szCs w:val="24"/>
        </w:rPr>
        <w:t>和</w:t>
      </w:r>
      <w:r w:rsidRPr="00253D47">
        <w:rPr>
          <w:rFonts w:hint="eastAsia"/>
          <w:color w:val="000000"/>
          <w:sz w:val="24"/>
          <w:szCs w:val="24"/>
        </w:rPr>
        <w:t>11.39%</w:t>
      </w:r>
      <w:r w:rsidRPr="00253D47">
        <w:rPr>
          <w:rFonts w:hint="eastAsia"/>
          <w:color w:val="000000"/>
          <w:sz w:val="24"/>
          <w:szCs w:val="24"/>
        </w:rPr>
        <w:t>，十年期国债收益率大幅下行</w:t>
      </w:r>
      <w:r w:rsidRPr="00253D47">
        <w:rPr>
          <w:rFonts w:hint="eastAsia"/>
          <w:color w:val="000000"/>
          <w:sz w:val="24"/>
          <w:szCs w:val="24"/>
        </w:rPr>
        <w:t>39BP</w:t>
      </w:r>
      <w:r w:rsidRPr="00253D47">
        <w:rPr>
          <w:rFonts w:hint="eastAsia"/>
          <w:color w:val="000000"/>
          <w:sz w:val="24"/>
          <w:szCs w:val="24"/>
        </w:rPr>
        <w:t>至</w:t>
      </w:r>
      <w:r w:rsidRPr="00253D47">
        <w:rPr>
          <w:rFonts w:hint="eastAsia"/>
          <w:color w:val="000000"/>
          <w:sz w:val="24"/>
          <w:szCs w:val="24"/>
        </w:rPr>
        <w:t>3.22%</w:t>
      </w:r>
      <w:r w:rsidRPr="00253D47">
        <w:rPr>
          <w:rFonts w:hint="eastAsia"/>
          <w:color w:val="000000"/>
          <w:sz w:val="24"/>
          <w:szCs w:val="24"/>
        </w:rPr>
        <w:t>，十年期国开债收益率大</w:t>
      </w:r>
      <w:r w:rsidRPr="00253D47">
        <w:rPr>
          <w:rFonts w:hint="eastAsia"/>
          <w:color w:val="000000"/>
          <w:sz w:val="24"/>
          <w:szCs w:val="24"/>
        </w:rPr>
        <w:lastRenderedPageBreak/>
        <w:t>幅下行</w:t>
      </w:r>
      <w:r w:rsidRPr="00253D47">
        <w:rPr>
          <w:rFonts w:hint="eastAsia"/>
          <w:color w:val="000000"/>
          <w:sz w:val="24"/>
          <w:szCs w:val="24"/>
        </w:rPr>
        <w:t>56BP</w:t>
      </w:r>
      <w:r w:rsidRPr="00253D47">
        <w:rPr>
          <w:rFonts w:hint="eastAsia"/>
          <w:color w:val="000000"/>
          <w:sz w:val="24"/>
          <w:szCs w:val="24"/>
        </w:rPr>
        <w:t>至</w:t>
      </w:r>
      <w:r w:rsidRPr="00253D47">
        <w:rPr>
          <w:rFonts w:hint="eastAsia"/>
          <w:color w:val="000000"/>
          <w:sz w:val="24"/>
          <w:szCs w:val="24"/>
        </w:rPr>
        <w:t>3.65%</w:t>
      </w:r>
      <w:r w:rsidRPr="00253D47">
        <w:rPr>
          <w:rFonts w:hint="eastAsia"/>
          <w:color w:val="000000"/>
          <w:sz w:val="24"/>
          <w:szCs w:val="24"/>
        </w:rPr>
        <w:t>。</w:t>
      </w:r>
    </w:p>
    <w:p w:rsidR="00627E2D" w:rsidRDefault="00253D47" w:rsidP="00253D47">
      <w:pPr>
        <w:spacing w:before="29" w:line="288" w:lineRule="auto"/>
        <w:ind w:firstLineChars="200" w:firstLine="480"/>
        <w:rPr>
          <w:color w:val="000000"/>
          <w:sz w:val="24"/>
          <w:szCs w:val="24"/>
        </w:rPr>
      </w:pPr>
      <w:r w:rsidRPr="00253D47">
        <w:rPr>
          <w:rFonts w:hint="eastAsia"/>
          <w:color w:val="000000"/>
          <w:sz w:val="24"/>
          <w:szCs w:val="24"/>
        </w:rPr>
        <w:t>策略层面，由于触发基金合同终止情形，本基金进入基金财产清算程序，按照要求进行产品清盘操作。本基金将配合基金财产清算小组作好产品清盘工作。</w:t>
      </w:r>
    </w:p>
    <w:p w:rsidR="00253D47" w:rsidRPr="00414345" w:rsidRDefault="00253D47" w:rsidP="00253D47">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DA262C" w:rsidP="00C15CAC">
      <w:pPr>
        <w:spacing w:before="29" w:line="288" w:lineRule="auto"/>
        <w:ind w:firstLineChars="200" w:firstLine="480"/>
        <w:rPr>
          <w:color w:val="000000"/>
          <w:sz w:val="24"/>
          <w:szCs w:val="24"/>
        </w:rPr>
      </w:pPr>
      <w:r w:rsidRPr="00DA262C">
        <w:rPr>
          <w:rFonts w:hint="eastAsia"/>
          <w:color w:val="000000"/>
          <w:sz w:val="24"/>
          <w:szCs w:val="24"/>
        </w:rPr>
        <w:t>本基金（各类）份额净值及业绩表现请见“</w:t>
      </w:r>
      <w:r w:rsidRPr="00DA262C">
        <w:rPr>
          <w:rFonts w:hint="eastAsia"/>
          <w:color w:val="000000"/>
          <w:sz w:val="24"/>
          <w:szCs w:val="24"/>
        </w:rPr>
        <w:t xml:space="preserve">3.1 </w:t>
      </w:r>
      <w:r w:rsidRPr="00DA262C">
        <w:rPr>
          <w:rFonts w:hint="eastAsia"/>
          <w:color w:val="000000"/>
          <w:sz w:val="24"/>
          <w:szCs w:val="24"/>
        </w:rPr>
        <w:t>主要财务指标”</w:t>
      </w:r>
      <w:r w:rsidRPr="00DA262C">
        <w:rPr>
          <w:rFonts w:hint="eastAsia"/>
          <w:color w:val="000000"/>
          <w:sz w:val="24"/>
          <w:szCs w:val="24"/>
        </w:rPr>
        <w:t xml:space="preserve"> </w:t>
      </w:r>
      <w:r w:rsidRPr="00DA262C">
        <w:rPr>
          <w:rFonts w:hint="eastAsia"/>
          <w:color w:val="000000"/>
          <w:sz w:val="24"/>
          <w:szCs w:val="24"/>
        </w:rPr>
        <w:t>及“</w:t>
      </w:r>
      <w:r w:rsidRPr="00DA262C">
        <w:rPr>
          <w:rFonts w:hint="eastAsia"/>
          <w:color w:val="000000"/>
          <w:sz w:val="24"/>
          <w:szCs w:val="24"/>
        </w:rPr>
        <w:t>3.2.1</w:t>
      </w:r>
      <w:r w:rsidRPr="00DA262C">
        <w:rPr>
          <w:rFonts w:hint="eastAsia"/>
          <w:color w:val="000000"/>
          <w:sz w:val="24"/>
          <w:szCs w:val="24"/>
        </w:rPr>
        <w:t>本报告期基金份额净值增长率及其与同期业绩比较基准收益率的比较”部分披露。</w:t>
      </w:r>
    </w:p>
    <w:p w:rsidR="00DA262C" w:rsidRPr="00414345" w:rsidRDefault="00DA262C"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67789F" w:rsidRDefault="0067789F" w:rsidP="0067789F">
      <w:pPr>
        <w:spacing w:before="29" w:line="288" w:lineRule="auto"/>
        <w:ind w:firstLineChars="200" w:firstLine="480"/>
        <w:rPr>
          <w:color w:val="000000"/>
          <w:sz w:val="24"/>
          <w:szCs w:val="24"/>
        </w:rPr>
      </w:pPr>
      <w:r w:rsidRPr="0067789F">
        <w:rPr>
          <w:rFonts w:hint="eastAsia"/>
          <w:color w:val="000000"/>
          <w:sz w:val="24"/>
          <w:szCs w:val="24"/>
        </w:rPr>
        <w:t>根据基金合同的约定，本基金已于</w:t>
      </w:r>
      <w:r w:rsidRPr="0067789F">
        <w:rPr>
          <w:color w:val="000000"/>
          <w:sz w:val="24"/>
          <w:szCs w:val="24"/>
        </w:rPr>
        <w:t>2018</w:t>
      </w:r>
      <w:r w:rsidRPr="0067789F">
        <w:rPr>
          <w:rFonts w:hint="eastAsia"/>
          <w:color w:val="000000"/>
          <w:sz w:val="24"/>
          <w:szCs w:val="24"/>
        </w:rPr>
        <w:t>年</w:t>
      </w:r>
      <w:r w:rsidRPr="0067789F">
        <w:rPr>
          <w:color w:val="000000"/>
          <w:sz w:val="24"/>
          <w:szCs w:val="24"/>
        </w:rPr>
        <w:t>11</w:t>
      </w:r>
      <w:r w:rsidRPr="0067789F">
        <w:rPr>
          <w:rFonts w:hint="eastAsia"/>
          <w:color w:val="000000"/>
          <w:sz w:val="24"/>
          <w:szCs w:val="24"/>
        </w:rPr>
        <w:t>月</w:t>
      </w:r>
      <w:r w:rsidRPr="0067789F">
        <w:rPr>
          <w:color w:val="000000"/>
          <w:sz w:val="24"/>
          <w:szCs w:val="24"/>
        </w:rPr>
        <w:t>30</w:t>
      </w:r>
      <w:r w:rsidRPr="0067789F">
        <w:rPr>
          <w:rFonts w:hint="eastAsia"/>
          <w:color w:val="000000"/>
          <w:sz w:val="24"/>
          <w:szCs w:val="24"/>
        </w:rPr>
        <w:t>日进入清算程序。</w:t>
      </w:r>
    </w:p>
    <w:p w:rsidR="0067789F" w:rsidRDefault="0067789F" w:rsidP="0067789F">
      <w:pPr>
        <w:spacing w:before="29" w:line="288" w:lineRule="auto"/>
        <w:ind w:firstLineChars="200" w:firstLine="482"/>
        <w:rPr>
          <w:rFonts w:hint="eastAsia"/>
          <w:b/>
          <w:bCs/>
          <w:color w:val="000000"/>
          <w:kern w:val="0"/>
          <w:sz w:val="24"/>
          <w:szCs w:val="24"/>
        </w:rPr>
      </w:pPr>
      <w:bookmarkStart w:id="0" w:name="_GoBack"/>
      <w:bookmarkEnd w:id="0"/>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717,803.93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43,189.91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760,993.84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E5075D" w:rsidRPr="00414345" w:rsidRDefault="00E5075D" w:rsidP="00C15CAC">
      <w:pPr>
        <w:autoSpaceDE w:val="0"/>
        <w:autoSpaceDN w:val="0"/>
        <w:adjustRightInd w:val="0"/>
        <w:spacing w:before="29" w:line="288" w:lineRule="auto"/>
        <w:jc w:val="left"/>
        <w:rPr>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w:t>
      </w:r>
      <w:r w:rsidRPr="00BE5388">
        <w:rPr>
          <w:bCs/>
          <w:color w:val="000000"/>
          <w:kern w:val="0"/>
          <w:sz w:val="24"/>
          <w:szCs w:val="24"/>
        </w:rPr>
        <w:lastRenderedPageBreak/>
        <w:t>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41,781.37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1,408.54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43,189.91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81857" w:rsidRDefault="00F05870">
      <w:pPr>
        <w:spacing w:before="29" w:line="288" w:lineRule="auto"/>
        <w:rPr>
          <w:color w:val="000000"/>
          <w:sz w:val="24"/>
          <w:szCs w:val="24"/>
        </w:rPr>
      </w:pPr>
      <w:r>
        <w:rPr>
          <w:color w:val="000000"/>
          <w:sz w:val="24"/>
          <w:szCs w:val="24"/>
        </w:rPr>
        <w:t>1</w:t>
      </w:r>
      <w:r>
        <w:rPr>
          <w:color w:val="000000"/>
          <w:sz w:val="24"/>
          <w:szCs w:val="24"/>
        </w:rPr>
        <w:t>、由于四舍五入的原因，分项之和与合计项之间可能存在尾差。</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、上述投资组合报告期末是指基金合同最后运作日，即</w:t>
      </w:r>
      <w:r w:rsidRPr="00414345">
        <w:rPr>
          <w:color w:val="000000"/>
          <w:sz w:val="24"/>
          <w:szCs w:val="24"/>
        </w:rPr>
        <w:t>2018</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29</w:t>
      </w:r>
      <w:r w:rsidRPr="00414345">
        <w:rPr>
          <w:color w:val="000000"/>
          <w:sz w:val="24"/>
          <w:szCs w:val="24"/>
        </w:rPr>
        <w:t>日。</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3,060,245.02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235,111.67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257,172.63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3,038,184.06</w:t>
            </w:r>
          </w:p>
        </w:tc>
      </w:tr>
    </w:tbl>
    <w:p w:rsidR="00681857" w:rsidRDefault="00F0587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E5075D"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E5075D">
        <w:rPr>
          <w:rFonts w:asciiTheme="minorEastAsia" w:eastAsiaTheme="minorEastAsia" w:hAnsiTheme="minorEastAsia" w:hint="eastAsia"/>
          <w:color w:val="000000" w:themeColor="text1"/>
          <w:kern w:val="0"/>
          <w:sz w:val="24"/>
          <w:szCs w:val="24"/>
        </w:rPr>
        <w:t>§9</w:t>
      </w:r>
      <w:r w:rsidRPr="00E5075D">
        <w:rPr>
          <w:rFonts w:asciiTheme="minorEastAsia" w:eastAsiaTheme="minorEastAsia" w:hAnsiTheme="minorEastAsia"/>
          <w:color w:val="000000" w:themeColor="text1"/>
          <w:kern w:val="0"/>
          <w:sz w:val="24"/>
          <w:szCs w:val="24"/>
        </w:rPr>
        <w:t xml:space="preserve">  </w:t>
      </w:r>
      <w:r w:rsidRPr="00E5075D">
        <w:rPr>
          <w:rFonts w:asciiTheme="minorEastAsia" w:eastAsiaTheme="minorEastAsia" w:hAnsiTheme="minorEastAsia" w:hint="eastAsia"/>
          <w:color w:val="000000" w:themeColor="text1"/>
          <w:kern w:val="0"/>
          <w:sz w:val="24"/>
          <w:szCs w:val="24"/>
        </w:rPr>
        <w:t>影响投资者决策的其他重要信息</w:t>
      </w:r>
    </w:p>
    <w:p w:rsidR="003C50AD" w:rsidRPr="00E5075D" w:rsidRDefault="003C50AD" w:rsidP="003C50AD">
      <w:pPr>
        <w:autoSpaceDE w:val="0"/>
        <w:autoSpaceDN w:val="0"/>
        <w:adjustRightInd w:val="0"/>
        <w:spacing w:line="360" w:lineRule="auto"/>
        <w:jc w:val="left"/>
        <w:rPr>
          <w:rFonts w:ascii="宋体" w:hAnsi="宋体"/>
          <w:b/>
          <w:bCs/>
          <w:color w:val="000000"/>
          <w:kern w:val="0"/>
          <w:sz w:val="24"/>
          <w:szCs w:val="24"/>
        </w:rPr>
      </w:pPr>
      <w:r w:rsidRPr="00E5075D">
        <w:rPr>
          <w:rFonts w:ascii="宋体" w:hAnsi="宋体"/>
          <w:b/>
          <w:bCs/>
          <w:color w:val="000000"/>
          <w:kern w:val="0"/>
          <w:sz w:val="24"/>
          <w:szCs w:val="24"/>
        </w:rPr>
        <w:t>9.</w:t>
      </w:r>
      <w:r w:rsidRPr="00E5075D">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E5075D" w:rsidTr="00424D30">
        <w:tc>
          <w:tcPr>
            <w:tcW w:w="993" w:type="dxa"/>
            <w:vMerge w:val="restart"/>
            <w:vAlign w:val="center"/>
          </w:tcPr>
          <w:p w:rsidR="003C50AD" w:rsidRPr="00E5075D" w:rsidRDefault="003C50AD" w:rsidP="00424D30">
            <w:pPr>
              <w:autoSpaceDE w:val="0"/>
              <w:autoSpaceDN w:val="0"/>
              <w:adjustRightInd w:val="0"/>
              <w:jc w:val="center"/>
              <w:rPr>
                <w:rFonts w:ascii="宋体" w:hAnsi="宋体"/>
                <w:b/>
                <w:bCs/>
                <w:color w:val="000000"/>
                <w:kern w:val="0"/>
                <w:sz w:val="24"/>
                <w:szCs w:val="24"/>
              </w:rPr>
            </w:pPr>
            <w:r w:rsidRPr="00E5075D">
              <w:rPr>
                <w:rFonts w:ascii="宋体" w:hAnsi="宋体" w:hint="eastAsia"/>
                <w:color w:val="000000"/>
                <w:kern w:val="0"/>
                <w:sz w:val="24"/>
                <w:szCs w:val="24"/>
              </w:rPr>
              <w:t>投资者类别</w:t>
            </w:r>
            <w:r w:rsidRPr="00E5075D">
              <w:rPr>
                <w:rFonts w:ascii="宋体" w:hAnsi="宋体"/>
                <w:color w:val="000000"/>
                <w:kern w:val="0"/>
                <w:sz w:val="24"/>
                <w:szCs w:val="24"/>
              </w:rPr>
              <w:t xml:space="preserve">  </w:t>
            </w:r>
          </w:p>
        </w:tc>
        <w:tc>
          <w:tcPr>
            <w:tcW w:w="5670" w:type="dxa"/>
            <w:gridSpan w:val="5"/>
            <w:vAlign w:val="center"/>
          </w:tcPr>
          <w:p w:rsidR="003C50AD" w:rsidRPr="00E5075D" w:rsidRDefault="003C50AD" w:rsidP="00424D30">
            <w:pPr>
              <w:autoSpaceDE w:val="0"/>
              <w:autoSpaceDN w:val="0"/>
              <w:adjustRightInd w:val="0"/>
              <w:jc w:val="center"/>
              <w:rPr>
                <w:rFonts w:ascii="宋体" w:hAnsi="宋体"/>
                <w:b/>
                <w:bCs/>
                <w:color w:val="000000"/>
                <w:kern w:val="0"/>
                <w:sz w:val="24"/>
                <w:szCs w:val="24"/>
              </w:rPr>
            </w:pPr>
            <w:r w:rsidRPr="00E5075D">
              <w:rPr>
                <w:rFonts w:ascii="宋体" w:hAnsi="宋体" w:hint="eastAsia"/>
                <w:color w:val="000000"/>
                <w:kern w:val="0"/>
                <w:sz w:val="24"/>
                <w:szCs w:val="24"/>
              </w:rPr>
              <w:t>报告期内持有基金份额变化情况</w:t>
            </w:r>
          </w:p>
        </w:tc>
        <w:tc>
          <w:tcPr>
            <w:tcW w:w="2549" w:type="dxa"/>
            <w:gridSpan w:val="2"/>
            <w:vAlign w:val="center"/>
          </w:tcPr>
          <w:p w:rsidR="003C50AD" w:rsidRPr="00E5075D" w:rsidRDefault="003C50AD" w:rsidP="00424D30">
            <w:pPr>
              <w:autoSpaceDE w:val="0"/>
              <w:autoSpaceDN w:val="0"/>
              <w:adjustRightInd w:val="0"/>
              <w:jc w:val="center"/>
              <w:rPr>
                <w:rFonts w:ascii="宋体" w:hAnsi="宋体"/>
                <w:b/>
                <w:bCs/>
                <w:color w:val="000000"/>
                <w:kern w:val="0"/>
                <w:sz w:val="24"/>
                <w:szCs w:val="24"/>
              </w:rPr>
            </w:pPr>
            <w:r w:rsidRPr="00E5075D">
              <w:rPr>
                <w:rFonts w:ascii="宋体" w:hAnsi="宋体" w:hint="eastAsia"/>
                <w:color w:val="000000"/>
                <w:kern w:val="0"/>
                <w:sz w:val="24"/>
                <w:szCs w:val="24"/>
              </w:rPr>
              <w:t>报告期末持有基金情况</w:t>
            </w:r>
          </w:p>
        </w:tc>
      </w:tr>
      <w:tr w:rsidR="003C50AD" w:rsidRPr="00E5075D" w:rsidTr="00424D30">
        <w:tc>
          <w:tcPr>
            <w:tcW w:w="993" w:type="dxa"/>
            <w:vMerge/>
            <w:vAlign w:val="center"/>
          </w:tcPr>
          <w:p w:rsidR="003C50AD" w:rsidRPr="00E5075D" w:rsidRDefault="003C50AD" w:rsidP="00424D30">
            <w:pPr>
              <w:autoSpaceDE w:val="0"/>
              <w:autoSpaceDN w:val="0"/>
              <w:adjustRightInd w:val="0"/>
              <w:jc w:val="center"/>
              <w:rPr>
                <w:rFonts w:ascii="宋体" w:hAnsi="宋体"/>
                <w:b/>
                <w:bCs/>
                <w:color w:val="000000"/>
                <w:kern w:val="0"/>
                <w:sz w:val="24"/>
                <w:szCs w:val="24"/>
              </w:rPr>
            </w:pPr>
          </w:p>
        </w:tc>
        <w:tc>
          <w:tcPr>
            <w:tcW w:w="992" w:type="dxa"/>
            <w:vAlign w:val="center"/>
          </w:tcPr>
          <w:p w:rsidR="003C50AD" w:rsidRPr="00E5075D" w:rsidRDefault="003C50AD" w:rsidP="00424D30">
            <w:pPr>
              <w:autoSpaceDE w:val="0"/>
              <w:autoSpaceDN w:val="0"/>
              <w:adjustRightInd w:val="0"/>
              <w:jc w:val="center"/>
              <w:rPr>
                <w:rFonts w:ascii="宋体" w:hAnsi="宋体"/>
                <w:b/>
                <w:bCs/>
                <w:color w:val="000000"/>
                <w:kern w:val="0"/>
                <w:sz w:val="24"/>
                <w:szCs w:val="24"/>
              </w:rPr>
            </w:pPr>
            <w:r w:rsidRPr="00E5075D">
              <w:rPr>
                <w:rFonts w:ascii="宋体" w:hAnsi="宋体" w:hint="eastAsia"/>
                <w:color w:val="000000"/>
                <w:kern w:val="0"/>
                <w:sz w:val="24"/>
                <w:szCs w:val="24"/>
              </w:rPr>
              <w:t>序号</w:t>
            </w:r>
          </w:p>
        </w:tc>
        <w:tc>
          <w:tcPr>
            <w:tcW w:w="1843" w:type="dxa"/>
            <w:vAlign w:val="center"/>
          </w:tcPr>
          <w:p w:rsidR="003C50AD" w:rsidRPr="00E5075D" w:rsidRDefault="003C50AD" w:rsidP="00424D30">
            <w:pPr>
              <w:autoSpaceDE w:val="0"/>
              <w:autoSpaceDN w:val="0"/>
              <w:adjustRightInd w:val="0"/>
              <w:jc w:val="center"/>
              <w:rPr>
                <w:rFonts w:ascii="宋体" w:hAnsi="宋体"/>
                <w:b/>
                <w:bCs/>
                <w:color w:val="000000"/>
                <w:kern w:val="0"/>
                <w:sz w:val="24"/>
                <w:szCs w:val="24"/>
              </w:rPr>
            </w:pPr>
            <w:r w:rsidRPr="00E5075D">
              <w:rPr>
                <w:rFonts w:ascii="宋体" w:hAnsi="宋体" w:hint="eastAsia"/>
                <w:color w:val="000000"/>
                <w:kern w:val="0"/>
                <w:sz w:val="24"/>
                <w:szCs w:val="24"/>
              </w:rPr>
              <w:t>持有基金份额比例达到或者超过20%的时间区间</w:t>
            </w:r>
          </w:p>
        </w:tc>
        <w:tc>
          <w:tcPr>
            <w:tcW w:w="851" w:type="dxa"/>
            <w:vAlign w:val="center"/>
          </w:tcPr>
          <w:p w:rsidR="003C50AD" w:rsidRPr="00E5075D" w:rsidRDefault="003C50AD" w:rsidP="00424D30">
            <w:pPr>
              <w:widowControl/>
              <w:jc w:val="center"/>
              <w:rPr>
                <w:rFonts w:ascii="宋体" w:hAnsi="宋体"/>
                <w:b/>
                <w:bCs/>
                <w:color w:val="000000"/>
                <w:kern w:val="0"/>
                <w:sz w:val="24"/>
                <w:szCs w:val="24"/>
              </w:rPr>
            </w:pPr>
            <w:r w:rsidRPr="00E5075D">
              <w:rPr>
                <w:rFonts w:ascii="宋体" w:hAnsi="宋体" w:hint="eastAsia"/>
                <w:color w:val="000000"/>
                <w:kern w:val="0"/>
                <w:sz w:val="24"/>
                <w:szCs w:val="24"/>
              </w:rPr>
              <w:t>期初份额</w:t>
            </w:r>
          </w:p>
        </w:tc>
        <w:tc>
          <w:tcPr>
            <w:tcW w:w="850" w:type="dxa"/>
            <w:vAlign w:val="center"/>
          </w:tcPr>
          <w:p w:rsidR="003C50AD" w:rsidRPr="00E5075D" w:rsidRDefault="003C50AD" w:rsidP="00424D30">
            <w:pPr>
              <w:widowControl/>
              <w:jc w:val="center"/>
              <w:rPr>
                <w:rFonts w:ascii="宋体" w:hAnsi="宋体"/>
                <w:b/>
                <w:bCs/>
                <w:color w:val="000000"/>
                <w:kern w:val="0"/>
                <w:sz w:val="24"/>
                <w:szCs w:val="24"/>
              </w:rPr>
            </w:pPr>
            <w:r w:rsidRPr="00E5075D">
              <w:rPr>
                <w:rFonts w:ascii="宋体" w:hAnsi="宋体" w:hint="eastAsia"/>
                <w:color w:val="000000"/>
                <w:kern w:val="0"/>
                <w:sz w:val="24"/>
                <w:szCs w:val="24"/>
              </w:rPr>
              <w:t>申购份额</w:t>
            </w:r>
          </w:p>
        </w:tc>
        <w:tc>
          <w:tcPr>
            <w:tcW w:w="1134" w:type="dxa"/>
            <w:vAlign w:val="center"/>
          </w:tcPr>
          <w:p w:rsidR="003C50AD" w:rsidRPr="00E5075D" w:rsidRDefault="003C50AD" w:rsidP="00424D30">
            <w:pPr>
              <w:widowControl/>
              <w:jc w:val="center"/>
              <w:rPr>
                <w:rFonts w:ascii="宋体" w:hAnsi="宋体"/>
                <w:b/>
                <w:bCs/>
                <w:color w:val="000000"/>
                <w:kern w:val="0"/>
                <w:sz w:val="24"/>
                <w:szCs w:val="24"/>
              </w:rPr>
            </w:pPr>
            <w:r w:rsidRPr="00E5075D">
              <w:rPr>
                <w:rFonts w:ascii="宋体" w:hAnsi="宋体" w:hint="eastAsia"/>
                <w:color w:val="000000"/>
                <w:kern w:val="0"/>
                <w:sz w:val="24"/>
                <w:szCs w:val="24"/>
              </w:rPr>
              <w:t>赎回份额</w:t>
            </w:r>
          </w:p>
        </w:tc>
        <w:tc>
          <w:tcPr>
            <w:tcW w:w="1419" w:type="dxa"/>
            <w:vAlign w:val="center"/>
          </w:tcPr>
          <w:p w:rsidR="003C50AD" w:rsidRPr="00E5075D" w:rsidRDefault="003C50AD" w:rsidP="00424D30">
            <w:pPr>
              <w:autoSpaceDE w:val="0"/>
              <w:autoSpaceDN w:val="0"/>
              <w:adjustRightInd w:val="0"/>
              <w:jc w:val="center"/>
              <w:rPr>
                <w:rFonts w:ascii="宋体" w:hAnsi="宋体"/>
                <w:b/>
                <w:bCs/>
                <w:color w:val="000000"/>
                <w:kern w:val="0"/>
                <w:sz w:val="24"/>
                <w:szCs w:val="24"/>
              </w:rPr>
            </w:pPr>
            <w:r w:rsidRPr="00E5075D">
              <w:rPr>
                <w:rFonts w:ascii="宋体" w:hAnsi="宋体" w:hint="eastAsia"/>
                <w:color w:val="000000"/>
                <w:kern w:val="0"/>
                <w:sz w:val="24"/>
                <w:szCs w:val="24"/>
              </w:rPr>
              <w:t>持有份额</w:t>
            </w:r>
          </w:p>
        </w:tc>
        <w:tc>
          <w:tcPr>
            <w:tcW w:w="1130" w:type="dxa"/>
            <w:vAlign w:val="center"/>
          </w:tcPr>
          <w:p w:rsidR="003C50AD" w:rsidRPr="00E5075D" w:rsidRDefault="003C50AD" w:rsidP="00424D30">
            <w:pPr>
              <w:autoSpaceDE w:val="0"/>
              <w:autoSpaceDN w:val="0"/>
              <w:adjustRightInd w:val="0"/>
              <w:jc w:val="center"/>
              <w:rPr>
                <w:rFonts w:ascii="宋体" w:hAnsi="宋体"/>
                <w:b/>
                <w:bCs/>
                <w:color w:val="000000"/>
                <w:kern w:val="0"/>
                <w:sz w:val="24"/>
                <w:szCs w:val="24"/>
              </w:rPr>
            </w:pPr>
            <w:r w:rsidRPr="00E5075D">
              <w:rPr>
                <w:rFonts w:ascii="宋体" w:hAnsi="宋体" w:hint="eastAsia"/>
                <w:color w:val="000000"/>
                <w:kern w:val="0"/>
                <w:sz w:val="24"/>
                <w:szCs w:val="24"/>
              </w:rPr>
              <w:t>份额占比</w:t>
            </w:r>
          </w:p>
        </w:tc>
      </w:tr>
      <w:tr w:rsidR="00681857" w:rsidRPr="00E5075D">
        <w:tc>
          <w:tcPr>
            <w:tcW w:w="993" w:type="dxa"/>
            <w:vMerge w:val="restart"/>
          </w:tcPr>
          <w:p w:rsidR="00681857" w:rsidRPr="00E5075D" w:rsidRDefault="00681857">
            <w:pPr>
              <w:rPr>
                <w:sz w:val="24"/>
                <w:szCs w:val="24"/>
              </w:rPr>
            </w:pPr>
          </w:p>
          <w:p w:rsidR="00681857" w:rsidRPr="00E5075D" w:rsidRDefault="00F05870">
            <w:pPr>
              <w:rPr>
                <w:sz w:val="24"/>
                <w:szCs w:val="24"/>
              </w:rPr>
            </w:pPr>
            <w:r w:rsidRPr="00E5075D">
              <w:rPr>
                <w:rFonts w:ascii="宋体" w:hAnsi="宋体" w:hint="eastAsia"/>
                <w:bCs/>
                <w:color w:val="000000"/>
                <w:kern w:val="0"/>
                <w:sz w:val="24"/>
                <w:szCs w:val="24"/>
              </w:rPr>
              <w:lastRenderedPageBreak/>
              <w:t>机构</w:t>
            </w:r>
          </w:p>
        </w:tc>
        <w:tc>
          <w:tcPr>
            <w:tcW w:w="992" w:type="dxa"/>
            <w:vAlign w:val="center"/>
          </w:tcPr>
          <w:p w:rsidR="00681857" w:rsidRPr="00E5075D" w:rsidRDefault="00F05870">
            <w:pPr>
              <w:jc w:val="center"/>
              <w:rPr>
                <w:sz w:val="24"/>
                <w:szCs w:val="24"/>
              </w:rPr>
            </w:pPr>
            <w:r w:rsidRPr="00E5075D">
              <w:rPr>
                <w:rFonts w:ascii="宋体" w:hAnsi="宋体"/>
                <w:color w:val="000000"/>
                <w:kern w:val="0"/>
                <w:sz w:val="24"/>
                <w:szCs w:val="24"/>
              </w:rPr>
              <w:lastRenderedPageBreak/>
              <w:t>1</w:t>
            </w:r>
          </w:p>
        </w:tc>
        <w:tc>
          <w:tcPr>
            <w:tcW w:w="1843" w:type="dxa"/>
            <w:vAlign w:val="center"/>
          </w:tcPr>
          <w:p w:rsidR="00681857" w:rsidRPr="00E5075D" w:rsidRDefault="00F05870">
            <w:pPr>
              <w:jc w:val="center"/>
              <w:rPr>
                <w:sz w:val="24"/>
                <w:szCs w:val="24"/>
              </w:rPr>
            </w:pPr>
            <w:r w:rsidRPr="00E5075D">
              <w:rPr>
                <w:rFonts w:ascii="宋体" w:hAnsi="宋体"/>
                <w:color w:val="000000"/>
                <w:kern w:val="0"/>
                <w:sz w:val="24"/>
                <w:szCs w:val="24"/>
              </w:rPr>
              <w:t>2018/10/1-201</w:t>
            </w:r>
            <w:r w:rsidRPr="00E5075D">
              <w:rPr>
                <w:rFonts w:ascii="宋体" w:hAnsi="宋体"/>
                <w:color w:val="000000"/>
                <w:kern w:val="0"/>
                <w:sz w:val="24"/>
                <w:szCs w:val="24"/>
              </w:rPr>
              <w:lastRenderedPageBreak/>
              <w:t>8/12/31</w:t>
            </w:r>
          </w:p>
        </w:tc>
        <w:tc>
          <w:tcPr>
            <w:tcW w:w="851" w:type="dxa"/>
            <w:vAlign w:val="center"/>
          </w:tcPr>
          <w:p w:rsidR="00681857" w:rsidRPr="00E5075D" w:rsidRDefault="00F05870">
            <w:pPr>
              <w:jc w:val="center"/>
              <w:rPr>
                <w:sz w:val="24"/>
                <w:szCs w:val="24"/>
              </w:rPr>
            </w:pPr>
            <w:r w:rsidRPr="00E5075D">
              <w:rPr>
                <w:rFonts w:ascii="宋体" w:hAnsi="宋体"/>
                <w:color w:val="000000"/>
                <w:kern w:val="0"/>
                <w:sz w:val="24"/>
                <w:szCs w:val="24"/>
              </w:rPr>
              <w:lastRenderedPageBreak/>
              <w:t>2,651</w:t>
            </w:r>
            <w:r w:rsidRPr="00E5075D">
              <w:rPr>
                <w:rFonts w:ascii="宋体" w:hAnsi="宋体"/>
                <w:color w:val="000000"/>
                <w:kern w:val="0"/>
                <w:sz w:val="24"/>
                <w:szCs w:val="24"/>
              </w:rPr>
              <w:lastRenderedPageBreak/>
              <w:t>,183.00</w:t>
            </w:r>
          </w:p>
        </w:tc>
        <w:tc>
          <w:tcPr>
            <w:tcW w:w="850" w:type="dxa"/>
            <w:vAlign w:val="center"/>
          </w:tcPr>
          <w:p w:rsidR="00681857" w:rsidRPr="00E5075D" w:rsidRDefault="00F05870">
            <w:pPr>
              <w:jc w:val="center"/>
              <w:rPr>
                <w:sz w:val="24"/>
                <w:szCs w:val="24"/>
              </w:rPr>
            </w:pPr>
            <w:r w:rsidRPr="00E5075D">
              <w:rPr>
                <w:rFonts w:ascii="宋体" w:hAnsi="宋体"/>
                <w:color w:val="000000"/>
                <w:kern w:val="0"/>
                <w:sz w:val="24"/>
                <w:szCs w:val="24"/>
              </w:rPr>
              <w:lastRenderedPageBreak/>
              <w:t>-</w:t>
            </w:r>
          </w:p>
        </w:tc>
        <w:tc>
          <w:tcPr>
            <w:tcW w:w="1134" w:type="dxa"/>
            <w:vAlign w:val="center"/>
          </w:tcPr>
          <w:p w:rsidR="00681857" w:rsidRPr="00E5075D" w:rsidRDefault="00F05870">
            <w:pPr>
              <w:jc w:val="center"/>
              <w:rPr>
                <w:sz w:val="24"/>
                <w:szCs w:val="24"/>
              </w:rPr>
            </w:pPr>
            <w:r w:rsidRPr="00E5075D">
              <w:rPr>
                <w:rFonts w:ascii="宋体" w:hAnsi="宋体"/>
                <w:color w:val="000000"/>
                <w:kern w:val="0"/>
                <w:sz w:val="24"/>
                <w:szCs w:val="24"/>
              </w:rPr>
              <w:t>-</w:t>
            </w:r>
          </w:p>
        </w:tc>
        <w:tc>
          <w:tcPr>
            <w:tcW w:w="1419" w:type="dxa"/>
            <w:vAlign w:val="center"/>
          </w:tcPr>
          <w:p w:rsidR="00681857" w:rsidRPr="00E5075D" w:rsidRDefault="00F05870">
            <w:pPr>
              <w:jc w:val="center"/>
              <w:rPr>
                <w:sz w:val="24"/>
                <w:szCs w:val="24"/>
              </w:rPr>
            </w:pPr>
            <w:r w:rsidRPr="00E5075D">
              <w:rPr>
                <w:rFonts w:ascii="宋体" w:hAnsi="宋体"/>
                <w:color w:val="000000"/>
                <w:kern w:val="0"/>
                <w:sz w:val="24"/>
                <w:szCs w:val="24"/>
              </w:rPr>
              <w:t>2,651,183.</w:t>
            </w:r>
            <w:r w:rsidRPr="00E5075D">
              <w:rPr>
                <w:rFonts w:ascii="宋体" w:hAnsi="宋体"/>
                <w:color w:val="000000"/>
                <w:kern w:val="0"/>
                <w:sz w:val="24"/>
                <w:szCs w:val="24"/>
              </w:rPr>
              <w:lastRenderedPageBreak/>
              <w:t>00</w:t>
            </w:r>
          </w:p>
        </w:tc>
        <w:tc>
          <w:tcPr>
            <w:tcW w:w="1130" w:type="dxa"/>
            <w:vAlign w:val="center"/>
          </w:tcPr>
          <w:p w:rsidR="00681857" w:rsidRPr="00E5075D" w:rsidRDefault="00F05870">
            <w:pPr>
              <w:jc w:val="center"/>
              <w:rPr>
                <w:sz w:val="24"/>
                <w:szCs w:val="24"/>
              </w:rPr>
            </w:pPr>
            <w:r w:rsidRPr="00E5075D">
              <w:rPr>
                <w:rFonts w:ascii="宋体" w:hAnsi="宋体"/>
                <w:color w:val="000000"/>
                <w:kern w:val="0"/>
                <w:sz w:val="24"/>
                <w:szCs w:val="24"/>
              </w:rPr>
              <w:lastRenderedPageBreak/>
              <w:t>87.67%</w:t>
            </w:r>
          </w:p>
        </w:tc>
      </w:tr>
      <w:tr w:rsidR="003C50AD" w:rsidRPr="00E5075D" w:rsidTr="00424D30">
        <w:tc>
          <w:tcPr>
            <w:tcW w:w="9212" w:type="dxa"/>
            <w:gridSpan w:val="8"/>
            <w:vAlign w:val="center"/>
          </w:tcPr>
          <w:p w:rsidR="003C50AD" w:rsidRPr="00E5075D" w:rsidRDefault="003C50AD" w:rsidP="00424D30">
            <w:pPr>
              <w:autoSpaceDE w:val="0"/>
              <w:autoSpaceDN w:val="0"/>
              <w:adjustRightInd w:val="0"/>
              <w:jc w:val="center"/>
              <w:rPr>
                <w:rFonts w:ascii="宋体" w:hAnsi="宋体"/>
                <w:kern w:val="0"/>
                <w:sz w:val="24"/>
                <w:szCs w:val="24"/>
              </w:rPr>
            </w:pPr>
            <w:r w:rsidRPr="00E5075D">
              <w:rPr>
                <w:rFonts w:ascii="宋体" w:hAnsi="宋体"/>
                <w:color w:val="000000"/>
                <w:kern w:val="0"/>
                <w:sz w:val="24"/>
                <w:szCs w:val="24"/>
              </w:rPr>
              <w:t>产品特有风险</w:t>
            </w:r>
          </w:p>
        </w:tc>
      </w:tr>
      <w:tr w:rsidR="003C50AD" w:rsidRPr="00E5075D" w:rsidTr="00424D30">
        <w:tc>
          <w:tcPr>
            <w:tcW w:w="9212" w:type="dxa"/>
            <w:gridSpan w:val="8"/>
            <w:vAlign w:val="center"/>
          </w:tcPr>
          <w:p w:rsidR="003C50AD" w:rsidRPr="00E5075D" w:rsidRDefault="003C50AD" w:rsidP="00424D30">
            <w:pPr>
              <w:autoSpaceDE w:val="0"/>
              <w:autoSpaceDN w:val="0"/>
              <w:adjustRightInd w:val="0"/>
              <w:jc w:val="left"/>
              <w:rPr>
                <w:rFonts w:ascii="宋体" w:hAnsi="宋体"/>
                <w:kern w:val="0"/>
                <w:sz w:val="24"/>
                <w:szCs w:val="24"/>
              </w:rPr>
            </w:pPr>
            <w:r w:rsidRPr="00E5075D">
              <w:rPr>
                <w:rFonts w:ascii="宋体" w:hAnsi="宋体"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E5075D" w:rsidRDefault="003C50AD" w:rsidP="003C50AD">
      <w:pPr>
        <w:autoSpaceDE w:val="0"/>
        <w:autoSpaceDN w:val="0"/>
        <w:adjustRightInd w:val="0"/>
        <w:spacing w:line="360" w:lineRule="auto"/>
        <w:jc w:val="left"/>
        <w:rPr>
          <w:rFonts w:ascii="宋体" w:hAnsi="宋体"/>
          <w:b/>
          <w:bCs/>
          <w:color w:val="000000"/>
          <w:kern w:val="0"/>
          <w:sz w:val="24"/>
          <w:szCs w:val="24"/>
        </w:rPr>
      </w:pPr>
      <w:r w:rsidRPr="00E5075D">
        <w:rPr>
          <w:rFonts w:ascii="宋体" w:hAnsi="宋体" w:hint="eastAsia"/>
          <w:b/>
          <w:bCs/>
          <w:color w:val="000000"/>
          <w:kern w:val="0"/>
          <w:sz w:val="24"/>
          <w:szCs w:val="24"/>
        </w:rPr>
        <w:t>9.2 影响投资者决策的其他重要信息</w:t>
      </w:r>
    </w:p>
    <w:p w:rsidR="003C50AD" w:rsidRPr="00E5075D" w:rsidRDefault="003C50AD" w:rsidP="003C50AD">
      <w:pPr>
        <w:spacing w:line="360" w:lineRule="auto"/>
        <w:ind w:firstLineChars="200" w:firstLine="480"/>
        <w:rPr>
          <w:rFonts w:ascii="宋体" w:hAnsi="宋体"/>
          <w:color w:val="000000"/>
          <w:sz w:val="24"/>
          <w:szCs w:val="24"/>
        </w:rPr>
      </w:pPr>
      <w:r w:rsidRPr="00E5075D">
        <w:rPr>
          <w:rFonts w:ascii="宋体" w:hAnsi="宋体"/>
          <w:color w:val="000000"/>
          <w:sz w:val="24"/>
          <w:szCs w:val="24"/>
        </w:rPr>
        <w:t>鉴于本基金已连续六十个工作日出现基金资产净值低于5000 万元的情形，触发基金合同中约定的本基金终止条款，为保护基金份额持有人利益，根据基金合同约定，本基金管理人对本基金进行基金财产清算。自2018年11月30日起，本基金进入清算程序，进入清算程序后将不再开放办理申购、赎回业务。基金管理人按照本基金基金合同的约定，组织成立基金财产清算小组履行基金财产清算程序，并将及时公告清算结果。截止本报告期末，本基金尚处于清算程序之中。详情请查阅本基金管理人于2018年11月23日发布的《交银施罗德基金管理有限公司关于交银施罗德领先回报灵活配置混合型证券投资基金基金合同触发终止情形及进入基金财产清算程序的公告》以及2018年11月27日发布的《交银施罗德基金管理有限公司关于交银施罗德领先回报灵活配置混合型证券投资基金基金合同触发终止情形及进入基金财产清算程序的提示性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81857" w:rsidRDefault="00F0587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、中国证监会准予交银施罗德领先回报灵活配置混合型证券投资基金募集注册的文件；</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、《交银施罗德领先回报灵活配置混合型证券投资基金基金合同》；</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、《交银施罗德领先回报灵活配置混合型证券投资基金招募说明书》；</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、《交银施罗德领先回报灵活配置混合型证券投资基金托管协议》；</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、关于申请募集注册交银施罗德领先回报灵活配置混合型证券投资基金的法律意见书；</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81857" w:rsidRDefault="00F0587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81857" w:rsidRDefault="00F0587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EE9" w:rsidRDefault="002D0EE9" w:rsidP="00876D65">
      <w:r>
        <w:separator/>
      </w:r>
    </w:p>
  </w:endnote>
  <w:endnote w:type="continuationSeparator" w:id="0">
    <w:p w:rsidR="002D0EE9" w:rsidRDefault="002D0EE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7789F">
      <w:rPr>
        <w:noProof/>
        <w:kern w:val="0"/>
        <w:szCs w:val="21"/>
      </w:rPr>
      <w:t>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7789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EE9" w:rsidRDefault="002D0EE9" w:rsidP="00876D65">
      <w:r>
        <w:separator/>
      </w:r>
    </w:p>
  </w:footnote>
  <w:footnote w:type="continuationSeparator" w:id="0">
    <w:p w:rsidR="002D0EE9" w:rsidRDefault="002D0EE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交银施罗德领先回报灵活配置混合型证券投资基金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5E80"/>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53D47"/>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0EE9"/>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46BA"/>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7789F"/>
    <w:rsid w:val="00681857"/>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76848"/>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62C"/>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075D"/>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5870"/>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EF276F-F779-4DDE-A0C9-72BF0D3E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D2DCC-E629-47A1-B124-FA5E567D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12</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584</cp:revision>
  <dcterms:created xsi:type="dcterms:W3CDTF">2012-10-16T06:07:00Z</dcterms:created>
  <dcterms:modified xsi:type="dcterms:W3CDTF">2019-01-17T02:51:00Z</dcterms:modified>
</cp:coreProperties>
</file>