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CF633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CF633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26,783,125.54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445870" w:rsidRDefault="00443826">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445870" w:rsidRDefault="00445870">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445870" w:rsidRDefault="00443826">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01EF2" w:rsidRPr="007F52FA" w:rsidRDefault="007C3DC6" w:rsidP="00CB6A02">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13,733,982.68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13,049,142.86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CF633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883,577.11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322,156.57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505,826.10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133,317.99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27,682,006.47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13,722,566.24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1.052</w:t>
            </w:r>
          </w:p>
        </w:tc>
      </w:tr>
    </w:tbl>
    <w:p w:rsidR="00445870" w:rsidRDefault="0044382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45870">
        <w:trPr>
          <w:jc w:val="center"/>
        </w:trPr>
        <w:tc>
          <w:tcPr>
            <w:tcW w:w="1266" w:type="dxa"/>
            <w:vAlign w:val="center"/>
          </w:tcPr>
          <w:p w:rsidR="00445870" w:rsidRDefault="00443826">
            <w:pPr>
              <w:jc w:val="left"/>
            </w:pPr>
            <w:r>
              <w:rPr>
                <w:color w:val="000000"/>
                <w:sz w:val="24"/>
              </w:rPr>
              <w:t>过去三个月</w:t>
            </w:r>
          </w:p>
        </w:tc>
        <w:tc>
          <w:tcPr>
            <w:tcW w:w="1267" w:type="dxa"/>
            <w:vAlign w:val="center"/>
          </w:tcPr>
          <w:p w:rsidR="00445870" w:rsidRDefault="00443826">
            <w:pPr>
              <w:jc w:val="center"/>
            </w:pPr>
            <w:r>
              <w:rPr>
                <w:color w:val="000000"/>
                <w:sz w:val="24"/>
              </w:rPr>
              <w:t>1.05%</w:t>
            </w:r>
          </w:p>
        </w:tc>
        <w:tc>
          <w:tcPr>
            <w:tcW w:w="1267" w:type="dxa"/>
            <w:vAlign w:val="center"/>
          </w:tcPr>
          <w:p w:rsidR="00445870" w:rsidRDefault="00443826">
            <w:pPr>
              <w:jc w:val="center"/>
            </w:pPr>
            <w:r>
              <w:rPr>
                <w:color w:val="000000"/>
                <w:sz w:val="24"/>
              </w:rPr>
              <w:t>0.04%</w:t>
            </w:r>
          </w:p>
        </w:tc>
        <w:tc>
          <w:tcPr>
            <w:tcW w:w="1267" w:type="dxa"/>
            <w:vAlign w:val="center"/>
          </w:tcPr>
          <w:p w:rsidR="00445870" w:rsidRDefault="00443826" w:rsidP="002062A6">
            <w:pPr>
              <w:jc w:val="center"/>
            </w:pPr>
            <w:r>
              <w:rPr>
                <w:color w:val="000000"/>
                <w:sz w:val="24"/>
              </w:rPr>
              <w:t>1.9</w:t>
            </w:r>
            <w:r w:rsidR="002062A6">
              <w:rPr>
                <w:color w:val="000000"/>
                <w:sz w:val="24"/>
              </w:rPr>
              <w:t>9</w:t>
            </w:r>
            <w:r>
              <w:rPr>
                <w:color w:val="000000"/>
                <w:sz w:val="24"/>
              </w:rPr>
              <w:t>%</w:t>
            </w:r>
          </w:p>
        </w:tc>
        <w:tc>
          <w:tcPr>
            <w:tcW w:w="1267" w:type="dxa"/>
            <w:vAlign w:val="center"/>
          </w:tcPr>
          <w:p w:rsidR="00445870" w:rsidRDefault="00443826">
            <w:pPr>
              <w:jc w:val="center"/>
            </w:pPr>
            <w:r>
              <w:rPr>
                <w:color w:val="000000"/>
                <w:sz w:val="24"/>
              </w:rPr>
              <w:t>0.05%</w:t>
            </w:r>
          </w:p>
        </w:tc>
        <w:tc>
          <w:tcPr>
            <w:tcW w:w="1267" w:type="dxa"/>
            <w:vAlign w:val="center"/>
          </w:tcPr>
          <w:p w:rsidR="00445870" w:rsidRDefault="00443826" w:rsidP="002062A6">
            <w:pPr>
              <w:jc w:val="center"/>
            </w:pPr>
            <w:bookmarkStart w:id="0" w:name="_GoBack"/>
            <w:r>
              <w:rPr>
                <w:color w:val="000000"/>
                <w:sz w:val="24"/>
              </w:rPr>
              <w:t>-0.9</w:t>
            </w:r>
            <w:r w:rsidR="002062A6">
              <w:rPr>
                <w:color w:val="000000"/>
                <w:sz w:val="24"/>
              </w:rPr>
              <w:t>4</w:t>
            </w:r>
            <w:r>
              <w:rPr>
                <w:color w:val="000000"/>
                <w:sz w:val="24"/>
              </w:rPr>
              <w:t>%</w:t>
            </w:r>
            <w:bookmarkEnd w:id="0"/>
          </w:p>
        </w:tc>
        <w:tc>
          <w:tcPr>
            <w:tcW w:w="1267" w:type="dxa"/>
            <w:vAlign w:val="center"/>
          </w:tcPr>
          <w:p w:rsidR="00445870" w:rsidRDefault="00443826">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45870">
        <w:trPr>
          <w:jc w:val="center"/>
        </w:trPr>
        <w:tc>
          <w:tcPr>
            <w:tcW w:w="1266" w:type="dxa"/>
            <w:vAlign w:val="center"/>
          </w:tcPr>
          <w:p w:rsidR="00445870" w:rsidRDefault="00443826">
            <w:pPr>
              <w:jc w:val="left"/>
            </w:pPr>
            <w:r>
              <w:rPr>
                <w:color w:val="000000"/>
                <w:sz w:val="24"/>
              </w:rPr>
              <w:t>过去三个月</w:t>
            </w:r>
          </w:p>
        </w:tc>
        <w:tc>
          <w:tcPr>
            <w:tcW w:w="1267" w:type="dxa"/>
            <w:vAlign w:val="center"/>
          </w:tcPr>
          <w:p w:rsidR="00445870" w:rsidRDefault="00443826">
            <w:pPr>
              <w:jc w:val="center"/>
            </w:pPr>
            <w:r>
              <w:rPr>
                <w:color w:val="000000"/>
                <w:sz w:val="24"/>
              </w:rPr>
              <w:t>0.96%</w:t>
            </w:r>
          </w:p>
        </w:tc>
        <w:tc>
          <w:tcPr>
            <w:tcW w:w="1267" w:type="dxa"/>
            <w:vAlign w:val="center"/>
          </w:tcPr>
          <w:p w:rsidR="00445870" w:rsidRDefault="00443826">
            <w:pPr>
              <w:jc w:val="center"/>
            </w:pPr>
            <w:r>
              <w:rPr>
                <w:color w:val="000000"/>
                <w:sz w:val="24"/>
              </w:rPr>
              <w:t>0.05%</w:t>
            </w:r>
          </w:p>
        </w:tc>
        <w:tc>
          <w:tcPr>
            <w:tcW w:w="1267" w:type="dxa"/>
            <w:vAlign w:val="center"/>
          </w:tcPr>
          <w:p w:rsidR="00445870" w:rsidRDefault="00443826" w:rsidP="002062A6">
            <w:pPr>
              <w:jc w:val="center"/>
            </w:pPr>
            <w:r>
              <w:rPr>
                <w:color w:val="000000"/>
                <w:sz w:val="24"/>
              </w:rPr>
              <w:t>1.9</w:t>
            </w:r>
            <w:r w:rsidR="002062A6">
              <w:rPr>
                <w:color w:val="000000"/>
                <w:sz w:val="24"/>
              </w:rPr>
              <w:t>9</w:t>
            </w:r>
            <w:r>
              <w:rPr>
                <w:color w:val="000000"/>
                <w:sz w:val="24"/>
              </w:rPr>
              <w:t>%</w:t>
            </w:r>
          </w:p>
        </w:tc>
        <w:tc>
          <w:tcPr>
            <w:tcW w:w="1267" w:type="dxa"/>
            <w:vAlign w:val="center"/>
          </w:tcPr>
          <w:p w:rsidR="00445870" w:rsidRDefault="00443826">
            <w:pPr>
              <w:jc w:val="center"/>
            </w:pPr>
            <w:r>
              <w:rPr>
                <w:color w:val="000000"/>
                <w:sz w:val="24"/>
              </w:rPr>
              <w:t>0.05%</w:t>
            </w:r>
          </w:p>
        </w:tc>
        <w:tc>
          <w:tcPr>
            <w:tcW w:w="1267" w:type="dxa"/>
            <w:vAlign w:val="center"/>
          </w:tcPr>
          <w:p w:rsidR="00445870" w:rsidRDefault="00443826" w:rsidP="002062A6">
            <w:pPr>
              <w:jc w:val="center"/>
            </w:pPr>
            <w:r>
              <w:rPr>
                <w:color w:val="000000"/>
                <w:sz w:val="24"/>
              </w:rPr>
              <w:t>-1.0</w:t>
            </w:r>
            <w:r w:rsidR="002062A6">
              <w:rPr>
                <w:color w:val="000000"/>
                <w:sz w:val="24"/>
              </w:rPr>
              <w:t>3</w:t>
            </w:r>
            <w:r>
              <w:rPr>
                <w:color w:val="000000"/>
                <w:sz w:val="24"/>
              </w:rPr>
              <w:t>%</w:t>
            </w:r>
          </w:p>
        </w:tc>
        <w:tc>
          <w:tcPr>
            <w:tcW w:w="1267" w:type="dxa"/>
            <w:vAlign w:val="center"/>
          </w:tcPr>
          <w:p w:rsidR="00445870" w:rsidRDefault="00443826">
            <w:pPr>
              <w:jc w:val="center"/>
            </w:pPr>
            <w:r>
              <w:rPr>
                <w:color w:val="000000"/>
                <w:sz w:val="24"/>
              </w:rPr>
              <w:t>0.00%</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CF6333">
      <w:pPr>
        <w:spacing w:before="29" w:line="288" w:lineRule="auto"/>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日起，开始销售</w:t>
      </w:r>
      <w:r w:rsidRPr="007F52FA">
        <w:rPr>
          <w:color w:val="000000"/>
          <w:sz w:val="24"/>
        </w:rPr>
        <w:t>A</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CF6333">
      <w:pPr>
        <w:spacing w:before="29" w:line="288" w:lineRule="auto"/>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19</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CF633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45870">
        <w:trPr>
          <w:jc w:val="center"/>
        </w:trPr>
        <w:tc>
          <w:tcPr>
            <w:tcW w:w="946" w:type="dxa"/>
            <w:vAlign w:val="center"/>
          </w:tcPr>
          <w:p w:rsidR="00445870" w:rsidRDefault="00443826">
            <w:pPr>
              <w:jc w:val="center"/>
            </w:pPr>
            <w:r>
              <w:rPr>
                <w:color w:val="000000"/>
                <w:sz w:val="24"/>
              </w:rPr>
              <w:t>黄莹洁</w:t>
            </w:r>
          </w:p>
        </w:tc>
        <w:tc>
          <w:tcPr>
            <w:tcW w:w="924" w:type="dxa"/>
            <w:vAlign w:val="center"/>
          </w:tcPr>
          <w:p w:rsidR="00445870" w:rsidRDefault="00443826">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02" w:type="dxa"/>
            <w:vAlign w:val="center"/>
          </w:tcPr>
          <w:p w:rsidR="00445870" w:rsidRDefault="00443826">
            <w:pPr>
              <w:jc w:val="center"/>
            </w:pPr>
            <w:r>
              <w:rPr>
                <w:color w:val="000000"/>
                <w:sz w:val="24"/>
              </w:rPr>
              <w:t>2015-07-25</w:t>
            </w:r>
          </w:p>
        </w:tc>
        <w:tc>
          <w:tcPr>
            <w:tcW w:w="1300" w:type="dxa"/>
            <w:vAlign w:val="center"/>
          </w:tcPr>
          <w:p w:rsidR="00445870" w:rsidRDefault="00443826">
            <w:pPr>
              <w:jc w:val="center"/>
            </w:pPr>
            <w:r>
              <w:rPr>
                <w:color w:val="000000"/>
                <w:sz w:val="24"/>
              </w:rPr>
              <w:t>-</w:t>
            </w:r>
          </w:p>
        </w:tc>
        <w:tc>
          <w:tcPr>
            <w:tcW w:w="1245" w:type="dxa"/>
            <w:vAlign w:val="center"/>
          </w:tcPr>
          <w:p w:rsidR="00445870" w:rsidRDefault="00443826">
            <w:pPr>
              <w:jc w:val="center"/>
            </w:pPr>
            <w:r>
              <w:rPr>
                <w:color w:val="000000"/>
                <w:sz w:val="24"/>
              </w:rPr>
              <w:t>10</w:t>
            </w:r>
            <w:r>
              <w:rPr>
                <w:color w:val="000000"/>
                <w:sz w:val="24"/>
              </w:rPr>
              <w:t>年</w:t>
            </w:r>
          </w:p>
        </w:tc>
        <w:tc>
          <w:tcPr>
            <w:tcW w:w="3251" w:type="dxa"/>
            <w:vAlign w:val="center"/>
          </w:tcPr>
          <w:p w:rsidR="00445870" w:rsidRDefault="0044382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45870" w:rsidRDefault="0044382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45870" w:rsidRDefault="0044382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45870" w:rsidRDefault="0044382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45870" w:rsidRDefault="00443826">
      <w:pPr>
        <w:spacing w:before="29" w:line="288" w:lineRule="auto"/>
        <w:ind w:firstLineChars="200" w:firstLine="480"/>
        <w:rPr>
          <w:color w:val="000000"/>
          <w:sz w:val="24"/>
        </w:rPr>
      </w:pPr>
      <w:r>
        <w:rPr>
          <w:color w:val="000000"/>
          <w:sz w:val="24"/>
        </w:rPr>
        <w:t>本报告期内，随着经济持续下行的预期被证实，以及国内外风险资产大幅回落，债券市场走出了牛市第二阶段行情。具体看来，在通胀方面，国内猪肉和国际原油价格的下行中，前期市场担忧的</w:t>
      </w:r>
      <w:r>
        <w:rPr>
          <w:color w:val="000000"/>
          <w:sz w:val="24"/>
        </w:rPr>
        <w:t>“</w:t>
      </w:r>
      <w:r>
        <w:rPr>
          <w:color w:val="000000"/>
          <w:sz w:val="24"/>
        </w:rPr>
        <w:t>滞胀</w:t>
      </w:r>
      <w:r>
        <w:rPr>
          <w:color w:val="000000"/>
          <w:sz w:val="24"/>
        </w:rPr>
        <w:t>”</w:t>
      </w:r>
      <w:r>
        <w:rPr>
          <w:color w:val="000000"/>
          <w:sz w:val="24"/>
        </w:rPr>
        <w:t>风险减轻，为债券收益率下行打开空间。虽然中美贸易战的负面影响在</w:t>
      </w:r>
      <w:r>
        <w:rPr>
          <w:color w:val="000000"/>
          <w:sz w:val="24"/>
        </w:rPr>
        <w:t>G20</w:t>
      </w:r>
      <w:r>
        <w:rPr>
          <w:color w:val="000000"/>
          <w:sz w:val="24"/>
        </w:rPr>
        <w:t>之后有所缓解，但中美在有限时间内达成协议的不确定性仍然较高，并且贸易数据在</w:t>
      </w:r>
      <w:r>
        <w:rPr>
          <w:color w:val="000000"/>
          <w:sz w:val="24"/>
        </w:rPr>
        <w:t>“</w:t>
      </w:r>
      <w:r>
        <w:rPr>
          <w:color w:val="000000"/>
          <w:sz w:val="24"/>
        </w:rPr>
        <w:t>抢出口</w:t>
      </w:r>
      <w:r>
        <w:rPr>
          <w:color w:val="000000"/>
          <w:sz w:val="24"/>
        </w:rPr>
        <w:t>”</w:t>
      </w:r>
      <w:r>
        <w:rPr>
          <w:color w:val="000000"/>
          <w:sz w:val="24"/>
        </w:rPr>
        <w:t>的效果减弱后初现疲态，十一月的进出口增长分别跌落至</w:t>
      </w:r>
      <w:r>
        <w:rPr>
          <w:color w:val="000000"/>
          <w:sz w:val="24"/>
        </w:rPr>
        <w:t>3.00%</w:t>
      </w:r>
      <w:r>
        <w:rPr>
          <w:color w:val="000000"/>
          <w:sz w:val="24"/>
        </w:rPr>
        <w:t>和</w:t>
      </w:r>
      <w:r>
        <w:rPr>
          <w:color w:val="000000"/>
          <w:sz w:val="24"/>
        </w:rPr>
        <w:t>5.40%</w:t>
      </w:r>
      <w:r>
        <w:rPr>
          <w:color w:val="000000"/>
          <w:sz w:val="24"/>
        </w:rPr>
        <w:t>，出口对于经济的拉动减弱。全球货币政策方面，美联储在市场宽松预期下维持十二月的加息操作，同时顺应市场对</w:t>
      </w:r>
      <w:r>
        <w:rPr>
          <w:color w:val="000000"/>
          <w:sz w:val="24"/>
        </w:rPr>
        <w:t>2019</w:t>
      </w:r>
      <w:r>
        <w:rPr>
          <w:color w:val="000000"/>
          <w:sz w:val="24"/>
        </w:rPr>
        <w:t>年的前瞻性指引给出较为宽松的表态。本报告期内，十年期国债收益率从</w:t>
      </w:r>
      <w:r>
        <w:rPr>
          <w:color w:val="000000"/>
          <w:sz w:val="24"/>
        </w:rPr>
        <w:t>3.61%</w:t>
      </w:r>
      <w:r>
        <w:rPr>
          <w:color w:val="000000"/>
          <w:sz w:val="24"/>
        </w:rPr>
        <w:t>水平下行至</w:t>
      </w:r>
      <w:r>
        <w:rPr>
          <w:color w:val="000000"/>
          <w:sz w:val="24"/>
        </w:rPr>
        <w:t>3.22%</w:t>
      </w:r>
      <w:r>
        <w:rPr>
          <w:color w:val="000000"/>
          <w:sz w:val="24"/>
        </w:rPr>
        <w:t>。国内货币政策方面，央行对流动性定调为合理充裕，短端利率维持低位，银行间七天质押式回购利率除年底前最后一周因时点性原因有所波动外，基本维持在</w:t>
      </w:r>
      <w:r>
        <w:rPr>
          <w:color w:val="000000"/>
          <w:sz w:val="24"/>
        </w:rPr>
        <w:t>3.00%</w:t>
      </w:r>
      <w:r>
        <w:rPr>
          <w:color w:val="000000"/>
          <w:sz w:val="24"/>
        </w:rPr>
        <w:t>以下水平。</w:t>
      </w:r>
    </w:p>
    <w:p w:rsidR="00445870" w:rsidRDefault="00443826">
      <w:pPr>
        <w:spacing w:before="29" w:line="288" w:lineRule="auto"/>
        <w:ind w:firstLineChars="200" w:firstLine="480"/>
        <w:rPr>
          <w:color w:val="000000"/>
          <w:sz w:val="24"/>
        </w:rPr>
      </w:pPr>
      <w:r>
        <w:rPr>
          <w:color w:val="000000"/>
          <w:sz w:val="24"/>
        </w:rPr>
        <w:t>基金操作方面，由于组合规模较小，投资信用债受到一定的限制，所以组合以投资中短久期的利率债为主。</w:t>
      </w:r>
    </w:p>
    <w:p w:rsidR="00445870" w:rsidRDefault="00443826">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一季度，虽然政治局会议进一步加强稳增长政策的力度，但是无论是资金供给端还是需求端都限制了信贷社融的大幅扩大，预计从政策实施到经济企稳仍有较长的时滞，债券市场行情或将延续。综合考虑资金量和央行表态，我们预期春节前后流动性将保持相对稳定。</w:t>
      </w:r>
    </w:p>
    <w:p w:rsidR="00952A72" w:rsidRPr="007F52FA" w:rsidRDefault="00323F25" w:rsidP="007C14DF">
      <w:pPr>
        <w:spacing w:before="29" w:line="288" w:lineRule="auto"/>
        <w:ind w:firstLineChars="200" w:firstLine="480"/>
        <w:rPr>
          <w:color w:val="000000"/>
          <w:sz w:val="24"/>
        </w:rPr>
      </w:pPr>
      <w:r w:rsidRPr="007F52FA">
        <w:rPr>
          <w:color w:val="000000"/>
          <w:sz w:val="24"/>
        </w:rPr>
        <w:t>我们将密切关注低评级信用债风险的演化、中美贸易战推进以及境内外货币政策变化等因素对市场的影响。在保持组合流动性的前提下积极关注交易窗口，把握适度久期，努力为持有人创造稳健的收益。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CF6333">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40,128,000.00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40,128,000.00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96.51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777,476.45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673,540.28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41,579,016.73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CF6333" w:rsidRPr="007F52FA" w:rsidRDefault="00CF6333"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96.92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40,128,000.00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96.92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40,128,000.00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96.92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45870">
        <w:trPr>
          <w:jc w:val="center"/>
        </w:trPr>
        <w:tc>
          <w:tcPr>
            <w:tcW w:w="1075" w:type="dxa"/>
            <w:vAlign w:val="center"/>
          </w:tcPr>
          <w:p w:rsidR="00445870" w:rsidRDefault="00443826">
            <w:pPr>
              <w:jc w:val="center"/>
            </w:pPr>
            <w:r>
              <w:rPr>
                <w:color w:val="000000"/>
                <w:sz w:val="24"/>
              </w:rPr>
              <w:t>1</w:t>
            </w:r>
          </w:p>
        </w:tc>
        <w:tc>
          <w:tcPr>
            <w:tcW w:w="1533" w:type="dxa"/>
            <w:vAlign w:val="center"/>
          </w:tcPr>
          <w:p w:rsidR="00445870" w:rsidRDefault="00443826">
            <w:pPr>
              <w:jc w:val="center"/>
            </w:pPr>
            <w:r>
              <w:rPr>
                <w:color w:val="000000"/>
                <w:sz w:val="24"/>
              </w:rPr>
              <w:t>180209</w:t>
            </w:r>
          </w:p>
        </w:tc>
        <w:tc>
          <w:tcPr>
            <w:tcW w:w="1533" w:type="dxa"/>
            <w:vAlign w:val="center"/>
          </w:tcPr>
          <w:p w:rsidR="00445870" w:rsidRDefault="00443826">
            <w:pPr>
              <w:jc w:val="center"/>
            </w:pPr>
            <w:r>
              <w:rPr>
                <w:color w:val="000000"/>
                <w:sz w:val="24"/>
              </w:rPr>
              <w:t>18</w:t>
            </w:r>
            <w:r>
              <w:rPr>
                <w:color w:val="000000"/>
                <w:sz w:val="24"/>
              </w:rPr>
              <w:t>国开</w:t>
            </w:r>
            <w:r>
              <w:rPr>
                <w:color w:val="000000"/>
                <w:sz w:val="24"/>
              </w:rPr>
              <w:t>09</w:t>
            </w:r>
          </w:p>
        </w:tc>
        <w:tc>
          <w:tcPr>
            <w:tcW w:w="1394" w:type="dxa"/>
            <w:vAlign w:val="center"/>
          </w:tcPr>
          <w:p w:rsidR="00445870" w:rsidRDefault="00443826">
            <w:pPr>
              <w:jc w:val="right"/>
            </w:pPr>
            <w:r>
              <w:rPr>
                <w:color w:val="000000"/>
                <w:sz w:val="24"/>
              </w:rPr>
              <w:t>400,000</w:t>
            </w:r>
          </w:p>
        </w:tc>
        <w:tc>
          <w:tcPr>
            <w:tcW w:w="1944" w:type="dxa"/>
            <w:vAlign w:val="center"/>
          </w:tcPr>
          <w:p w:rsidR="00445870" w:rsidRDefault="00443826">
            <w:pPr>
              <w:jc w:val="right"/>
            </w:pPr>
            <w:r>
              <w:rPr>
                <w:color w:val="000000"/>
                <w:sz w:val="24"/>
              </w:rPr>
              <w:t>40,128,000.00</w:t>
            </w:r>
          </w:p>
        </w:tc>
        <w:tc>
          <w:tcPr>
            <w:tcW w:w="1389" w:type="dxa"/>
            <w:vAlign w:val="center"/>
          </w:tcPr>
          <w:p w:rsidR="00445870" w:rsidRDefault="00443826">
            <w:pPr>
              <w:jc w:val="right"/>
            </w:pPr>
            <w:r>
              <w:rPr>
                <w:color w:val="000000"/>
                <w:sz w:val="24"/>
              </w:rPr>
              <w:t>96.92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00CF6333">
        <w:rPr>
          <w:rFonts w:hint="eastAsia"/>
          <w:b/>
          <w:color w:val="000000"/>
          <w:kern w:val="0"/>
          <w:sz w:val="24"/>
        </w:rPr>
        <w:t xml:space="preserve"> </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36FBA">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CF6333">
        <w:rPr>
          <w:rFonts w:hint="eastAsia"/>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6,546.48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636,888.86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30,104.94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673,540.28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F6333" w:rsidRDefault="00C51B4E" w:rsidP="00CF6333">
      <w:pPr>
        <w:pStyle w:val="1"/>
        <w:spacing w:beforeLines="100" w:before="312" w:afterLines="100" w:after="312" w:line="360" w:lineRule="auto"/>
        <w:jc w:val="center"/>
        <w:rPr>
          <w:rFonts w:eastAsiaTheme="minorEastAsia"/>
          <w:color w:val="000000" w:themeColor="text1"/>
          <w:kern w:val="0"/>
          <w:sz w:val="24"/>
          <w:szCs w:val="24"/>
        </w:rPr>
      </w:pPr>
      <w:r w:rsidRPr="00CF6333">
        <w:rPr>
          <w:rFonts w:eastAsiaTheme="minorEastAsia"/>
          <w:color w:val="000000" w:themeColor="text1"/>
          <w:kern w:val="0"/>
          <w:sz w:val="24"/>
          <w:szCs w:val="24"/>
        </w:rPr>
        <w:t>§6</w:t>
      </w:r>
      <w:r w:rsidRPr="00CF6333">
        <w:rPr>
          <w:rFonts w:eastAsiaTheme="minorEastAsia" w:hint="eastAsia"/>
          <w:color w:val="000000" w:themeColor="text1"/>
          <w:kern w:val="0"/>
          <w:sz w:val="24"/>
          <w:szCs w:val="24"/>
        </w:rPr>
        <w:t xml:space="preserve">  </w:t>
      </w:r>
      <w:r w:rsidRPr="00CF6333">
        <w:rPr>
          <w:rFonts w:eastAsiaTheme="minorEastAsia" w:hint="eastAsia"/>
          <w:color w:val="000000" w:themeColor="text1"/>
          <w:kern w:val="0"/>
          <w:sz w:val="24"/>
          <w:szCs w:val="24"/>
        </w:rPr>
        <w:t>基金中基金</w:t>
      </w:r>
    </w:p>
    <w:p w:rsidR="00C51B4E" w:rsidRPr="00CF6333" w:rsidRDefault="00C51B4E" w:rsidP="00C51B4E">
      <w:pPr>
        <w:adjustRightInd w:val="0"/>
        <w:snapToGrid w:val="0"/>
        <w:spacing w:line="360" w:lineRule="auto"/>
        <w:rPr>
          <w:rFonts w:eastAsiaTheme="minorEastAsia"/>
          <w:b/>
          <w:color w:val="000000" w:themeColor="text1"/>
          <w:kern w:val="0"/>
          <w:sz w:val="24"/>
        </w:rPr>
      </w:pPr>
      <w:r w:rsidRPr="00CF6333">
        <w:rPr>
          <w:rFonts w:eastAsiaTheme="minorEastAsia"/>
          <w:b/>
          <w:color w:val="000000" w:themeColor="text1"/>
          <w:kern w:val="0"/>
          <w:sz w:val="24"/>
        </w:rPr>
        <w:t>6.1</w:t>
      </w:r>
      <w:r w:rsidRPr="00CF6333">
        <w:rPr>
          <w:rFonts w:eastAsiaTheme="minorEastAsia" w:hint="eastAsia"/>
          <w:b/>
          <w:color w:val="000000" w:themeColor="text1"/>
          <w:kern w:val="0"/>
          <w:sz w:val="24"/>
        </w:rPr>
        <w:t xml:space="preserve"> </w:t>
      </w:r>
      <w:r w:rsidRPr="00CF6333">
        <w:rPr>
          <w:rFonts w:eastAsiaTheme="minorEastAsia" w:hint="eastAsia"/>
          <w:b/>
          <w:color w:val="000000" w:themeColor="text1"/>
          <w:kern w:val="0"/>
          <w:sz w:val="24"/>
        </w:rPr>
        <w:t>报告期末按公允价值占基金资产净值比例大小排序的前十名基金投资明细</w:t>
      </w:r>
    </w:p>
    <w:p w:rsidR="00C51B4E" w:rsidRPr="00CF6333" w:rsidRDefault="00C51B4E" w:rsidP="00CF6333">
      <w:pPr>
        <w:autoSpaceDE w:val="0"/>
        <w:autoSpaceDN w:val="0"/>
        <w:adjustRightInd w:val="0"/>
        <w:spacing w:line="360" w:lineRule="auto"/>
        <w:ind w:firstLineChars="200" w:firstLine="480"/>
        <w:jc w:val="left"/>
        <w:rPr>
          <w:rFonts w:eastAsiaTheme="minorEastAsia"/>
          <w:color w:val="000000" w:themeColor="text1"/>
          <w:sz w:val="24"/>
        </w:rPr>
      </w:pPr>
      <w:r w:rsidRPr="00CF6333">
        <w:rPr>
          <w:rFonts w:eastAsiaTheme="minorEastAsia"/>
          <w:color w:val="000000" w:themeColor="text1"/>
          <w:sz w:val="24"/>
        </w:rPr>
        <w:t>本基金本报告期末未持有基金。</w:t>
      </w:r>
    </w:p>
    <w:p w:rsidR="00C51B4E" w:rsidRPr="00CF6333" w:rsidRDefault="00C51B4E" w:rsidP="00CF6333">
      <w:pPr>
        <w:adjustRightInd w:val="0"/>
        <w:snapToGrid w:val="0"/>
        <w:spacing w:beforeLines="50" w:before="156" w:line="360" w:lineRule="auto"/>
        <w:rPr>
          <w:rFonts w:eastAsiaTheme="minorEastAsia"/>
          <w:b/>
          <w:color w:val="000000" w:themeColor="text1"/>
          <w:kern w:val="0"/>
          <w:sz w:val="24"/>
        </w:rPr>
      </w:pPr>
      <w:r w:rsidRPr="00CF6333">
        <w:rPr>
          <w:rFonts w:eastAsiaTheme="minorEastAsia"/>
          <w:b/>
          <w:color w:val="000000" w:themeColor="text1"/>
          <w:kern w:val="0"/>
          <w:sz w:val="24"/>
        </w:rPr>
        <w:t>6.2</w:t>
      </w:r>
      <w:r w:rsidRPr="00CF6333">
        <w:rPr>
          <w:rFonts w:eastAsiaTheme="minorEastAsia" w:hint="eastAsia"/>
          <w:b/>
          <w:color w:val="000000" w:themeColor="text1"/>
          <w:kern w:val="0"/>
          <w:sz w:val="24"/>
        </w:rPr>
        <w:t xml:space="preserve"> </w:t>
      </w:r>
      <w:r w:rsidRPr="00CF6333">
        <w:rPr>
          <w:rFonts w:eastAsiaTheme="minorEastAsia" w:hint="eastAsia"/>
          <w:b/>
          <w:color w:val="000000" w:themeColor="text1"/>
          <w:kern w:val="0"/>
          <w:sz w:val="24"/>
        </w:rPr>
        <w:t>当期交易及持有基金产生的费用</w:t>
      </w:r>
    </w:p>
    <w:p w:rsidR="00C51B4E" w:rsidRPr="00CF6333" w:rsidRDefault="00C51B4E" w:rsidP="00CF6333">
      <w:pPr>
        <w:autoSpaceDE w:val="0"/>
        <w:autoSpaceDN w:val="0"/>
        <w:adjustRightInd w:val="0"/>
        <w:spacing w:line="360" w:lineRule="auto"/>
        <w:ind w:firstLineChars="200" w:firstLine="480"/>
        <w:jc w:val="left"/>
        <w:rPr>
          <w:rFonts w:eastAsiaTheme="minorEastAsia"/>
          <w:color w:val="000000" w:themeColor="text1"/>
          <w:sz w:val="24"/>
        </w:rPr>
      </w:pPr>
      <w:r w:rsidRPr="00CF6333">
        <w:rPr>
          <w:rFonts w:eastAsiaTheme="minorEastAsia"/>
          <w:color w:val="000000" w:themeColor="text1"/>
          <w:sz w:val="24"/>
        </w:rPr>
        <w:t>本基金本报告期内未交易或持有基金。</w:t>
      </w:r>
    </w:p>
    <w:p w:rsidR="00C51B4E" w:rsidRPr="00CF6333" w:rsidRDefault="00C51B4E" w:rsidP="00CF6333">
      <w:pPr>
        <w:adjustRightInd w:val="0"/>
        <w:snapToGrid w:val="0"/>
        <w:spacing w:beforeLines="50" w:before="156" w:line="360" w:lineRule="auto"/>
        <w:rPr>
          <w:rFonts w:eastAsiaTheme="minorEastAsia"/>
          <w:b/>
          <w:color w:val="000000" w:themeColor="text1"/>
          <w:kern w:val="0"/>
          <w:sz w:val="24"/>
        </w:rPr>
      </w:pPr>
      <w:r w:rsidRPr="00CF6333">
        <w:rPr>
          <w:rFonts w:eastAsiaTheme="minorEastAsia"/>
          <w:b/>
          <w:color w:val="000000" w:themeColor="text1"/>
          <w:kern w:val="0"/>
          <w:sz w:val="24"/>
        </w:rPr>
        <w:t>6.3</w:t>
      </w:r>
      <w:r w:rsidRPr="00CF6333">
        <w:rPr>
          <w:rFonts w:eastAsiaTheme="minorEastAsia" w:hint="eastAsia"/>
          <w:b/>
          <w:color w:val="000000" w:themeColor="text1"/>
          <w:kern w:val="0"/>
          <w:sz w:val="24"/>
        </w:rPr>
        <w:t xml:space="preserve"> </w:t>
      </w:r>
      <w:r w:rsidRPr="00CF6333">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F6333" w:rsidTr="00F103C8">
        <w:tc>
          <w:tcPr>
            <w:tcW w:w="9036" w:type="dxa"/>
          </w:tcPr>
          <w:p w:rsidR="00C51B4E" w:rsidRPr="00CF6333" w:rsidRDefault="00C51B4E" w:rsidP="00CF6333">
            <w:pPr>
              <w:autoSpaceDE w:val="0"/>
              <w:autoSpaceDN w:val="0"/>
              <w:adjustRightInd w:val="0"/>
              <w:spacing w:line="360" w:lineRule="auto"/>
              <w:ind w:firstLineChars="200" w:firstLine="480"/>
              <w:jc w:val="left"/>
              <w:rPr>
                <w:rFonts w:eastAsiaTheme="minorEastAsia"/>
                <w:color w:val="000000" w:themeColor="text1"/>
                <w:sz w:val="24"/>
              </w:rPr>
            </w:pPr>
            <w:r w:rsidRPr="00CF6333">
              <w:rPr>
                <w:rFonts w:eastAsiaTheme="minorEastAsia" w:hint="eastAsia"/>
                <w:color w:val="000000" w:themeColor="text1"/>
                <w:sz w:val="24"/>
              </w:rPr>
              <w:t>无。</w:t>
            </w:r>
          </w:p>
        </w:tc>
      </w:tr>
      <w:tr w:rsidR="00CF6333" w:rsidRPr="00CF6333" w:rsidTr="00F103C8">
        <w:tc>
          <w:tcPr>
            <w:tcW w:w="9036" w:type="dxa"/>
          </w:tcPr>
          <w:p w:rsidR="00CF6333" w:rsidRPr="00CF6333" w:rsidRDefault="00CF6333" w:rsidP="00CF6333">
            <w:pPr>
              <w:autoSpaceDE w:val="0"/>
              <w:autoSpaceDN w:val="0"/>
              <w:adjustRightInd w:val="0"/>
              <w:spacing w:line="360" w:lineRule="auto"/>
              <w:ind w:firstLineChars="200" w:firstLine="480"/>
              <w:jc w:val="left"/>
              <w:rPr>
                <w:rFonts w:eastAsiaTheme="minorEastAsia"/>
                <w:color w:val="000000" w:themeColor="text1"/>
                <w:sz w:val="24"/>
              </w:rPr>
            </w:pPr>
          </w:p>
        </w:tc>
      </w:tr>
    </w:tbl>
    <w:p w:rsidR="009238DB" w:rsidRPr="007F52FA" w:rsidRDefault="00C51B4E" w:rsidP="00CF6333">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117,377,087.14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15,354,155.16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1,255,419.35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54,488.16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104,898,523.81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2,359,500.46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13,733,982.68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13,049,142.86</w:t>
            </w:r>
          </w:p>
        </w:tc>
      </w:tr>
    </w:tbl>
    <w:p w:rsidR="00445870" w:rsidRDefault="0044382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CF6333">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C36FBA" w:rsidRDefault="00ED0E09" w:rsidP="00CF6333">
      <w:pPr>
        <w:pStyle w:val="1"/>
        <w:spacing w:beforeLines="100" w:before="312" w:afterLines="100" w:after="312" w:line="360" w:lineRule="auto"/>
        <w:jc w:val="center"/>
        <w:rPr>
          <w:rFonts w:eastAsiaTheme="minorEastAsia"/>
          <w:color w:val="000000" w:themeColor="text1"/>
          <w:kern w:val="0"/>
          <w:sz w:val="24"/>
          <w:szCs w:val="24"/>
        </w:rPr>
      </w:pPr>
      <w:r w:rsidRPr="00C36FBA">
        <w:rPr>
          <w:rFonts w:eastAsiaTheme="minorEastAsia"/>
          <w:color w:val="000000" w:themeColor="text1"/>
          <w:kern w:val="0"/>
          <w:sz w:val="24"/>
          <w:szCs w:val="24"/>
        </w:rPr>
        <w:t xml:space="preserve">§9 </w:t>
      </w:r>
      <w:r w:rsidR="00F139D5" w:rsidRPr="00C36FBA">
        <w:rPr>
          <w:rFonts w:eastAsiaTheme="minorEastAsia"/>
          <w:color w:val="000000" w:themeColor="text1"/>
          <w:kern w:val="0"/>
          <w:sz w:val="24"/>
          <w:szCs w:val="24"/>
        </w:rPr>
        <w:t xml:space="preserve"> </w:t>
      </w:r>
      <w:r w:rsidRPr="00C36FBA">
        <w:rPr>
          <w:rFonts w:eastAsiaTheme="minorEastAsia"/>
          <w:color w:val="000000" w:themeColor="text1"/>
          <w:kern w:val="0"/>
          <w:sz w:val="24"/>
          <w:szCs w:val="24"/>
        </w:rPr>
        <w:t>影响投资者决策的其他重要信息</w:t>
      </w:r>
    </w:p>
    <w:p w:rsidR="00ED0E09" w:rsidRPr="00C36FBA" w:rsidRDefault="00ED0E09" w:rsidP="00ED0E09">
      <w:pPr>
        <w:autoSpaceDE w:val="0"/>
        <w:autoSpaceDN w:val="0"/>
        <w:adjustRightInd w:val="0"/>
        <w:spacing w:line="360" w:lineRule="auto"/>
        <w:jc w:val="left"/>
        <w:rPr>
          <w:b/>
          <w:bCs/>
          <w:color w:val="000000"/>
          <w:kern w:val="0"/>
          <w:sz w:val="24"/>
        </w:rPr>
      </w:pPr>
      <w:r w:rsidRPr="00C36FBA">
        <w:rPr>
          <w:b/>
          <w:bCs/>
          <w:color w:val="000000"/>
          <w:kern w:val="0"/>
          <w:sz w:val="24"/>
        </w:rPr>
        <w:t xml:space="preserve">9.1 </w:t>
      </w:r>
      <w:r w:rsidRPr="00C36FBA">
        <w:rPr>
          <w:b/>
          <w:bCs/>
          <w:color w:val="000000"/>
          <w:kern w:val="0"/>
          <w:sz w:val="24"/>
        </w:rPr>
        <w:t>报告期内单一投资者持有基金份额比例达到或超过</w:t>
      </w:r>
      <w:r w:rsidRPr="00C36FBA">
        <w:rPr>
          <w:b/>
          <w:bCs/>
          <w:color w:val="000000"/>
          <w:kern w:val="0"/>
          <w:sz w:val="24"/>
        </w:rPr>
        <w:t>20%</w:t>
      </w:r>
      <w:r w:rsidRPr="00C36FBA">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45870">
        <w:tc>
          <w:tcPr>
            <w:tcW w:w="992" w:type="dxa"/>
            <w:vMerge w:val="restart"/>
          </w:tcPr>
          <w:p w:rsidR="00445870" w:rsidRDefault="00445870"/>
          <w:p w:rsidR="00445870" w:rsidRDefault="00443826">
            <w:r>
              <w:rPr>
                <w:rFonts w:ascii="宋体" w:hAnsi="宋体" w:hint="eastAsia"/>
                <w:bCs/>
                <w:color w:val="000000"/>
                <w:kern w:val="0"/>
                <w:szCs w:val="21"/>
              </w:rPr>
              <w:t>机构</w:t>
            </w:r>
          </w:p>
        </w:tc>
        <w:tc>
          <w:tcPr>
            <w:tcW w:w="991" w:type="dxa"/>
            <w:vAlign w:val="center"/>
          </w:tcPr>
          <w:p w:rsidR="00445870" w:rsidRDefault="00443826">
            <w:pPr>
              <w:jc w:val="center"/>
            </w:pPr>
            <w:r>
              <w:rPr>
                <w:rFonts w:ascii="宋体" w:hAnsi="宋体" w:hint="eastAsia"/>
                <w:color w:val="000000"/>
                <w:kern w:val="0"/>
                <w:szCs w:val="21"/>
              </w:rPr>
              <w:t>1</w:t>
            </w:r>
          </w:p>
        </w:tc>
        <w:tc>
          <w:tcPr>
            <w:tcW w:w="1843" w:type="dxa"/>
            <w:vAlign w:val="center"/>
          </w:tcPr>
          <w:p w:rsidR="00445870" w:rsidRDefault="00443826">
            <w:pPr>
              <w:jc w:val="center"/>
            </w:pPr>
            <w:r>
              <w:rPr>
                <w:rFonts w:ascii="宋体" w:hAnsi="宋体" w:hint="eastAsia"/>
                <w:color w:val="000000"/>
                <w:kern w:val="0"/>
                <w:szCs w:val="21"/>
              </w:rPr>
              <w:t>2018/10/1-2018/12/31</w:t>
            </w:r>
          </w:p>
        </w:tc>
        <w:tc>
          <w:tcPr>
            <w:tcW w:w="851" w:type="dxa"/>
            <w:vAlign w:val="center"/>
          </w:tcPr>
          <w:p w:rsidR="00445870" w:rsidRDefault="00443826">
            <w:pPr>
              <w:jc w:val="center"/>
            </w:pPr>
            <w:r>
              <w:rPr>
                <w:rFonts w:ascii="宋体" w:hAnsi="宋体" w:hint="eastAsia"/>
                <w:color w:val="000000"/>
                <w:kern w:val="0"/>
                <w:szCs w:val="21"/>
              </w:rPr>
              <w:t>101,549,639.99</w:t>
            </w:r>
          </w:p>
        </w:tc>
        <w:tc>
          <w:tcPr>
            <w:tcW w:w="850" w:type="dxa"/>
            <w:vAlign w:val="center"/>
          </w:tcPr>
          <w:p w:rsidR="00445870" w:rsidRDefault="00443826">
            <w:pPr>
              <w:jc w:val="center"/>
            </w:pPr>
            <w:r>
              <w:rPr>
                <w:rFonts w:ascii="宋体" w:hAnsi="宋体" w:hint="eastAsia"/>
                <w:color w:val="000000"/>
                <w:kern w:val="0"/>
                <w:szCs w:val="21"/>
              </w:rPr>
              <w:t>-</w:t>
            </w:r>
          </w:p>
        </w:tc>
        <w:tc>
          <w:tcPr>
            <w:tcW w:w="1134" w:type="dxa"/>
            <w:vAlign w:val="center"/>
          </w:tcPr>
          <w:p w:rsidR="00445870" w:rsidRDefault="00443826">
            <w:pPr>
              <w:jc w:val="center"/>
            </w:pPr>
            <w:r>
              <w:rPr>
                <w:rFonts w:ascii="宋体" w:hAnsi="宋体" w:hint="eastAsia"/>
                <w:color w:val="000000"/>
                <w:kern w:val="0"/>
                <w:szCs w:val="21"/>
              </w:rPr>
              <w:t>101,549,639.99</w:t>
            </w:r>
          </w:p>
        </w:tc>
        <w:tc>
          <w:tcPr>
            <w:tcW w:w="1419" w:type="dxa"/>
            <w:vAlign w:val="center"/>
          </w:tcPr>
          <w:p w:rsidR="00445870" w:rsidRDefault="00443826">
            <w:pPr>
              <w:jc w:val="center"/>
            </w:pPr>
            <w:r>
              <w:rPr>
                <w:rFonts w:ascii="宋体" w:hAnsi="宋体" w:hint="eastAsia"/>
                <w:color w:val="000000"/>
                <w:kern w:val="0"/>
                <w:szCs w:val="21"/>
              </w:rPr>
              <w:t>-</w:t>
            </w:r>
          </w:p>
        </w:tc>
        <w:tc>
          <w:tcPr>
            <w:tcW w:w="1130" w:type="dxa"/>
            <w:vAlign w:val="center"/>
          </w:tcPr>
          <w:p w:rsidR="00445870" w:rsidRDefault="00443826">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CF633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445870" w:rsidRDefault="0044382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EA9" w:rsidRDefault="00934EA9">
      <w:r>
        <w:separator/>
      </w:r>
    </w:p>
  </w:endnote>
  <w:endnote w:type="continuationSeparator" w:id="0">
    <w:p w:rsidR="00934EA9" w:rsidRDefault="0093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062A6">
      <w:rPr>
        <w:noProof/>
        <w:kern w:val="0"/>
        <w:szCs w:val="21"/>
      </w:rPr>
      <w:t>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062A6">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EA9" w:rsidRDefault="00934EA9">
      <w:r>
        <w:separator/>
      </w:r>
    </w:p>
  </w:footnote>
  <w:footnote w:type="continuationSeparator" w:id="0">
    <w:p w:rsidR="00934EA9" w:rsidRDefault="00934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062A6"/>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826"/>
    <w:rsid w:val="00443C8F"/>
    <w:rsid w:val="00445870"/>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09A5"/>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1AB7"/>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4EA9"/>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36FBA"/>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A02"/>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CF6333"/>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CDCB1BA9-4E91-455D-9201-1DCDC1AD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7469-9271-47FE-90EB-6DE9AFF8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224</TotalTime>
  <Pages>13</Pages>
  <Words>1103</Words>
  <Characters>6288</Characters>
  <Application>Microsoft Office Word</Application>
  <DocSecurity>0</DocSecurity>
  <Lines>52</Lines>
  <Paragraphs>14</Paragraphs>
  <ScaleCrop>false</ScaleCrop>
  <Company>TRT. Ltd. Co.</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383</cp:revision>
  <cp:lastPrinted>2007-07-19T00:46:00Z</cp:lastPrinted>
  <dcterms:created xsi:type="dcterms:W3CDTF">2014-01-17T06:19:00Z</dcterms:created>
  <dcterms:modified xsi:type="dcterms:W3CDTF">2019-01-17T09:36:00Z</dcterms:modified>
</cp:coreProperties>
</file>