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交银施罗德消费新驱动股票型证券投资基金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2015年7月1日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695,707,385.56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85%×中证内地消费主题指数+15%×中证综合债券指数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-21,846,439.57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-84,835,242.19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-0.1218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619,757,203.52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0.891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-11.78%</w:t>
            </w:r>
          </w:p>
        </w:tc>
        <w:tc>
          <w:tcPr>
            <w:vAlign w:val="center"/>
          </w:tcPr>
          <w:p>
            <w:pPr>
              <w:jc w:val="center"/>
            </w:pPr>
            <w:r>
              <w:rPr>
                <w:color w:val="000000"/>
                <w:sz w:val="24"/>
                <w:szCs w:val="24"/>
              </w:rPr>
              <w:t>1.90%</w:t>
            </w:r>
          </w:p>
        </w:tc>
        <w:tc>
          <w:tcPr>
            <w:vAlign w:val="center"/>
          </w:tcPr>
          <w:p>
            <w:pPr>
              <w:jc w:val="center"/>
            </w:pPr>
            <w:r>
              <w:rPr>
                <w:color w:val="000000"/>
                <w:sz w:val="24"/>
                <w:szCs w:val="24"/>
              </w:rPr>
              <w:t>-12.37%</w:t>
            </w:r>
          </w:p>
        </w:tc>
        <w:tc>
          <w:tcPr>
            <w:vAlign w:val="center"/>
          </w:tcPr>
          <w:p>
            <w:pPr>
              <w:jc w:val="center"/>
            </w:pPr>
            <w:r>
              <w:rPr>
                <w:color w:val="000000"/>
                <w:sz w:val="24"/>
                <w:szCs w:val="24"/>
              </w:rPr>
              <w:t>1.72%</w:t>
            </w:r>
          </w:p>
        </w:tc>
        <w:tc>
          <w:tcPr>
            <w:vAlign w:val="center"/>
          </w:tcPr>
          <w:p>
            <w:pPr>
              <w:jc w:val="center"/>
            </w:pPr>
            <w:r>
              <w:rPr>
                <w:color w:val="000000"/>
                <w:sz w:val="24"/>
                <w:szCs w:val="24"/>
              </w:rPr>
              <w:t>0.59%</w:t>
            </w:r>
          </w:p>
        </w:tc>
        <w:tc>
          <w:tcPr>
            <w:vAlign w:val="center"/>
          </w:tcPr>
          <w:p>
            <w:pPr>
              <w:jc w:val="center"/>
            </w:pPr>
            <w:r>
              <w:rPr>
                <w:color w:val="000000"/>
                <w:sz w:val="24"/>
                <w:szCs w:val="24"/>
              </w:rPr>
              <w:t>0.18%</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85%×中证内地消费主题指数+15%×中信标普全债指数”变更为“85%×中证内地消费主题指数+15%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交银施罗德消费新驱动股票型证券投资基金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2015年7月1日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沪深300行业分层等权重指数证券投资基金转型而来。基金转型日为2015年7月1日。本基金的投资转型期为交银施罗德沪深300行业分层等权重指数证券投资基金转型实施日（即2015年7月1日）起的6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2018-08-24</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进入2018年四季度，贸易战和人民币汇率等海外因素进入白热化阶段，导致海外资金对于国内市场的边际波动影响进一步扩大。国内宏观经济开始出现下降的趋势，虽然从七月出现了货币政策和财政政策的双拐点，但是真正反映到资本市场的流动性向好还需要一定的时滞，整个A股市场的赚钱效应并不是特别明显。</w:t>
      </w:r>
    </w:p>
    <w:p>
      <w:pPr>
        <w:spacing w:before="29" w:line="288" w:lineRule="auto"/>
        <w:ind w:firstLine="480" w:firstLineChars="200"/>
        <w:rPr>
          <w:color w:val="000000"/>
          <w:sz w:val="24"/>
          <w:szCs w:val="24"/>
        </w:rPr>
      </w:pPr>
      <w:r>
        <w:rPr>
          <w:color w:val="000000"/>
          <w:sz w:val="24"/>
          <w:szCs w:val="24"/>
        </w:rPr>
        <w:t>本基金四季度维持在中性仓位，十月份在市场大幅回落的时候，适当提高了部分仓位。第一，考虑到十月以后中美汇率敞口可能带来的人民币汇率阶段性升值的机会，适度增加了黄金、基建、航空等配置比例，并在十一月中下旬逐步兑现，目前基本上已兑现完毕。第二，本基金在2018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2019年一季度整体房地产销售面积和新开工面积等中观数据压力会比较大，后续更多的还是要关注2019年三、四月的政策时间窗口以及市场对于地产龙头企业的业绩预期变化。第三，本基金在十二月中下旬增加了消费白马龙头的配置比例，特别是市场预期较低的白马龙头。这些白马龙头虽然预计2019年业绩增速大概率低于2018年，但是在整体宏观经济放缓的背景下已经逐步稀缺。经过中报以及三季报对于消费白马龙头的盈利预测下调，目前整体处于低预期下的低估值。从现金流和未来空间来看，目前的消费白马虽然股价弹性可能不是太大，但是在2019年应该能够获得不错的绝对收益和分红收益率。</w:t>
      </w:r>
    </w:p>
    <w:p>
      <w:pPr>
        <w:spacing w:before="29" w:line="288" w:lineRule="auto"/>
        <w:ind w:firstLine="480" w:firstLineChars="200"/>
        <w:rPr>
          <w:color w:val="000000"/>
          <w:sz w:val="24"/>
          <w:szCs w:val="24"/>
        </w:rPr>
      </w:pPr>
      <w:r>
        <w:rPr>
          <w:color w:val="000000"/>
          <w:sz w:val="24"/>
          <w:szCs w:val="24"/>
        </w:rPr>
        <w:t>展望2019年一季度：首先，中美贸易摩擦预估基本告一段落，美国如果在一季度末放缓加息进度，有望推动人民币汇率往升值方向发展，在标普纳入A股以及2019年年中MSCI比例提高的背景下，以人民币计价的A股在全球市场的吸引力会明显提升。其次，国内宏观增速出现回落已经形成一直预期，除非出现超预期的黑天鹅事件，否则整个市场的风险偏好很难进一步下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在2019年一季度将维持现有仓位和配置思路，从现金流低预期的角度配置消费白马龙头，特别是因为市场风险偏好或者博弈因素出现非理性下跌的龙头公司。此外，希望通过自下而上的研究方式，从而挖掘到一季度能够业绩明显超预期的消费小黑马，并在一季度末开始做重点研究和配置。</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545,815,110.14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86.95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545,815,110.14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86.95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19,956,000.00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19,956,000.00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55,735,838.53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6,216,670.63</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0.99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627,723,619.30</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394,460,229.52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27,622,174.46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50,145.80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122,672,468.56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506,985.72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503,106.08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545,815,110.14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88.07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98,308</w:t>
            </w:r>
          </w:p>
        </w:tc>
        <w:tc>
          <w:tcPr>
            <w:vAlign w:val="center"/>
          </w:tcPr>
          <w:p>
            <w:pPr>
              <w:jc w:val="right"/>
            </w:pPr>
            <w:r>
              <w:rPr>
                <w:color w:val="000000"/>
                <w:sz w:val="24"/>
                <w:szCs w:val="24"/>
              </w:rPr>
              <w:t>58,002,703.08</w:t>
            </w:r>
          </w:p>
        </w:tc>
        <w:tc>
          <w:tcPr>
            <w:vAlign w:val="center"/>
          </w:tcPr>
          <w:p>
            <w:pPr>
              <w:jc w:val="right"/>
            </w:pPr>
            <w:r>
              <w:rPr>
                <w:color w:val="000000"/>
                <w:sz w:val="24"/>
                <w:szCs w:val="24"/>
              </w:rPr>
              <w:t>9.36</w:t>
            </w:r>
          </w:p>
        </w:tc>
      </w:tr>
      <w:tr>
        <w:tc>
          <w:tcPr>
            <w:vAlign w:val="center"/>
          </w:tcPr>
          <w:p>
            <w:pPr>
              <w:jc w:val="center"/>
            </w:pPr>
            <w:r>
              <w:rPr>
                <w:color w:val="000000"/>
                <w:sz w:val="24"/>
                <w:szCs w:val="24"/>
              </w:rPr>
              <w:t>2</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3,372,771</w:t>
            </w:r>
          </w:p>
        </w:tc>
        <w:tc>
          <w:tcPr>
            <w:vAlign w:val="center"/>
          </w:tcPr>
          <w:p>
            <w:pPr>
              <w:jc w:val="right"/>
            </w:pPr>
            <w:r>
              <w:rPr>
                <w:color w:val="000000"/>
                <w:sz w:val="24"/>
                <w:szCs w:val="24"/>
              </w:rPr>
              <w:t>57,303,379.29</w:t>
            </w:r>
          </w:p>
        </w:tc>
        <w:tc>
          <w:tcPr>
            <w:vAlign w:val="center"/>
          </w:tcPr>
          <w:p>
            <w:pPr>
              <w:jc w:val="right"/>
            </w:pPr>
            <w:r>
              <w:rPr>
                <w:color w:val="000000"/>
                <w:sz w:val="24"/>
                <w:szCs w:val="24"/>
              </w:rPr>
              <w:t>9.25</w:t>
            </w:r>
          </w:p>
        </w:tc>
      </w:tr>
      <w:tr>
        <w:tc>
          <w:tcPr>
            <w:vAlign w:val="center"/>
          </w:tcPr>
          <w:p>
            <w:pPr>
              <w:jc w:val="center"/>
            </w:pPr>
            <w:r>
              <w:rPr>
                <w:color w:val="000000"/>
                <w:sz w:val="24"/>
                <w:szCs w:val="24"/>
              </w:rPr>
              <w:t>3</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501,482</w:t>
            </w:r>
          </w:p>
        </w:tc>
        <w:tc>
          <w:tcPr>
            <w:vAlign w:val="center"/>
          </w:tcPr>
          <w:p>
            <w:pPr>
              <w:jc w:val="right"/>
            </w:pPr>
            <w:r>
              <w:rPr>
                <w:color w:val="000000"/>
                <w:sz w:val="24"/>
                <w:szCs w:val="24"/>
              </w:rPr>
              <w:t>47,500,375.04</w:t>
            </w:r>
          </w:p>
        </w:tc>
        <w:tc>
          <w:tcPr>
            <w:vAlign w:val="center"/>
          </w:tcPr>
          <w:p>
            <w:pPr>
              <w:jc w:val="right"/>
            </w:pPr>
            <w:r>
              <w:rPr>
                <w:color w:val="000000"/>
                <w:sz w:val="24"/>
                <w:szCs w:val="24"/>
              </w:rPr>
              <w:t>7.66</w:t>
            </w:r>
          </w:p>
        </w:tc>
      </w:tr>
      <w:tr>
        <w:tc>
          <w:tcPr>
            <w:vAlign w:val="center"/>
          </w:tcPr>
          <w:p>
            <w:pPr>
              <w:jc w:val="center"/>
            </w:pPr>
            <w:r>
              <w:rPr>
                <w:color w:val="000000"/>
                <w:sz w:val="24"/>
                <w:szCs w:val="24"/>
              </w:rPr>
              <w:t>4</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923,854</w:t>
            </w:r>
          </w:p>
        </w:tc>
        <w:tc>
          <w:tcPr>
            <w:vAlign w:val="center"/>
          </w:tcPr>
          <w:p>
            <w:pPr>
              <w:jc w:val="right"/>
            </w:pPr>
            <w:r>
              <w:rPr>
                <w:color w:val="000000"/>
                <w:sz w:val="24"/>
                <w:szCs w:val="24"/>
              </w:rPr>
              <w:t>47,005,691.52</w:t>
            </w:r>
          </w:p>
        </w:tc>
        <w:tc>
          <w:tcPr>
            <w:vAlign w:val="center"/>
          </w:tcPr>
          <w:p>
            <w:pPr>
              <w:jc w:val="right"/>
            </w:pPr>
            <w:r>
              <w:rPr>
                <w:color w:val="000000"/>
                <w:sz w:val="24"/>
                <w:szCs w:val="24"/>
              </w:rPr>
              <w:t>7.58</w:t>
            </w:r>
          </w:p>
        </w:tc>
      </w:tr>
      <w:tr>
        <w:tc>
          <w:tcPr>
            <w:vAlign w:val="center"/>
          </w:tcPr>
          <w:p>
            <w:pPr>
              <w:jc w:val="center"/>
            </w:pPr>
            <w:r>
              <w:rPr>
                <w:color w:val="000000"/>
                <w:sz w:val="24"/>
                <w:szCs w:val="24"/>
              </w:rPr>
              <w:t>5</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3,845,611</w:t>
            </w:r>
          </w:p>
        </w:tc>
        <w:tc>
          <w:tcPr>
            <w:vAlign w:val="center"/>
          </w:tcPr>
          <w:p>
            <w:pPr>
              <w:jc w:val="right"/>
            </w:pPr>
            <w:r>
              <w:rPr>
                <w:color w:val="000000"/>
                <w:sz w:val="24"/>
                <w:szCs w:val="24"/>
              </w:rPr>
              <w:t>45,339,753.69</w:t>
            </w:r>
          </w:p>
        </w:tc>
        <w:tc>
          <w:tcPr>
            <w:vAlign w:val="center"/>
          </w:tcPr>
          <w:p>
            <w:pPr>
              <w:jc w:val="right"/>
            </w:pPr>
            <w:r>
              <w:rPr>
                <w:color w:val="000000"/>
                <w:sz w:val="24"/>
                <w:szCs w:val="24"/>
              </w:rPr>
              <w:t>7.32</w:t>
            </w:r>
          </w:p>
        </w:tc>
      </w:tr>
      <w:tr>
        <w:tc>
          <w:tcPr>
            <w:vAlign w:val="center"/>
          </w:tcPr>
          <w:p>
            <w:pPr>
              <w:jc w:val="center"/>
            </w:pPr>
            <w:r>
              <w:rPr>
                <w:color w:val="000000"/>
                <w:sz w:val="24"/>
                <w:szCs w:val="24"/>
              </w:rPr>
              <w:t>6</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1,592,060</w:t>
            </w:r>
          </w:p>
        </w:tc>
        <w:tc>
          <w:tcPr>
            <w:vAlign w:val="center"/>
          </w:tcPr>
          <w:p>
            <w:pPr>
              <w:jc w:val="right"/>
            </w:pPr>
            <w:r>
              <w:rPr>
                <w:color w:val="000000"/>
                <w:sz w:val="24"/>
                <w:szCs w:val="24"/>
              </w:rPr>
              <w:t>37,715,901.40</w:t>
            </w:r>
          </w:p>
        </w:tc>
        <w:tc>
          <w:tcPr>
            <w:vAlign w:val="center"/>
          </w:tcPr>
          <w:p>
            <w:pPr>
              <w:jc w:val="right"/>
            </w:pPr>
            <w:r>
              <w:rPr>
                <w:color w:val="000000"/>
                <w:sz w:val="24"/>
                <w:szCs w:val="24"/>
              </w:rPr>
              <w:t>6.09</w:t>
            </w:r>
          </w:p>
        </w:tc>
      </w:tr>
      <w:tr>
        <w:tc>
          <w:tcPr>
            <w:vAlign w:val="center"/>
          </w:tcPr>
          <w:p>
            <w:pPr>
              <w:jc w:val="center"/>
            </w:pPr>
            <w:r>
              <w:rPr>
                <w:color w:val="000000"/>
                <w:sz w:val="24"/>
                <w:szCs w:val="24"/>
              </w:rPr>
              <w:t>7</w:t>
            </w:r>
          </w:p>
        </w:tc>
        <w:tc>
          <w:tcPr>
            <w:vAlign w:val="center"/>
          </w:tcPr>
          <w:p>
            <w:pPr>
              <w:jc w:val="center"/>
            </w:pPr>
            <w:r>
              <w:rPr>
                <w:color w:val="000000"/>
                <w:sz w:val="24"/>
                <w:szCs w:val="24"/>
              </w:rPr>
              <w:t>603808</w:t>
            </w:r>
          </w:p>
        </w:tc>
        <w:tc>
          <w:tcPr>
            <w:vAlign w:val="center"/>
          </w:tcPr>
          <w:p>
            <w:pPr>
              <w:jc w:val="center"/>
            </w:pPr>
            <w:r>
              <w:rPr>
                <w:color w:val="000000"/>
                <w:sz w:val="24"/>
                <w:szCs w:val="24"/>
              </w:rPr>
              <w:t>歌力思</w:t>
            </w:r>
          </w:p>
        </w:tc>
        <w:tc>
          <w:tcPr>
            <w:vAlign w:val="center"/>
          </w:tcPr>
          <w:p>
            <w:pPr>
              <w:jc w:val="right"/>
            </w:pPr>
            <w:r>
              <w:rPr>
                <w:color w:val="000000"/>
                <w:sz w:val="24"/>
                <w:szCs w:val="24"/>
              </w:rPr>
              <w:t>2,195,970</w:t>
            </w:r>
          </w:p>
        </w:tc>
        <w:tc>
          <w:tcPr>
            <w:vAlign w:val="center"/>
          </w:tcPr>
          <w:p>
            <w:pPr>
              <w:jc w:val="right"/>
            </w:pPr>
            <w:r>
              <w:rPr>
                <w:color w:val="000000"/>
                <w:sz w:val="24"/>
                <w:szCs w:val="24"/>
              </w:rPr>
              <w:t>35,662,552.80</w:t>
            </w:r>
          </w:p>
        </w:tc>
        <w:tc>
          <w:tcPr>
            <w:vAlign w:val="center"/>
          </w:tcPr>
          <w:p>
            <w:pPr>
              <w:jc w:val="right"/>
            </w:pPr>
            <w:r>
              <w:rPr>
                <w:color w:val="000000"/>
                <w:sz w:val="24"/>
                <w:szCs w:val="24"/>
              </w:rPr>
              <w:t>5.75</w:t>
            </w:r>
          </w:p>
        </w:tc>
      </w:tr>
      <w:tr>
        <w:tc>
          <w:tcPr>
            <w:vAlign w:val="center"/>
          </w:tcPr>
          <w:p>
            <w:pPr>
              <w:jc w:val="center"/>
            </w:pPr>
            <w:r>
              <w:rPr>
                <w:color w:val="000000"/>
                <w:sz w:val="24"/>
                <w:szCs w:val="24"/>
              </w:rPr>
              <w:t>8</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1,392,700</w:t>
            </w:r>
          </w:p>
        </w:tc>
        <w:tc>
          <w:tcPr>
            <w:vAlign w:val="center"/>
          </w:tcPr>
          <w:p>
            <w:pPr>
              <w:jc w:val="right"/>
            </w:pPr>
            <w:r>
              <w:rPr>
                <w:color w:val="000000"/>
                <w:sz w:val="24"/>
                <w:szCs w:val="24"/>
              </w:rPr>
              <w:t>31,864,976.00</w:t>
            </w:r>
          </w:p>
        </w:tc>
        <w:tc>
          <w:tcPr>
            <w:vAlign w:val="center"/>
          </w:tcPr>
          <w:p>
            <w:pPr>
              <w:jc w:val="right"/>
            </w:pPr>
            <w:r>
              <w:rPr>
                <w:color w:val="000000"/>
                <w:sz w:val="24"/>
                <w:szCs w:val="24"/>
              </w:rPr>
              <w:t>5.14</w:t>
            </w:r>
          </w:p>
        </w:tc>
      </w:tr>
      <w:tr>
        <w:tc>
          <w:tcPr>
            <w:vAlign w:val="center"/>
          </w:tcPr>
          <w:p>
            <w:pPr>
              <w:jc w:val="center"/>
            </w:pPr>
            <w:r>
              <w:rPr>
                <w:color w:val="000000"/>
                <w:sz w:val="24"/>
                <w:szCs w:val="24"/>
              </w:rPr>
              <w:t>9</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582,200</w:t>
            </w:r>
          </w:p>
        </w:tc>
        <w:tc>
          <w:tcPr>
            <w:vAlign w:val="center"/>
          </w:tcPr>
          <w:p>
            <w:pPr>
              <w:jc w:val="right"/>
            </w:pPr>
            <w:r>
              <w:rPr>
                <w:color w:val="000000"/>
                <w:sz w:val="24"/>
                <w:szCs w:val="24"/>
              </w:rPr>
              <w:t>30,711,050.00</w:t>
            </w:r>
          </w:p>
        </w:tc>
        <w:tc>
          <w:tcPr>
            <w:vAlign w:val="center"/>
          </w:tcPr>
          <w:p>
            <w:pPr>
              <w:jc w:val="right"/>
            </w:pPr>
            <w:r>
              <w:rPr>
                <w:color w:val="000000"/>
                <w:sz w:val="24"/>
                <w:szCs w:val="24"/>
              </w:rPr>
              <w:t>4.96</w:t>
            </w:r>
          </w:p>
        </w:tc>
      </w:tr>
      <w:tr>
        <w:tc>
          <w:tcPr>
            <w:vAlign w:val="center"/>
          </w:tcPr>
          <w:p>
            <w:pPr>
              <w:jc w:val="center"/>
            </w:pPr>
            <w:r>
              <w:rPr>
                <w:color w:val="000000"/>
                <w:sz w:val="24"/>
                <w:szCs w:val="24"/>
              </w:rPr>
              <w:t>10</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1,281,411</w:t>
            </w:r>
          </w:p>
        </w:tc>
        <w:tc>
          <w:tcPr>
            <w:vAlign w:val="center"/>
          </w:tcPr>
          <w:p>
            <w:pPr>
              <w:jc w:val="right"/>
            </w:pPr>
            <w:r>
              <w:rPr>
                <w:color w:val="000000"/>
                <w:sz w:val="24"/>
                <w:szCs w:val="24"/>
              </w:rPr>
              <w:t>30,523,210.02</w:t>
            </w:r>
          </w:p>
        </w:tc>
        <w:tc>
          <w:tcPr>
            <w:vAlign w:val="center"/>
          </w:tcPr>
          <w:p>
            <w:pPr>
              <w:jc w:val="right"/>
            </w:pPr>
            <w:r>
              <w:rPr>
                <w:color w:val="000000"/>
                <w:sz w:val="24"/>
                <w:szCs w:val="24"/>
              </w:rPr>
              <w:t>4.93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9,952,000.00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10,004,000.00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10,004,000.00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19,956,000.00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3.22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180301</w:t>
            </w:r>
          </w:p>
        </w:tc>
        <w:tc>
          <w:tcPr>
            <w:vAlign w:val="center"/>
          </w:tcPr>
          <w:p>
            <w:pPr>
              <w:jc w:val="center"/>
            </w:pPr>
            <w:r>
              <w:rPr>
                <w:color w:val="000000"/>
                <w:sz w:val="24"/>
                <w:szCs w:val="24"/>
              </w:rPr>
              <w:t>18进出01</w:t>
            </w:r>
          </w:p>
        </w:tc>
        <w:tc>
          <w:tcPr>
            <w:vAlign w:val="center"/>
          </w:tcPr>
          <w:p>
            <w:pPr>
              <w:jc w:val="right"/>
            </w:pPr>
            <w:r>
              <w:rPr>
                <w:color w:val="000000"/>
                <w:sz w:val="24"/>
                <w:szCs w:val="24"/>
              </w:rPr>
              <w:t>100,000</w:t>
            </w:r>
          </w:p>
        </w:tc>
        <w:tc>
          <w:tcPr>
            <w:vAlign w:val="center"/>
          </w:tcPr>
          <w:p>
            <w:pPr>
              <w:jc w:val="right"/>
            </w:pPr>
            <w:r>
              <w:rPr>
                <w:color w:val="000000"/>
                <w:sz w:val="24"/>
                <w:szCs w:val="24"/>
              </w:rPr>
              <w:t>10,004,000.00</w:t>
            </w:r>
          </w:p>
        </w:tc>
        <w:tc>
          <w:tcPr>
            <w:vAlign w:val="center"/>
          </w:tcPr>
          <w:p>
            <w:pPr>
              <w:jc w:val="right"/>
            </w:pPr>
            <w:r>
              <w:rPr>
                <w:color w:val="000000"/>
                <w:sz w:val="24"/>
                <w:szCs w:val="24"/>
              </w:rPr>
              <w:t>1.61</w:t>
            </w:r>
          </w:p>
        </w:tc>
      </w:tr>
      <w:tr>
        <w:tc>
          <w:tcPr>
            <w:vAlign w:val="center"/>
          </w:tcPr>
          <w:p>
            <w:pPr>
              <w:jc w:val="center"/>
            </w:pPr>
            <w:r>
              <w:rPr>
                <w:color w:val="000000"/>
                <w:sz w:val="24"/>
                <w:szCs w:val="24"/>
              </w:rPr>
              <w:t>2</w:t>
            </w:r>
          </w:p>
        </w:tc>
        <w:tc>
          <w:tcPr>
            <w:vAlign w:val="center"/>
          </w:tcPr>
          <w:p>
            <w:pPr>
              <w:jc w:val="center"/>
            </w:pPr>
            <w:r>
              <w:rPr>
                <w:color w:val="000000"/>
                <w:sz w:val="24"/>
                <w:szCs w:val="24"/>
              </w:rPr>
              <w:t>189946</w:t>
            </w:r>
          </w:p>
        </w:tc>
        <w:tc>
          <w:tcPr>
            <w:vAlign w:val="center"/>
          </w:tcPr>
          <w:p>
            <w:pPr>
              <w:jc w:val="center"/>
            </w:pPr>
            <w:r>
              <w:rPr>
                <w:color w:val="000000"/>
                <w:sz w:val="24"/>
                <w:szCs w:val="24"/>
              </w:rPr>
              <w:t>18贴现国债46</w:t>
            </w:r>
          </w:p>
        </w:tc>
        <w:tc>
          <w:tcPr>
            <w:vAlign w:val="center"/>
          </w:tcPr>
          <w:p>
            <w:pPr>
              <w:jc w:val="right"/>
            </w:pPr>
            <w:r>
              <w:rPr>
                <w:color w:val="000000"/>
                <w:sz w:val="24"/>
                <w:szCs w:val="24"/>
              </w:rPr>
              <w:t>100,000</w:t>
            </w:r>
          </w:p>
        </w:tc>
        <w:tc>
          <w:tcPr>
            <w:vAlign w:val="center"/>
          </w:tcPr>
          <w:p>
            <w:pPr>
              <w:jc w:val="right"/>
            </w:pPr>
            <w:r>
              <w:rPr>
                <w:color w:val="000000"/>
                <w:sz w:val="24"/>
                <w:szCs w:val="24"/>
              </w:rPr>
              <w:t>9,952,000.00</w:t>
            </w:r>
          </w:p>
        </w:tc>
        <w:tc>
          <w:tcPr>
            <w:vAlign w:val="center"/>
          </w:tcPr>
          <w:p>
            <w:pPr>
              <w:jc w:val="right"/>
            </w:pPr>
            <w:r>
              <w:rPr>
                <w:color w:val="000000"/>
                <w:sz w:val="24"/>
                <w:szCs w:val="24"/>
              </w:rPr>
              <w:t>1.61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367,412.83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5,131,137.12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461,300.56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256,820.12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6,216,670.63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706,030,567.47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22,763,581.98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33,086,763.89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695,707,385.56</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ED2620" w:rsidRDefault="00ED2620" w:rsidRPr="00ED2620">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type="dxa" w:w="8868"/>
        <w:jc w:val="center"/>
        <w:tblLayout w:type="fixed"/>
        <w:tblLook w:val="04A0"/>
      </w:tblPr>
      <w:tblGrid>
        <w:gridCol w:w="5308"/>
        <w:gridCol w:w="3560"/>
      </w:tblGrid>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2.12</w:t>
            </w:r>
          </w:p>
        </w:tc>
      </w:tr>
    </w:tbl>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2018/10/1-2018/12/31</w:t>
            </w:r>
          </w:p>
        </w:tc>
        <w:tc>
          <w:tcPr>
            <w:vAlign w:val="center"/>
          </w:tcPr>
          <w:p>
            <w:pPr>
              <w:jc w:val="center"/>
            </w:pPr>
            <w:r>
              <w:rPr>
                <w:rFonts w:ascii="宋体" w:hAnsi="宋体"/>
                <w:color w:val="000000"/>
                <w:kern w:val="0"/>
              </w:rPr>
              <w:t>192,574,688.69</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192,574,688.69</w:t>
            </w:r>
          </w:p>
        </w:tc>
        <w:tc>
          <w:tcPr>
            <w:vAlign w:val="center"/>
          </w:tcPr>
          <w:p>
            <w:pPr>
              <w:jc w:val="center"/>
            </w:pPr>
            <w:r>
              <w:rPr>
                <w:rFonts w:ascii="宋体" w:hAnsi="宋体"/>
                <w:color w:val="000000"/>
                <w:kern w:val="0"/>
              </w:rPr>
              <w:t>27.68%</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1、中国证监会批准交银施罗德沪深300行业分层等权重指数证券投资基金募集的文件；</w:t>
      </w:r>
    </w:p>
    <w:p>
      <w:pPr>
        <w:spacing w:before="29" w:line="288" w:lineRule="auto"/>
        <w:ind w:firstLine="480" w:firstLineChars="200"/>
        <w:rPr>
          <w:color w:val="000000"/>
          <w:sz w:val="24"/>
          <w:szCs w:val="24"/>
        </w:rPr>
      </w:pPr>
      <w:r>
        <w:rPr>
          <w:color w:val="000000"/>
          <w:sz w:val="24"/>
          <w:szCs w:val="24"/>
        </w:rPr>
        <w:t>2、《交银施罗德消费新驱动股票型证券投资基金基金合同》；</w:t>
      </w:r>
    </w:p>
    <w:p>
      <w:pPr>
        <w:spacing w:before="29" w:line="288" w:lineRule="auto"/>
        <w:ind w:firstLine="480" w:firstLineChars="200"/>
        <w:rPr>
          <w:color w:val="000000"/>
          <w:sz w:val="24"/>
          <w:szCs w:val="24"/>
        </w:rPr>
      </w:pPr>
      <w:r>
        <w:rPr>
          <w:color w:val="000000"/>
          <w:sz w:val="24"/>
          <w:szCs w:val="24"/>
        </w:rPr>
        <w:t>3、《交银施罗德消费新驱动股票型证券投资基金招募说明书》；</w:t>
      </w:r>
    </w:p>
    <w:p>
      <w:pPr>
        <w:spacing w:before="29" w:line="288" w:lineRule="auto"/>
        <w:ind w:firstLine="480" w:firstLineChars="200"/>
        <w:rPr>
          <w:color w:val="000000"/>
          <w:sz w:val="24"/>
          <w:szCs w:val="24"/>
        </w:rPr>
      </w:pPr>
      <w:r>
        <w:rPr>
          <w:color w:val="000000"/>
          <w:sz w:val="24"/>
          <w:szCs w:val="24"/>
        </w:rPr>
        <w:t>4、《交银施罗德消费新驱动股票型证券投资基金托管协议》；</w:t>
      </w:r>
    </w:p>
    <w:p>
      <w:pPr>
        <w:spacing w:before="29" w:line="288" w:lineRule="auto"/>
        <w:ind w:firstLine="480" w:firstLineChars="200"/>
        <w:rPr>
          <w:color w:val="000000"/>
          <w:sz w:val="24"/>
          <w:szCs w:val="24"/>
        </w:rPr>
      </w:pPr>
      <w:r>
        <w:rPr>
          <w:color w:val="000000"/>
          <w:sz w:val="24"/>
          <w:szCs w:val="24"/>
        </w:rPr>
        <w:t>5、《交银施罗德沪深300行业分层等权重指数证券投资基金基金合同》；</w:t>
      </w:r>
    </w:p>
    <w:p>
      <w:pPr>
        <w:spacing w:before="29" w:line="288" w:lineRule="auto"/>
        <w:ind w:firstLine="480" w:firstLineChars="200"/>
        <w:rPr>
          <w:color w:val="000000"/>
          <w:sz w:val="24"/>
          <w:szCs w:val="24"/>
        </w:rPr>
      </w:pPr>
      <w:r>
        <w:rPr>
          <w:color w:val="000000"/>
          <w:sz w:val="24"/>
          <w:szCs w:val="24"/>
        </w:rPr>
        <w:t>6、《交银施罗德沪深300行业分层等权重指数证券投资基金招募说明书》；</w:t>
      </w:r>
    </w:p>
    <w:p>
      <w:pPr>
        <w:spacing w:before="29" w:line="288" w:lineRule="auto"/>
        <w:ind w:firstLine="480" w:firstLineChars="200"/>
        <w:rPr>
          <w:color w:val="000000"/>
          <w:sz w:val="24"/>
          <w:szCs w:val="24"/>
        </w:rPr>
      </w:pPr>
      <w:r>
        <w:rPr>
          <w:color w:val="000000"/>
          <w:sz w:val="24"/>
          <w:szCs w:val="24"/>
        </w:rPr>
        <w:t>7、《交银施罗德沪深300行业分层等权重指数证券投资基金托管协议》；</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w:t>
      </w:r>
    </w:p>
    <w:p>
      <w:pPr>
        <w:spacing w:before="29" w:line="288" w:lineRule="auto"/>
        <w:ind w:firstLine="480" w:firstLineChars="200"/>
        <w:rPr>
          <w:color w:val="000000"/>
          <w:sz w:val="24"/>
          <w:szCs w:val="24"/>
        </w:rPr>
      </w:pPr>
      <w:r>
        <w:rPr>
          <w:color w:val="000000"/>
          <w:sz w:val="24"/>
          <w:szCs w:val="24"/>
        </w:rPr>
        <w:t>10、关于申请募集交银施罗德沪深300行业分层等权重指数证券投资基金之法律意见书；</w:t>
      </w:r>
    </w:p>
    <w:p>
      <w:pPr>
        <w:spacing w:before="29" w:line="288" w:lineRule="auto"/>
        <w:ind w:firstLine="480" w:firstLineChars="200"/>
        <w:rPr>
          <w:color w:val="000000"/>
          <w:sz w:val="24"/>
          <w:szCs w:val="24"/>
        </w:rPr>
      </w:pPr>
      <w:r>
        <w:rPr>
          <w:color w:val="000000"/>
          <w:sz w:val="24"/>
          <w:szCs w:val="24"/>
        </w:rPr>
        <w:t>11、关于《申请交银施罗德沪深300行业分层等权重指数证券投资基金变更注册为交银施罗德消费新驱动股票型证券投资基金》的法律意见；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12、报告期内交银施罗德消费新驱动股票型证券投资基金、交银施罗德沪深300行业分层等权重指数证券投资基金在指定报刊上各项公告的原稿。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交银施罗德消费新驱动股票型证券投资基金2018年第4季度报告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