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二〇一九年一月二十一日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BD0564" w:rsidRDefault="00744DA6">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D0564" w:rsidRDefault="00744DA6">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D0564" w:rsidRDefault="00744DA6">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D0564" w:rsidRDefault="00744DA6">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D0564" w:rsidRDefault="00744DA6">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3,338,371,093.57</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2,729,735,211.95</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608,635,881.62</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26,375,663.61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3,280,028.74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26,375,663.61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3,280,028.74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2,729,735,211.95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608,635,881.62</w:t>
            </w:r>
          </w:p>
        </w:tc>
      </w:tr>
    </w:tbl>
    <w:p w:rsidR="00BD0564" w:rsidRDefault="00744DA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E</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BD0564">
        <w:trPr>
          <w:jc w:val="center"/>
        </w:trPr>
        <w:tc>
          <w:tcPr>
            <w:tcW w:w="1266" w:type="dxa"/>
            <w:vAlign w:val="center"/>
          </w:tcPr>
          <w:p w:rsidR="00BD0564" w:rsidRDefault="00744DA6">
            <w:pPr>
              <w:jc w:val="left"/>
            </w:pPr>
            <w:r>
              <w:rPr>
                <w:color w:val="000000"/>
              </w:rPr>
              <w:t>过去三个月</w:t>
            </w:r>
          </w:p>
        </w:tc>
        <w:tc>
          <w:tcPr>
            <w:tcW w:w="1267" w:type="dxa"/>
            <w:vAlign w:val="center"/>
          </w:tcPr>
          <w:p w:rsidR="00BD0564" w:rsidRDefault="00744DA6">
            <w:pPr>
              <w:jc w:val="center"/>
            </w:pPr>
            <w:r>
              <w:rPr>
                <w:color w:val="000000"/>
              </w:rPr>
              <w:t>0.7200%</w:t>
            </w:r>
          </w:p>
        </w:tc>
        <w:tc>
          <w:tcPr>
            <w:tcW w:w="1267" w:type="dxa"/>
            <w:vAlign w:val="center"/>
          </w:tcPr>
          <w:p w:rsidR="00BD0564" w:rsidRDefault="00744DA6">
            <w:pPr>
              <w:jc w:val="center"/>
            </w:pPr>
            <w:r>
              <w:rPr>
                <w:color w:val="000000"/>
              </w:rPr>
              <w:t>0.0011%</w:t>
            </w:r>
          </w:p>
        </w:tc>
        <w:tc>
          <w:tcPr>
            <w:tcW w:w="1267" w:type="dxa"/>
            <w:vAlign w:val="center"/>
          </w:tcPr>
          <w:p w:rsidR="00BD0564" w:rsidRDefault="00744DA6">
            <w:pPr>
              <w:jc w:val="center"/>
            </w:pPr>
            <w:r>
              <w:rPr>
                <w:color w:val="000000"/>
              </w:rPr>
              <w:t>0.0882%</w:t>
            </w:r>
          </w:p>
        </w:tc>
        <w:tc>
          <w:tcPr>
            <w:tcW w:w="1267" w:type="dxa"/>
            <w:vAlign w:val="center"/>
          </w:tcPr>
          <w:p w:rsidR="00BD0564" w:rsidRDefault="00744DA6">
            <w:pPr>
              <w:jc w:val="center"/>
            </w:pPr>
            <w:r>
              <w:rPr>
                <w:color w:val="000000"/>
              </w:rPr>
              <w:t>0.0000%</w:t>
            </w:r>
          </w:p>
        </w:tc>
        <w:tc>
          <w:tcPr>
            <w:tcW w:w="1267" w:type="dxa"/>
            <w:vAlign w:val="center"/>
          </w:tcPr>
          <w:p w:rsidR="00BD0564" w:rsidRDefault="00744DA6">
            <w:pPr>
              <w:jc w:val="center"/>
            </w:pPr>
            <w:r>
              <w:rPr>
                <w:color w:val="000000"/>
              </w:rPr>
              <w:t>0.6318%</w:t>
            </w:r>
          </w:p>
        </w:tc>
        <w:tc>
          <w:tcPr>
            <w:tcW w:w="1267" w:type="dxa"/>
            <w:vAlign w:val="center"/>
          </w:tcPr>
          <w:p w:rsidR="00BD0564" w:rsidRDefault="00744DA6">
            <w:pPr>
              <w:jc w:val="center"/>
            </w:pPr>
            <w:r>
              <w:rPr>
                <w:color w:val="000000"/>
              </w:rPr>
              <w:t>0.0011%</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BD0564">
        <w:trPr>
          <w:jc w:val="center"/>
        </w:trPr>
        <w:tc>
          <w:tcPr>
            <w:tcW w:w="1266" w:type="dxa"/>
            <w:vAlign w:val="center"/>
          </w:tcPr>
          <w:p w:rsidR="00BD0564" w:rsidRDefault="00744DA6">
            <w:pPr>
              <w:jc w:val="left"/>
            </w:pPr>
            <w:r>
              <w:rPr>
                <w:color w:val="000000"/>
              </w:rPr>
              <w:t>过去三个月</w:t>
            </w:r>
          </w:p>
        </w:tc>
        <w:tc>
          <w:tcPr>
            <w:tcW w:w="1267" w:type="dxa"/>
            <w:vAlign w:val="center"/>
          </w:tcPr>
          <w:p w:rsidR="00BD0564" w:rsidRDefault="00744DA6">
            <w:pPr>
              <w:jc w:val="center"/>
            </w:pPr>
            <w:r>
              <w:rPr>
                <w:color w:val="000000"/>
              </w:rPr>
              <w:t>0.7811%</w:t>
            </w:r>
          </w:p>
        </w:tc>
        <w:tc>
          <w:tcPr>
            <w:tcW w:w="1267" w:type="dxa"/>
            <w:vAlign w:val="center"/>
          </w:tcPr>
          <w:p w:rsidR="00BD0564" w:rsidRDefault="00744DA6">
            <w:pPr>
              <w:jc w:val="center"/>
            </w:pPr>
            <w:r>
              <w:rPr>
                <w:color w:val="000000"/>
              </w:rPr>
              <w:t>0.0011%</w:t>
            </w:r>
          </w:p>
        </w:tc>
        <w:tc>
          <w:tcPr>
            <w:tcW w:w="1267" w:type="dxa"/>
            <w:vAlign w:val="center"/>
          </w:tcPr>
          <w:p w:rsidR="00BD0564" w:rsidRDefault="00744DA6">
            <w:pPr>
              <w:jc w:val="center"/>
            </w:pPr>
            <w:r>
              <w:rPr>
                <w:color w:val="000000"/>
              </w:rPr>
              <w:t>0.0882%</w:t>
            </w:r>
          </w:p>
        </w:tc>
        <w:tc>
          <w:tcPr>
            <w:tcW w:w="1267" w:type="dxa"/>
            <w:vAlign w:val="center"/>
          </w:tcPr>
          <w:p w:rsidR="00BD0564" w:rsidRDefault="00744DA6">
            <w:pPr>
              <w:jc w:val="center"/>
            </w:pPr>
            <w:r>
              <w:rPr>
                <w:color w:val="000000"/>
              </w:rPr>
              <w:t>0.0000%</w:t>
            </w:r>
          </w:p>
        </w:tc>
        <w:tc>
          <w:tcPr>
            <w:tcW w:w="1267" w:type="dxa"/>
            <w:vAlign w:val="center"/>
          </w:tcPr>
          <w:p w:rsidR="00BD0564" w:rsidRDefault="00744DA6">
            <w:pPr>
              <w:jc w:val="center"/>
            </w:pPr>
            <w:r>
              <w:rPr>
                <w:color w:val="000000"/>
              </w:rPr>
              <w:t>0.6929%</w:t>
            </w:r>
          </w:p>
        </w:tc>
        <w:tc>
          <w:tcPr>
            <w:tcW w:w="1267" w:type="dxa"/>
            <w:vAlign w:val="center"/>
          </w:tcPr>
          <w:p w:rsidR="00BD0564" w:rsidRDefault="00744DA6">
            <w:pPr>
              <w:jc w:val="center"/>
            </w:pPr>
            <w:r>
              <w:rPr>
                <w:color w:val="000000"/>
              </w:rPr>
              <w:t>0.0011%</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日起，开始销售</w:t>
      </w:r>
      <w:r w:rsidRPr="000E4C40">
        <w:rPr>
          <w:color w:val="000000"/>
          <w:sz w:val="24"/>
        </w:rPr>
        <w:t>E</w:t>
      </w:r>
      <w:r w:rsidRPr="000E4C40">
        <w:rPr>
          <w:color w:val="000000"/>
          <w:sz w:val="24"/>
        </w:rPr>
        <w:t>类份额，投资者提交的申购申请于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BD0564">
        <w:trPr>
          <w:jc w:val="center"/>
        </w:trPr>
        <w:tc>
          <w:tcPr>
            <w:tcW w:w="945" w:type="dxa"/>
            <w:vAlign w:val="center"/>
          </w:tcPr>
          <w:p w:rsidR="00BD0564" w:rsidRDefault="00744DA6">
            <w:pPr>
              <w:jc w:val="center"/>
            </w:pPr>
            <w:r>
              <w:rPr>
                <w:color w:val="000000"/>
                <w:sz w:val="24"/>
              </w:rPr>
              <w:t>黄莹洁</w:t>
            </w:r>
          </w:p>
        </w:tc>
        <w:tc>
          <w:tcPr>
            <w:tcW w:w="1589" w:type="dxa"/>
            <w:vAlign w:val="center"/>
          </w:tcPr>
          <w:p w:rsidR="00BD0564" w:rsidRDefault="00744DA6">
            <w:pPr>
              <w:jc w:val="center"/>
            </w:pPr>
            <w:r>
              <w:rPr>
                <w:color w:val="000000"/>
                <w:sz w:val="24"/>
              </w:rPr>
              <w:t>交银货币、交银理财</w:t>
            </w:r>
            <w:r>
              <w:rPr>
                <w:color w:val="000000"/>
                <w:sz w:val="24"/>
              </w:rPr>
              <w:t>21</w:t>
            </w:r>
            <w:r>
              <w:rPr>
                <w:color w:val="000000"/>
                <w:sz w:val="24"/>
              </w:rPr>
              <w:t>天债券、交银现金宝货币、交银丰享收益债券、交银裕</w:t>
            </w:r>
            <w:r>
              <w:rPr>
                <w:color w:val="000000"/>
                <w:sz w:val="24"/>
              </w:rPr>
              <w:lastRenderedPageBreak/>
              <w:t>通纯债债券、交银活期通货币、交银天利宝货币、交银裕隆纯债债券、交银天鑫宝货币、交银天益宝货币、交银境尚收益债券的基金经理</w:t>
            </w:r>
          </w:p>
        </w:tc>
        <w:tc>
          <w:tcPr>
            <w:tcW w:w="1478" w:type="dxa"/>
            <w:vAlign w:val="center"/>
          </w:tcPr>
          <w:p w:rsidR="00BD0564" w:rsidRDefault="00744DA6">
            <w:pPr>
              <w:jc w:val="center"/>
            </w:pPr>
            <w:r>
              <w:rPr>
                <w:color w:val="000000"/>
                <w:sz w:val="24"/>
              </w:rPr>
              <w:lastRenderedPageBreak/>
              <w:t>2015-05-27</w:t>
            </w:r>
          </w:p>
        </w:tc>
        <w:tc>
          <w:tcPr>
            <w:tcW w:w="1478" w:type="dxa"/>
            <w:vAlign w:val="center"/>
          </w:tcPr>
          <w:p w:rsidR="00BD0564" w:rsidRDefault="00744DA6">
            <w:pPr>
              <w:jc w:val="center"/>
            </w:pPr>
            <w:r>
              <w:rPr>
                <w:color w:val="000000"/>
                <w:sz w:val="24"/>
              </w:rPr>
              <w:t>-</w:t>
            </w:r>
          </w:p>
        </w:tc>
        <w:tc>
          <w:tcPr>
            <w:tcW w:w="986" w:type="dxa"/>
            <w:vAlign w:val="center"/>
          </w:tcPr>
          <w:p w:rsidR="00BD0564" w:rsidRDefault="00744DA6">
            <w:pPr>
              <w:jc w:val="center"/>
            </w:pPr>
            <w:r>
              <w:rPr>
                <w:color w:val="000000"/>
                <w:sz w:val="24"/>
              </w:rPr>
              <w:t>10</w:t>
            </w:r>
            <w:r>
              <w:rPr>
                <w:color w:val="000000"/>
                <w:sz w:val="24"/>
              </w:rPr>
              <w:t>年</w:t>
            </w:r>
          </w:p>
        </w:tc>
        <w:tc>
          <w:tcPr>
            <w:tcW w:w="2392" w:type="dxa"/>
            <w:vAlign w:val="center"/>
          </w:tcPr>
          <w:p w:rsidR="00BD0564" w:rsidRDefault="00744DA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p w:rsidR="00BD0564" w:rsidRDefault="00BD0564"/>
        </w:tc>
      </w:tr>
      <w:tr w:rsidR="00BD0564">
        <w:trPr>
          <w:jc w:val="center"/>
        </w:trPr>
        <w:tc>
          <w:tcPr>
            <w:tcW w:w="945" w:type="dxa"/>
            <w:vAlign w:val="center"/>
          </w:tcPr>
          <w:p w:rsidR="00BD0564" w:rsidRDefault="00744DA6">
            <w:pPr>
              <w:jc w:val="center"/>
            </w:pPr>
            <w:r>
              <w:rPr>
                <w:color w:val="000000"/>
                <w:sz w:val="24"/>
              </w:rPr>
              <w:lastRenderedPageBreak/>
              <w:t>连端清</w:t>
            </w:r>
          </w:p>
        </w:tc>
        <w:tc>
          <w:tcPr>
            <w:tcW w:w="1589" w:type="dxa"/>
            <w:vAlign w:val="center"/>
          </w:tcPr>
          <w:p w:rsidR="00BD0564" w:rsidRDefault="00744DA6">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BD0564" w:rsidRDefault="00744DA6">
            <w:pPr>
              <w:jc w:val="center"/>
            </w:pPr>
            <w:r>
              <w:rPr>
                <w:color w:val="000000"/>
                <w:sz w:val="24"/>
              </w:rPr>
              <w:t>2015-08-04</w:t>
            </w:r>
          </w:p>
        </w:tc>
        <w:tc>
          <w:tcPr>
            <w:tcW w:w="1478" w:type="dxa"/>
            <w:vAlign w:val="center"/>
          </w:tcPr>
          <w:p w:rsidR="00BD0564" w:rsidRDefault="00744DA6">
            <w:pPr>
              <w:jc w:val="center"/>
            </w:pPr>
            <w:r>
              <w:rPr>
                <w:color w:val="000000"/>
                <w:sz w:val="24"/>
              </w:rPr>
              <w:t>-</w:t>
            </w:r>
          </w:p>
        </w:tc>
        <w:tc>
          <w:tcPr>
            <w:tcW w:w="986" w:type="dxa"/>
            <w:vAlign w:val="center"/>
          </w:tcPr>
          <w:p w:rsidR="00BD0564" w:rsidRDefault="00744DA6">
            <w:pPr>
              <w:jc w:val="center"/>
            </w:pPr>
            <w:r>
              <w:rPr>
                <w:color w:val="000000"/>
                <w:sz w:val="24"/>
              </w:rPr>
              <w:t>5</w:t>
            </w:r>
            <w:r>
              <w:rPr>
                <w:color w:val="000000"/>
                <w:sz w:val="24"/>
              </w:rPr>
              <w:t>年</w:t>
            </w:r>
          </w:p>
        </w:tc>
        <w:tc>
          <w:tcPr>
            <w:tcW w:w="2392" w:type="dxa"/>
            <w:vAlign w:val="center"/>
          </w:tcPr>
          <w:p w:rsidR="00BD0564" w:rsidRDefault="00744DA6">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BD0564" w:rsidRDefault="00744DA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BD0564" w:rsidRDefault="00744DA6">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BD0564" w:rsidRDefault="00744DA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D0564" w:rsidRDefault="00744DA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D0564" w:rsidRDefault="00744DA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BD0564" w:rsidRDefault="00744DA6">
      <w:pPr>
        <w:spacing w:before="29" w:line="288" w:lineRule="auto"/>
        <w:ind w:firstLineChars="200" w:firstLine="480"/>
        <w:rPr>
          <w:color w:val="000000"/>
          <w:sz w:val="24"/>
        </w:rPr>
      </w:pPr>
      <w:r>
        <w:rPr>
          <w:color w:val="000000"/>
          <w:sz w:val="24"/>
        </w:rPr>
        <w:t>本报告期内，国内经济的下行得到了数据的确认，债券类资产的回报优于其他风险类资产，货币基金的收益获得了提升。具体来看，在通胀方面，国内猪肉和国际原油价格的下行，前期市场担忧的</w:t>
      </w:r>
      <w:r>
        <w:rPr>
          <w:color w:val="000000"/>
          <w:sz w:val="24"/>
        </w:rPr>
        <w:t>“</w:t>
      </w:r>
      <w:r>
        <w:rPr>
          <w:color w:val="000000"/>
          <w:sz w:val="24"/>
        </w:rPr>
        <w:t>滞胀</w:t>
      </w:r>
      <w:r>
        <w:rPr>
          <w:color w:val="000000"/>
          <w:sz w:val="24"/>
        </w:rPr>
        <w:t>”</w:t>
      </w:r>
      <w:r>
        <w:rPr>
          <w:color w:val="000000"/>
          <w:sz w:val="24"/>
        </w:rPr>
        <w:t>风险减轻，为债券收益率下行打开空间。虽然中美贸易战的负面影响在</w:t>
      </w:r>
      <w:r>
        <w:rPr>
          <w:color w:val="000000"/>
          <w:sz w:val="24"/>
        </w:rPr>
        <w:t>G20</w:t>
      </w:r>
      <w:r>
        <w:rPr>
          <w:color w:val="000000"/>
          <w:sz w:val="24"/>
        </w:rPr>
        <w:t>之后有所缓解，但中美在有限时间内达成协议的不确定性仍然较</w:t>
      </w:r>
      <w:r>
        <w:rPr>
          <w:color w:val="000000"/>
          <w:sz w:val="24"/>
        </w:rPr>
        <w:lastRenderedPageBreak/>
        <w:t>高，并且贸易数据在</w:t>
      </w:r>
      <w:r>
        <w:rPr>
          <w:color w:val="000000"/>
          <w:sz w:val="24"/>
        </w:rPr>
        <w:t>“</w:t>
      </w:r>
      <w:r>
        <w:rPr>
          <w:color w:val="000000"/>
          <w:sz w:val="24"/>
        </w:rPr>
        <w:t>抢出口</w:t>
      </w:r>
      <w:r>
        <w:rPr>
          <w:color w:val="000000"/>
          <w:sz w:val="24"/>
        </w:rPr>
        <w:t>”</w:t>
      </w:r>
      <w:r>
        <w:rPr>
          <w:color w:val="000000"/>
          <w:sz w:val="24"/>
        </w:rPr>
        <w:t>的效果减弱后初现疲态，十一月的进出口增长分别跌落至</w:t>
      </w:r>
      <w:r>
        <w:rPr>
          <w:color w:val="000000"/>
          <w:sz w:val="24"/>
        </w:rPr>
        <w:t>3.00%</w:t>
      </w:r>
      <w:r>
        <w:rPr>
          <w:color w:val="000000"/>
          <w:sz w:val="24"/>
        </w:rPr>
        <w:t>和</w:t>
      </w:r>
      <w:r>
        <w:rPr>
          <w:color w:val="000000"/>
          <w:sz w:val="24"/>
        </w:rPr>
        <w:t>5.40%</w:t>
      </w:r>
      <w:r>
        <w:rPr>
          <w:color w:val="000000"/>
          <w:sz w:val="24"/>
        </w:rPr>
        <w:t>，出口对于经济的拉动减弱。全球货币政策方面，美联储维持十二月的加息操作，但顺应市场对</w:t>
      </w:r>
      <w:r>
        <w:rPr>
          <w:color w:val="000000"/>
          <w:sz w:val="24"/>
        </w:rPr>
        <w:t>2019</w:t>
      </w:r>
      <w:r>
        <w:rPr>
          <w:color w:val="000000"/>
          <w:sz w:val="24"/>
        </w:rPr>
        <w:t>年的前瞻性指引给出较为宽松的表态。同时央行创造性地设立定向中期借贷便利，在保持合适的人民币利率和汇率的同时，向市场和经济注入流动性，彰显稳健。货币市场方面，在央行重启公开市场操作和续作中期借贷便利的帮助下，四季度资金面继续保持了宽松的态势。银行间隔夜和七天回购利率虽有阶段性升高，但市场总体保持了充裕的流动性水平。银行存单市场仅在接近年末最后两周快速抬升，</w:t>
      </w:r>
      <w:r>
        <w:rPr>
          <w:color w:val="000000"/>
          <w:sz w:val="24"/>
        </w:rPr>
        <w:t>AAA</w:t>
      </w:r>
      <w:r>
        <w:rPr>
          <w:color w:val="000000"/>
          <w:sz w:val="24"/>
        </w:rPr>
        <w:t>评级的三个月存单一度上行至</w:t>
      </w:r>
      <w:r>
        <w:rPr>
          <w:color w:val="000000"/>
          <w:sz w:val="24"/>
        </w:rPr>
        <w:t>3.60%</w:t>
      </w:r>
      <w:r>
        <w:rPr>
          <w:color w:val="000000"/>
          <w:sz w:val="24"/>
        </w:rPr>
        <w:t>附近。报告期内，三个月上海银行间拆借利率上行</w:t>
      </w:r>
      <w:r>
        <w:rPr>
          <w:color w:val="000000"/>
          <w:sz w:val="24"/>
        </w:rPr>
        <w:t>50BP</w:t>
      </w:r>
      <w:r>
        <w:rPr>
          <w:color w:val="000000"/>
          <w:sz w:val="24"/>
        </w:rPr>
        <w:t>到</w:t>
      </w:r>
      <w:r>
        <w:rPr>
          <w:color w:val="000000"/>
          <w:sz w:val="24"/>
        </w:rPr>
        <w:t>3.35%</w:t>
      </w:r>
      <w:r>
        <w:rPr>
          <w:color w:val="000000"/>
          <w:sz w:val="24"/>
        </w:rPr>
        <w:t>。</w:t>
      </w:r>
    </w:p>
    <w:p w:rsidR="00BD0564" w:rsidRDefault="00744DA6">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基金操作方面，我们仍旧维持低杠杆、短久期的操作思路，多投资于估值波动较小的银行存款与回购等，组合整体流动性良好。在</w:t>
      </w:r>
      <w:r>
        <w:rPr>
          <w:color w:val="000000"/>
          <w:sz w:val="24"/>
        </w:rPr>
        <w:t>2018</w:t>
      </w:r>
      <w:r>
        <w:rPr>
          <w:color w:val="000000"/>
          <w:sz w:val="24"/>
        </w:rPr>
        <w:t>年十二月末我们视组合流动性和市场情况，增配了高流动性的回购资产和部分高评级的同业存单、同业存款等。</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2019</w:t>
      </w:r>
      <w:r w:rsidRPr="000E4C40">
        <w:rPr>
          <w:color w:val="000000"/>
          <w:sz w:val="24"/>
        </w:rPr>
        <w:t>年一季度，我们将继续关注银行同业存单和超短融信用债的发行情况，持续观察银行理财子公司的发展以及类货币基金型理财产品对行业生态的影响。我们认为在</w:t>
      </w:r>
      <w:r w:rsidRPr="000E4C40">
        <w:rPr>
          <w:color w:val="000000"/>
          <w:sz w:val="24"/>
        </w:rPr>
        <w:t>2019</w:t>
      </w:r>
      <w:r w:rsidRPr="000E4C40">
        <w:rPr>
          <w:color w:val="000000"/>
          <w:sz w:val="24"/>
        </w:rPr>
        <w:t>年初国内保持战略定力的同时，海外的不确定性因素反而上升，或将成为主导市场的主要矛盾。因此货币政策可能会延续稳健宽松的状态，流动性充裕态势有望保持。本基金将根据不同资产收益率的动态变化，适时调整组合结构，动态调整组合杠杆率，通过对市场利率的前瞻性判断进行合理有效的久期管理，严格控制信用风险、流动性风险和利率风险，努力为持有人创造稳健的收益。</w:t>
      </w:r>
      <w:r w:rsidRPr="000E4C40">
        <w:rPr>
          <w:color w:val="000000"/>
          <w:sz w:val="24"/>
        </w:rPr>
        <w:t xml:space="preserve"> </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3,398,682,003.95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87.18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3,338,682,003.95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85.64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1.54</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297,527,520.64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7.63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202,341,951.63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5.19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3,898,551,476.22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11.21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557,270,124.10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16.69</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60</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lastRenderedPageBreak/>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9.51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16.69</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19.09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48.22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2.40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40.40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119.62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16.69</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49,878,248.13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140,088,777.85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4.20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140,088,777.85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4.20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565,663,103.90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16.94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10,009,233.00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0.30</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2,573,042,641.07</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77.07</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3,338,682,003.95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90"/>
        <w:gridCol w:w="1296"/>
        <w:gridCol w:w="2004"/>
        <w:gridCol w:w="1211"/>
        <w:gridCol w:w="2093"/>
        <w:gridCol w:w="137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BD0564">
        <w:trPr>
          <w:jc w:val="center"/>
        </w:trPr>
        <w:tc>
          <w:tcPr>
            <w:tcW w:w="0" w:type="auto"/>
            <w:vAlign w:val="center"/>
          </w:tcPr>
          <w:p w:rsidR="00BD0564" w:rsidRDefault="00744DA6">
            <w:pPr>
              <w:jc w:val="center"/>
            </w:pPr>
            <w:r>
              <w:rPr>
                <w:color w:val="000000"/>
                <w:sz w:val="24"/>
              </w:rPr>
              <w:t>1</w:t>
            </w:r>
          </w:p>
        </w:tc>
        <w:tc>
          <w:tcPr>
            <w:tcW w:w="0" w:type="auto"/>
            <w:vAlign w:val="center"/>
          </w:tcPr>
          <w:p w:rsidR="00BD0564" w:rsidRDefault="00744DA6">
            <w:pPr>
              <w:jc w:val="center"/>
            </w:pPr>
            <w:r>
              <w:rPr>
                <w:color w:val="000000"/>
                <w:sz w:val="24"/>
              </w:rPr>
              <w:t>111821322</w:t>
            </w:r>
          </w:p>
        </w:tc>
        <w:tc>
          <w:tcPr>
            <w:tcW w:w="0" w:type="auto"/>
            <w:vAlign w:val="center"/>
          </w:tcPr>
          <w:p w:rsidR="00BD0564" w:rsidRDefault="00744DA6">
            <w:pPr>
              <w:jc w:val="center"/>
            </w:pPr>
            <w:r>
              <w:rPr>
                <w:color w:val="000000"/>
                <w:sz w:val="24"/>
              </w:rPr>
              <w:t>18</w:t>
            </w:r>
            <w:r>
              <w:rPr>
                <w:color w:val="000000"/>
                <w:sz w:val="24"/>
              </w:rPr>
              <w:t>渤海银行</w:t>
            </w:r>
            <w:r>
              <w:rPr>
                <w:color w:val="000000"/>
                <w:sz w:val="24"/>
              </w:rPr>
              <w:t>CD322</w:t>
            </w:r>
          </w:p>
        </w:tc>
        <w:tc>
          <w:tcPr>
            <w:tcW w:w="0" w:type="auto"/>
            <w:vAlign w:val="center"/>
          </w:tcPr>
          <w:p w:rsidR="00BD0564" w:rsidRDefault="00744DA6">
            <w:pPr>
              <w:jc w:val="right"/>
            </w:pPr>
            <w:r>
              <w:rPr>
                <w:color w:val="000000"/>
                <w:sz w:val="24"/>
              </w:rPr>
              <w:t>2,000,000</w:t>
            </w:r>
          </w:p>
        </w:tc>
        <w:tc>
          <w:tcPr>
            <w:tcW w:w="0" w:type="auto"/>
            <w:vAlign w:val="center"/>
          </w:tcPr>
          <w:p w:rsidR="00BD0564" w:rsidRDefault="00744DA6">
            <w:pPr>
              <w:jc w:val="right"/>
            </w:pPr>
            <w:r>
              <w:rPr>
                <w:color w:val="000000"/>
                <w:sz w:val="24"/>
              </w:rPr>
              <w:t>198,454,093.60</w:t>
            </w:r>
          </w:p>
        </w:tc>
        <w:tc>
          <w:tcPr>
            <w:tcW w:w="0" w:type="auto"/>
            <w:vAlign w:val="center"/>
          </w:tcPr>
          <w:p w:rsidR="00BD0564" w:rsidRDefault="00744DA6">
            <w:pPr>
              <w:jc w:val="right"/>
            </w:pPr>
            <w:r>
              <w:rPr>
                <w:color w:val="000000"/>
                <w:sz w:val="24"/>
              </w:rPr>
              <w:t>5.94</w:t>
            </w:r>
          </w:p>
        </w:tc>
      </w:tr>
      <w:tr w:rsidR="00BD0564">
        <w:trPr>
          <w:jc w:val="center"/>
        </w:trPr>
        <w:tc>
          <w:tcPr>
            <w:tcW w:w="0" w:type="auto"/>
            <w:vAlign w:val="center"/>
          </w:tcPr>
          <w:p w:rsidR="00BD0564" w:rsidRDefault="00744DA6">
            <w:pPr>
              <w:jc w:val="center"/>
            </w:pPr>
            <w:r>
              <w:rPr>
                <w:color w:val="000000"/>
                <w:sz w:val="24"/>
              </w:rPr>
              <w:t>2</w:t>
            </w:r>
          </w:p>
        </w:tc>
        <w:tc>
          <w:tcPr>
            <w:tcW w:w="0" w:type="auto"/>
            <w:vAlign w:val="center"/>
          </w:tcPr>
          <w:p w:rsidR="00BD0564" w:rsidRDefault="00744DA6">
            <w:pPr>
              <w:jc w:val="center"/>
            </w:pPr>
            <w:r>
              <w:rPr>
                <w:color w:val="000000"/>
                <w:sz w:val="24"/>
              </w:rPr>
              <w:t>111885837</w:t>
            </w:r>
          </w:p>
        </w:tc>
        <w:tc>
          <w:tcPr>
            <w:tcW w:w="0" w:type="auto"/>
            <w:vAlign w:val="center"/>
          </w:tcPr>
          <w:p w:rsidR="00BD0564" w:rsidRDefault="00744DA6">
            <w:pPr>
              <w:jc w:val="center"/>
            </w:pPr>
            <w:r>
              <w:rPr>
                <w:color w:val="000000"/>
                <w:sz w:val="24"/>
              </w:rPr>
              <w:t>18</w:t>
            </w:r>
            <w:r>
              <w:rPr>
                <w:color w:val="000000"/>
                <w:sz w:val="24"/>
              </w:rPr>
              <w:t>重庆农村商行</w:t>
            </w:r>
            <w:r>
              <w:rPr>
                <w:color w:val="000000"/>
                <w:sz w:val="24"/>
              </w:rPr>
              <w:t>CD121</w:t>
            </w:r>
          </w:p>
        </w:tc>
        <w:tc>
          <w:tcPr>
            <w:tcW w:w="0" w:type="auto"/>
            <w:vAlign w:val="center"/>
          </w:tcPr>
          <w:p w:rsidR="00BD0564" w:rsidRDefault="00744DA6">
            <w:pPr>
              <w:jc w:val="right"/>
            </w:pPr>
            <w:r>
              <w:rPr>
                <w:color w:val="000000"/>
                <w:sz w:val="24"/>
              </w:rPr>
              <w:t>1,500,000</w:t>
            </w:r>
          </w:p>
        </w:tc>
        <w:tc>
          <w:tcPr>
            <w:tcW w:w="0" w:type="auto"/>
            <w:vAlign w:val="center"/>
          </w:tcPr>
          <w:p w:rsidR="00BD0564" w:rsidRDefault="00744DA6">
            <w:pPr>
              <w:jc w:val="right"/>
            </w:pPr>
            <w:r>
              <w:rPr>
                <w:color w:val="000000"/>
                <w:sz w:val="24"/>
              </w:rPr>
              <w:t>148,854,320.10</w:t>
            </w:r>
          </w:p>
        </w:tc>
        <w:tc>
          <w:tcPr>
            <w:tcW w:w="0" w:type="auto"/>
            <w:vAlign w:val="center"/>
          </w:tcPr>
          <w:p w:rsidR="00BD0564" w:rsidRDefault="00744DA6">
            <w:pPr>
              <w:jc w:val="right"/>
            </w:pPr>
            <w:r>
              <w:rPr>
                <w:color w:val="000000"/>
                <w:sz w:val="24"/>
              </w:rPr>
              <w:t>4.46</w:t>
            </w:r>
          </w:p>
        </w:tc>
      </w:tr>
      <w:tr w:rsidR="00BD0564">
        <w:trPr>
          <w:jc w:val="center"/>
        </w:trPr>
        <w:tc>
          <w:tcPr>
            <w:tcW w:w="0" w:type="auto"/>
            <w:vAlign w:val="center"/>
          </w:tcPr>
          <w:p w:rsidR="00BD0564" w:rsidRDefault="00744DA6">
            <w:pPr>
              <w:jc w:val="center"/>
            </w:pPr>
            <w:r>
              <w:rPr>
                <w:color w:val="000000"/>
                <w:sz w:val="24"/>
              </w:rPr>
              <w:t>3</w:t>
            </w:r>
          </w:p>
        </w:tc>
        <w:tc>
          <w:tcPr>
            <w:tcW w:w="0" w:type="auto"/>
            <w:vAlign w:val="center"/>
          </w:tcPr>
          <w:p w:rsidR="00BD0564" w:rsidRDefault="00744DA6">
            <w:pPr>
              <w:jc w:val="center"/>
            </w:pPr>
            <w:r>
              <w:rPr>
                <w:color w:val="000000"/>
                <w:sz w:val="24"/>
              </w:rPr>
              <w:t>111819387</w:t>
            </w:r>
          </w:p>
        </w:tc>
        <w:tc>
          <w:tcPr>
            <w:tcW w:w="0" w:type="auto"/>
            <w:vAlign w:val="center"/>
          </w:tcPr>
          <w:p w:rsidR="00BD0564" w:rsidRDefault="00744DA6">
            <w:pPr>
              <w:jc w:val="center"/>
            </w:pPr>
            <w:r>
              <w:rPr>
                <w:color w:val="000000"/>
                <w:sz w:val="24"/>
              </w:rPr>
              <w:t>18</w:t>
            </w:r>
            <w:r>
              <w:rPr>
                <w:color w:val="000000"/>
                <w:sz w:val="24"/>
              </w:rPr>
              <w:t>恒丰银行</w:t>
            </w:r>
            <w:r>
              <w:rPr>
                <w:color w:val="000000"/>
                <w:sz w:val="24"/>
              </w:rPr>
              <w:t>CD387</w:t>
            </w:r>
          </w:p>
        </w:tc>
        <w:tc>
          <w:tcPr>
            <w:tcW w:w="0" w:type="auto"/>
            <w:vAlign w:val="center"/>
          </w:tcPr>
          <w:p w:rsidR="00BD0564" w:rsidRDefault="00744DA6">
            <w:pPr>
              <w:jc w:val="right"/>
            </w:pPr>
            <w:r>
              <w:rPr>
                <w:color w:val="000000"/>
                <w:sz w:val="24"/>
              </w:rPr>
              <w:t>1,500,000</w:t>
            </w:r>
          </w:p>
        </w:tc>
        <w:tc>
          <w:tcPr>
            <w:tcW w:w="0" w:type="auto"/>
            <w:vAlign w:val="center"/>
          </w:tcPr>
          <w:p w:rsidR="00BD0564" w:rsidRDefault="00744DA6">
            <w:pPr>
              <w:jc w:val="right"/>
            </w:pPr>
            <w:r>
              <w:rPr>
                <w:color w:val="000000"/>
                <w:sz w:val="24"/>
              </w:rPr>
              <w:t>148,837,660.64</w:t>
            </w:r>
          </w:p>
        </w:tc>
        <w:tc>
          <w:tcPr>
            <w:tcW w:w="0" w:type="auto"/>
            <w:vAlign w:val="center"/>
          </w:tcPr>
          <w:p w:rsidR="00BD0564" w:rsidRDefault="00744DA6">
            <w:pPr>
              <w:jc w:val="right"/>
            </w:pPr>
            <w:r>
              <w:rPr>
                <w:color w:val="000000"/>
                <w:sz w:val="24"/>
              </w:rPr>
              <w:t>4.46</w:t>
            </w:r>
          </w:p>
        </w:tc>
      </w:tr>
      <w:tr w:rsidR="00BD0564">
        <w:trPr>
          <w:jc w:val="center"/>
        </w:trPr>
        <w:tc>
          <w:tcPr>
            <w:tcW w:w="0" w:type="auto"/>
            <w:vAlign w:val="center"/>
          </w:tcPr>
          <w:p w:rsidR="00BD0564" w:rsidRDefault="00744DA6">
            <w:pPr>
              <w:jc w:val="center"/>
            </w:pPr>
            <w:r>
              <w:rPr>
                <w:color w:val="000000"/>
                <w:sz w:val="24"/>
              </w:rPr>
              <w:t>4</w:t>
            </w:r>
          </w:p>
        </w:tc>
        <w:tc>
          <w:tcPr>
            <w:tcW w:w="0" w:type="auto"/>
            <w:vAlign w:val="center"/>
          </w:tcPr>
          <w:p w:rsidR="00BD0564" w:rsidRDefault="00744DA6">
            <w:pPr>
              <w:jc w:val="center"/>
            </w:pPr>
            <w:r>
              <w:rPr>
                <w:color w:val="000000"/>
                <w:sz w:val="24"/>
              </w:rPr>
              <w:t>111885689</w:t>
            </w:r>
          </w:p>
        </w:tc>
        <w:tc>
          <w:tcPr>
            <w:tcW w:w="0" w:type="auto"/>
            <w:vAlign w:val="center"/>
          </w:tcPr>
          <w:p w:rsidR="00BD0564" w:rsidRDefault="00744DA6">
            <w:pPr>
              <w:jc w:val="center"/>
            </w:pPr>
            <w:r>
              <w:rPr>
                <w:color w:val="000000"/>
                <w:sz w:val="24"/>
              </w:rPr>
              <w:t>18</w:t>
            </w:r>
            <w:r>
              <w:rPr>
                <w:color w:val="000000"/>
                <w:sz w:val="24"/>
              </w:rPr>
              <w:t>江西银行</w:t>
            </w:r>
            <w:r>
              <w:rPr>
                <w:color w:val="000000"/>
                <w:sz w:val="24"/>
              </w:rPr>
              <w:t>CD100</w:t>
            </w:r>
          </w:p>
        </w:tc>
        <w:tc>
          <w:tcPr>
            <w:tcW w:w="0" w:type="auto"/>
            <w:vAlign w:val="center"/>
          </w:tcPr>
          <w:p w:rsidR="00BD0564" w:rsidRDefault="00744DA6">
            <w:pPr>
              <w:jc w:val="right"/>
            </w:pPr>
            <w:r>
              <w:rPr>
                <w:color w:val="000000"/>
                <w:sz w:val="24"/>
              </w:rPr>
              <w:t>1,500,000</w:t>
            </w:r>
          </w:p>
        </w:tc>
        <w:tc>
          <w:tcPr>
            <w:tcW w:w="0" w:type="auto"/>
            <w:vAlign w:val="center"/>
          </w:tcPr>
          <w:p w:rsidR="00BD0564" w:rsidRDefault="00744DA6">
            <w:pPr>
              <w:jc w:val="right"/>
            </w:pPr>
            <w:r>
              <w:rPr>
                <w:color w:val="000000"/>
                <w:sz w:val="24"/>
              </w:rPr>
              <w:t>148,816,108.54</w:t>
            </w:r>
          </w:p>
        </w:tc>
        <w:tc>
          <w:tcPr>
            <w:tcW w:w="0" w:type="auto"/>
            <w:vAlign w:val="center"/>
          </w:tcPr>
          <w:p w:rsidR="00BD0564" w:rsidRDefault="00744DA6">
            <w:pPr>
              <w:jc w:val="right"/>
            </w:pPr>
            <w:r>
              <w:rPr>
                <w:color w:val="000000"/>
                <w:sz w:val="24"/>
              </w:rPr>
              <w:t>4.46</w:t>
            </w:r>
          </w:p>
        </w:tc>
      </w:tr>
      <w:tr w:rsidR="00BD0564">
        <w:trPr>
          <w:jc w:val="center"/>
        </w:trPr>
        <w:tc>
          <w:tcPr>
            <w:tcW w:w="0" w:type="auto"/>
            <w:vAlign w:val="center"/>
          </w:tcPr>
          <w:p w:rsidR="00BD0564" w:rsidRDefault="00744DA6">
            <w:pPr>
              <w:jc w:val="center"/>
            </w:pPr>
            <w:r>
              <w:rPr>
                <w:color w:val="000000"/>
                <w:sz w:val="24"/>
              </w:rPr>
              <w:t>5</w:t>
            </w:r>
          </w:p>
        </w:tc>
        <w:tc>
          <w:tcPr>
            <w:tcW w:w="0" w:type="auto"/>
            <w:vAlign w:val="center"/>
          </w:tcPr>
          <w:p w:rsidR="00BD0564" w:rsidRDefault="00744DA6">
            <w:pPr>
              <w:jc w:val="center"/>
            </w:pPr>
            <w:r>
              <w:rPr>
                <w:color w:val="000000"/>
                <w:sz w:val="24"/>
              </w:rPr>
              <w:t>111819498</w:t>
            </w:r>
          </w:p>
        </w:tc>
        <w:tc>
          <w:tcPr>
            <w:tcW w:w="0" w:type="auto"/>
            <w:vAlign w:val="center"/>
          </w:tcPr>
          <w:p w:rsidR="00BD0564" w:rsidRDefault="00744DA6">
            <w:pPr>
              <w:jc w:val="center"/>
            </w:pPr>
            <w:r>
              <w:rPr>
                <w:color w:val="000000"/>
                <w:sz w:val="24"/>
              </w:rPr>
              <w:t>18</w:t>
            </w:r>
            <w:r>
              <w:rPr>
                <w:color w:val="000000"/>
                <w:sz w:val="24"/>
              </w:rPr>
              <w:t>恒丰银行</w:t>
            </w:r>
            <w:r>
              <w:rPr>
                <w:color w:val="000000"/>
                <w:sz w:val="24"/>
              </w:rPr>
              <w:t>CD498</w:t>
            </w:r>
          </w:p>
        </w:tc>
        <w:tc>
          <w:tcPr>
            <w:tcW w:w="0" w:type="auto"/>
            <w:vAlign w:val="center"/>
          </w:tcPr>
          <w:p w:rsidR="00BD0564" w:rsidRDefault="00744DA6">
            <w:pPr>
              <w:jc w:val="right"/>
            </w:pPr>
            <w:r>
              <w:rPr>
                <w:color w:val="000000"/>
                <w:sz w:val="24"/>
              </w:rPr>
              <w:t>1,500,000</w:t>
            </w:r>
          </w:p>
        </w:tc>
        <w:tc>
          <w:tcPr>
            <w:tcW w:w="0" w:type="auto"/>
            <w:vAlign w:val="center"/>
          </w:tcPr>
          <w:p w:rsidR="00BD0564" w:rsidRDefault="00744DA6">
            <w:pPr>
              <w:jc w:val="right"/>
            </w:pPr>
            <w:r>
              <w:rPr>
                <w:color w:val="000000"/>
                <w:sz w:val="24"/>
              </w:rPr>
              <w:t>147,707,619.47</w:t>
            </w:r>
          </w:p>
        </w:tc>
        <w:tc>
          <w:tcPr>
            <w:tcW w:w="0" w:type="auto"/>
            <w:vAlign w:val="center"/>
          </w:tcPr>
          <w:p w:rsidR="00BD0564" w:rsidRDefault="00744DA6">
            <w:pPr>
              <w:jc w:val="right"/>
            </w:pPr>
            <w:r>
              <w:rPr>
                <w:color w:val="000000"/>
                <w:sz w:val="24"/>
              </w:rPr>
              <w:t>4.42</w:t>
            </w:r>
          </w:p>
        </w:tc>
      </w:tr>
      <w:tr w:rsidR="00BD0564">
        <w:trPr>
          <w:jc w:val="center"/>
        </w:trPr>
        <w:tc>
          <w:tcPr>
            <w:tcW w:w="0" w:type="auto"/>
            <w:vAlign w:val="center"/>
          </w:tcPr>
          <w:p w:rsidR="00BD0564" w:rsidRDefault="00744DA6">
            <w:pPr>
              <w:jc w:val="center"/>
            </w:pPr>
            <w:r>
              <w:rPr>
                <w:color w:val="000000"/>
                <w:sz w:val="24"/>
              </w:rPr>
              <w:t>6</w:t>
            </w:r>
          </w:p>
        </w:tc>
        <w:tc>
          <w:tcPr>
            <w:tcW w:w="0" w:type="auto"/>
            <w:vAlign w:val="center"/>
          </w:tcPr>
          <w:p w:rsidR="00BD0564" w:rsidRDefault="00744DA6">
            <w:pPr>
              <w:jc w:val="center"/>
            </w:pPr>
            <w:r>
              <w:rPr>
                <w:color w:val="000000"/>
                <w:sz w:val="24"/>
              </w:rPr>
              <w:t>041800073</w:t>
            </w:r>
          </w:p>
        </w:tc>
        <w:tc>
          <w:tcPr>
            <w:tcW w:w="0" w:type="auto"/>
            <w:vAlign w:val="center"/>
          </w:tcPr>
          <w:p w:rsidR="00BD0564" w:rsidRDefault="00744DA6">
            <w:pPr>
              <w:jc w:val="center"/>
            </w:pPr>
            <w:r>
              <w:rPr>
                <w:color w:val="000000"/>
                <w:sz w:val="24"/>
              </w:rPr>
              <w:t>18</w:t>
            </w:r>
            <w:r>
              <w:rPr>
                <w:color w:val="000000"/>
                <w:sz w:val="24"/>
              </w:rPr>
              <w:t>海淀国资</w:t>
            </w:r>
            <w:r>
              <w:rPr>
                <w:color w:val="000000"/>
                <w:sz w:val="24"/>
              </w:rPr>
              <w:t>CP001</w:t>
            </w:r>
          </w:p>
        </w:tc>
        <w:tc>
          <w:tcPr>
            <w:tcW w:w="0" w:type="auto"/>
            <w:vAlign w:val="center"/>
          </w:tcPr>
          <w:p w:rsidR="00BD0564" w:rsidRDefault="00744DA6">
            <w:pPr>
              <w:jc w:val="right"/>
            </w:pPr>
            <w:r>
              <w:rPr>
                <w:color w:val="000000"/>
                <w:sz w:val="24"/>
              </w:rPr>
              <w:t>1,200,000</w:t>
            </w:r>
          </w:p>
        </w:tc>
        <w:tc>
          <w:tcPr>
            <w:tcW w:w="0" w:type="auto"/>
            <w:vAlign w:val="center"/>
          </w:tcPr>
          <w:p w:rsidR="00BD0564" w:rsidRDefault="00744DA6">
            <w:pPr>
              <w:jc w:val="right"/>
            </w:pPr>
            <w:r>
              <w:rPr>
                <w:color w:val="000000"/>
                <w:sz w:val="24"/>
              </w:rPr>
              <w:t>120,661,382.32</w:t>
            </w:r>
          </w:p>
        </w:tc>
        <w:tc>
          <w:tcPr>
            <w:tcW w:w="0" w:type="auto"/>
            <w:vAlign w:val="center"/>
          </w:tcPr>
          <w:p w:rsidR="00BD0564" w:rsidRDefault="00744DA6">
            <w:pPr>
              <w:jc w:val="right"/>
            </w:pPr>
            <w:r>
              <w:rPr>
                <w:color w:val="000000"/>
                <w:sz w:val="24"/>
              </w:rPr>
              <w:t>3.61</w:t>
            </w:r>
          </w:p>
        </w:tc>
      </w:tr>
      <w:tr w:rsidR="00BD0564">
        <w:trPr>
          <w:jc w:val="center"/>
        </w:trPr>
        <w:tc>
          <w:tcPr>
            <w:tcW w:w="0" w:type="auto"/>
            <w:vAlign w:val="center"/>
          </w:tcPr>
          <w:p w:rsidR="00BD0564" w:rsidRDefault="00744DA6">
            <w:pPr>
              <w:jc w:val="center"/>
            </w:pPr>
            <w:r>
              <w:rPr>
                <w:color w:val="000000"/>
                <w:sz w:val="24"/>
              </w:rPr>
              <w:t>7</w:t>
            </w:r>
          </w:p>
        </w:tc>
        <w:tc>
          <w:tcPr>
            <w:tcW w:w="0" w:type="auto"/>
            <w:vAlign w:val="center"/>
          </w:tcPr>
          <w:p w:rsidR="00BD0564" w:rsidRDefault="00744DA6">
            <w:pPr>
              <w:jc w:val="center"/>
            </w:pPr>
            <w:r>
              <w:rPr>
                <w:color w:val="000000"/>
                <w:sz w:val="24"/>
              </w:rPr>
              <w:t>160208</w:t>
            </w:r>
          </w:p>
        </w:tc>
        <w:tc>
          <w:tcPr>
            <w:tcW w:w="0" w:type="auto"/>
            <w:vAlign w:val="center"/>
          </w:tcPr>
          <w:p w:rsidR="00BD0564" w:rsidRDefault="00744DA6">
            <w:pPr>
              <w:jc w:val="center"/>
            </w:pPr>
            <w:r>
              <w:rPr>
                <w:color w:val="000000"/>
                <w:sz w:val="24"/>
              </w:rPr>
              <w:t>16</w:t>
            </w:r>
            <w:r>
              <w:rPr>
                <w:color w:val="000000"/>
                <w:sz w:val="24"/>
              </w:rPr>
              <w:t>国开</w:t>
            </w:r>
            <w:r>
              <w:rPr>
                <w:color w:val="000000"/>
                <w:sz w:val="24"/>
              </w:rPr>
              <w:t>08</w:t>
            </w:r>
          </w:p>
        </w:tc>
        <w:tc>
          <w:tcPr>
            <w:tcW w:w="0" w:type="auto"/>
            <w:vAlign w:val="center"/>
          </w:tcPr>
          <w:p w:rsidR="00BD0564" w:rsidRDefault="00744DA6">
            <w:pPr>
              <w:jc w:val="right"/>
            </w:pPr>
            <w:r>
              <w:rPr>
                <w:color w:val="000000"/>
                <w:sz w:val="24"/>
              </w:rPr>
              <w:t>1,100,000</w:t>
            </w:r>
          </w:p>
        </w:tc>
        <w:tc>
          <w:tcPr>
            <w:tcW w:w="0" w:type="auto"/>
            <w:vAlign w:val="center"/>
          </w:tcPr>
          <w:p w:rsidR="00BD0564" w:rsidRDefault="00744DA6">
            <w:pPr>
              <w:jc w:val="right"/>
            </w:pPr>
            <w:r>
              <w:rPr>
                <w:color w:val="000000"/>
                <w:sz w:val="24"/>
              </w:rPr>
              <w:t>110,024,675.04</w:t>
            </w:r>
          </w:p>
        </w:tc>
        <w:tc>
          <w:tcPr>
            <w:tcW w:w="0" w:type="auto"/>
            <w:vAlign w:val="center"/>
          </w:tcPr>
          <w:p w:rsidR="00BD0564" w:rsidRDefault="00744DA6">
            <w:pPr>
              <w:jc w:val="right"/>
            </w:pPr>
            <w:r>
              <w:rPr>
                <w:color w:val="000000"/>
                <w:sz w:val="24"/>
              </w:rPr>
              <w:t>3.30</w:t>
            </w:r>
          </w:p>
        </w:tc>
      </w:tr>
      <w:tr w:rsidR="00BD0564">
        <w:trPr>
          <w:jc w:val="center"/>
        </w:trPr>
        <w:tc>
          <w:tcPr>
            <w:tcW w:w="0" w:type="auto"/>
            <w:vAlign w:val="center"/>
          </w:tcPr>
          <w:p w:rsidR="00BD0564" w:rsidRDefault="00744DA6">
            <w:pPr>
              <w:jc w:val="center"/>
            </w:pPr>
            <w:r>
              <w:rPr>
                <w:color w:val="000000"/>
                <w:sz w:val="24"/>
              </w:rPr>
              <w:t>8</w:t>
            </w:r>
          </w:p>
        </w:tc>
        <w:tc>
          <w:tcPr>
            <w:tcW w:w="0" w:type="auto"/>
            <w:vAlign w:val="center"/>
          </w:tcPr>
          <w:p w:rsidR="00BD0564" w:rsidRDefault="00744DA6">
            <w:pPr>
              <w:jc w:val="center"/>
            </w:pPr>
            <w:r>
              <w:rPr>
                <w:color w:val="000000"/>
                <w:sz w:val="24"/>
              </w:rPr>
              <w:t>011801689</w:t>
            </w:r>
          </w:p>
        </w:tc>
        <w:tc>
          <w:tcPr>
            <w:tcW w:w="0" w:type="auto"/>
            <w:vAlign w:val="center"/>
          </w:tcPr>
          <w:p w:rsidR="00BD0564" w:rsidRDefault="00744DA6">
            <w:pPr>
              <w:jc w:val="center"/>
            </w:pPr>
            <w:r>
              <w:rPr>
                <w:color w:val="000000"/>
                <w:sz w:val="24"/>
              </w:rPr>
              <w:t>18</w:t>
            </w:r>
            <w:r>
              <w:rPr>
                <w:color w:val="000000"/>
                <w:sz w:val="24"/>
              </w:rPr>
              <w:t>津渤海</w:t>
            </w:r>
            <w:r>
              <w:rPr>
                <w:color w:val="000000"/>
                <w:sz w:val="24"/>
              </w:rPr>
              <w:t>SCP006</w:t>
            </w:r>
          </w:p>
        </w:tc>
        <w:tc>
          <w:tcPr>
            <w:tcW w:w="0" w:type="auto"/>
            <w:vAlign w:val="center"/>
          </w:tcPr>
          <w:p w:rsidR="00BD0564" w:rsidRDefault="00744DA6">
            <w:pPr>
              <w:jc w:val="right"/>
            </w:pPr>
            <w:r>
              <w:rPr>
                <w:color w:val="000000"/>
                <w:sz w:val="24"/>
              </w:rPr>
              <w:t>1,000,000</w:t>
            </w:r>
          </w:p>
        </w:tc>
        <w:tc>
          <w:tcPr>
            <w:tcW w:w="0" w:type="auto"/>
            <w:vAlign w:val="center"/>
          </w:tcPr>
          <w:p w:rsidR="00BD0564" w:rsidRDefault="00744DA6">
            <w:pPr>
              <w:jc w:val="right"/>
            </w:pPr>
            <w:r>
              <w:rPr>
                <w:color w:val="000000"/>
                <w:sz w:val="24"/>
              </w:rPr>
              <w:t>100,000,046.95</w:t>
            </w:r>
          </w:p>
        </w:tc>
        <w:tc>
          <w:tcPr>
            <w:tcW w:w="0" w:type="auto"/>
            <w:vAlign w:val="center"/>
          </w:tcPr>
          <w:p w:rsidR="00BD0564" w:rsidRDefault="00744DA6">
            <w:pPr>
              <w:jc w:val="right"/>
            </w:pPr>
            <w:r>
              <w:rPr>
                <w:color w:val="000000"/>
                <w:sz w:val="24"/>
              </w:rPr>
              <w:t>3.00</w:t>
            </w:r>
          </w:p>
        </w:tc>
      </w:tr>
      <w:tr w:rsidR="00BD0564">
        <w:trPr>
          <w:jc w:val="center"/>
        </w:trPr>
        <w:tc>
          <w:tcPr>
            <w:tcW w:w="0" w:type="auto"/>
            <w:vAlign w:val="center"/>
          </w:tcPr>
          <w:p w:rsidR="00BD0564" w:rsidRDefault="00744DA6">
            <w:pPr>
              <w:jc w:val="center"/>
            </w:pPr>
            <w:r>
              <w:rPr>
                <w:color w:val="000000"/>
                <w:sz w:val="24"/>
              </w:rPr>
              <w:t>9</w:t>
            </w:r>
          </w:p>
        </w:tc>
        <w:tc>
          <w:tcPr>
            <w:tcW w:w="0" w:type="auto"/>
            <w:vAlign w:val="center"/>
          </w:tcPr>
          <w:p w:rsidR="00BD0564" w:rsidRDefault="00744DA6">
            <w:pPr>
              <w:jc w:val="center"/>
            </w:pPr>
            <w:r>
              <w:rPr>
                <w:color w:val="000000"/>
                <w:sz w:val="24"/>
              </w:rPr>
              <w:t>111819355</w:t>
            </w:r>
          </w:p>
        </w:tc>
        <w:tc>
          <w:tcPr>
            <w:tcW w:w="0" w:type="auto"/>
            <w:vAlign w:val="center"/>
          </w:tcPr>
          <w:p w:rsidR="00BD0564" w:rsidRDefault="00744DA6">
            <w:pPr>
              <w:jc w:val="center"/>
            </w:pPr>
            <w:r>
              <w:rPr>
                <w:color w:val="000000"/>
                <w:sz w:val="24"/>
              </w:rPr>
              <w:t>18</w:t>
            </w:r>
            <w:r>
              <w:rPr>
                <w:color w:val="000000"/>
                <w:sz w:val="24"/>
              </w:rPr>
              <w:t>恒丰银行</w:t>
            </w:r>
            <w:r>
              <w:rPr>
                <w:color w:val="000000"/>
                <w:sz w:val="24"/>
              </w:rPr>
              <w:t>CD355</w:t>
            </w:r>
          </w:p>
        </w:tc>
        <w:tc>
          <w:tcPr>
            <w:tcW w:w="0" w:type="auto"/>
            <w:vAlign w:val="center"/>
          </w:tcPr>
          <w:p w:rsidR="00BD0564" w:rsidRDefault="00744DA6">
            <w:pPr>
              <w:jc w:val="right"/>
            </w:pPr>
            <w:r>
              <w:rPr>
                <w:color w:val="000000"/>
                <w:sz w:val="24"/>
              </w:rPr>
              <w:t>1,000,000</w:t>
            </w:r>
          </w:p>
        </w:tc>
        <w:tc>
          <w:tcPr>
            <w:tcW w:w="0" w:type="auto"/>
            <w:vAlign w:val="center"/>
          </w:tcPr>
          <w:p w:rsidR="00BD0564" w:rsidRDefault="00744DA6">
            <w:pPr>
              <w:jc w:val="right"/>
            </w:pPr>
            <w:r>
              <w:rPr>
                <w:color w:val="000000"/>
                <w:sz w:val="24"/>
              </w:rPr>
              <w:t>99,444,412.54</w:t>
            </w:r>
          </w:p>
        </w:tc>
        <w:tc>
          <w:tcPr>
            <w:tcW w:w="0" w:type="auto"/>
            <w:vAlign w:val="center"/>
          </w:tcPr>
          <w:p w:rsidR="00BD0564" w:rsidRDefault="00744DA6">
            <w:pPr>
              <w:jc w:val="right"/>
            </w:pPr>
            <w:r>
              <w:rPr>
                <w:color w:val="000000"/>
                <w:sz w:val="24"/>
              </w:rPr>
              <w:t>2.98</w:t>
            </w:r>
          </w:p>
        </w:tc>
      </w:tr>
      <w:tr w:rsidR="00BD0564">
        <w:trPr>
          <w:jc w:val="center"/>
        </w:trPr>
        <w:tc>
          <w:tcPr>
            <w:tcW w:w="0" w:type="auto"/>
            <w:vAlign w:val="center"/>
          </w:tcPr>
          <w:p w:rsidR="00BD0564" w:rsidRDefault="00744DA6">
            <w:pPr>
              <w:jc w:val="center"/>
            </w:pPr>
            <w:r>
              <w:rPr>
                <w:color w:val="000000"/>
                <w:sz w:val="24"/>
              </w:rPr>
              <w:t>10</w:t>
            </w:r>
          </w:p>
        </w:tc>
        <w:tc>
          <w:tcPr>
            <w:tcW w:w="0" w:type="auto"/>
            <w:vAlign w:val="center"/>
          </w:tcPr>
          <w:p w:rsidR="00BD0564" w:rsidRDefault="00744DA6">
            <w:pPr>
              <w:jc w:val="center"/>
            </w:pPr>
            <w:r>
              <w:rPr>
                <w:color w:val="000000"/>
                <w:sz w:val="24"/>
              </w:rPr>
              <w:t>111883780</w:t>
            </w:r>
          </w:p>
        </w:tc>
        <w:tc>
          <w:tcPr>
            <w:tcW w:w="0" w:type="auto"/>
            <w:vAlign w:val="center"/>
          </w:tcPr>
          <w:p w:rsidR="00BD0564" w:rsidRDefault="00744DA6">
            <w:pPr>
              <w:jc w:val="center"/>
            </w:pPr>
            <w:r>
              <w:rPr>
                <w:color w:val="000000"/>
                <w:sz w:val="24"/>
              </w:rPr>
              <w:t>18</w:t>
            </w:r>
            <w:r>
              <w:rPr>
                <w:color w:val="000000"/>
                <w:sz w:val="24"/>
              </w:rPr>
              <w:t>锦州银行</w:t>
            </w:r>
            <w:r>
              <w:rPr>
                <w:color w:val="000000"/>
                <w:sz w:val="24"/>
              </w:rPr>
              <w:lastRenderedPageBreak/>
              <w:t>CD190</w:t>
            </w:r>
          </w:p>
        </w:tc>
        <w:tc>
          <w:tcPr>
            <w:tcW w:w="0" w:type="auto"/>
            <w:vAlign w:val="center"/>
          </w:tcPr>
          <w:p w:rsidR="00BD0564" w:rsidRDefault="00744DA6">
            <w:pPr>
              <w:jc w:val="right"/>
            </w:pPr>
            <w:r>
              <w:rPr>
                <w:color w:val="000000"/>
                <w:sz w:val="24"/>
              </w:rPr>
              <w:lastRenderedPageBreak/>
              <w:t>1,000,000</w:t>
            </w:r>
          </w:p>
        </w:tc>
        <w:tc>
          <w:tcPr>
            <w:tcW w:w="0" w:type="auto"/>
            <w:vAlign w:val="center"/>
          </w:tcPr>
          <w:p w:rsidR="00BD0564" w:rsidRDefault="00744DA6">
            <w:pPr>
              <w:jc w:val="right"/>
            </w:pPr>
            <w:r>
              <w:rPr>
                <w:color w:val="000000"/>
                <w:sz w:val="24"/>
              </w:rPr>
              <w:t>99,436,758.83</w:t>
            </w:r>
          </w:p>
        </w:tc>
        <w:tc>
          <w:tcPr>
            <w:tcW w:w="0" w:type="auto"/>
            <w:vAlign w:val="center"/>
          </w:tcPr>
          <w:p w:rsidR="00BD0564" w:rsidRDefault="00744DA6">
            <w:pPr>
              <w:jc w:val="right"/>
            </w:pPr>
            <w:r>
              <w:rPr>
                <w:color w:val="000000"/>
                <w:sz w:val="24"/>
              </w:rPr>
              <w:t>2.98</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0.1514%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-0.0279%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0.0855%</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13"/>
        <w:gridCol w:w="1472"/>
        <w:gridCol w:w="1434"/>
        <w:gridCol w:w="1479"/>
        <w:gridCol w:w="1596"/>
        <w:gridCol w:w="1474"/>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BD0564">
        <w:trPr>
          <w:jc w:val="center"/>
        </w:trPr>
        <w:tc>
          <w:tcPr>
            <w:tcW w:w="0" w:type="auto"/>
            <w:vAlign w:val="center"/>
          </w:tcPr>
          <w:p w:rsidR="00BD0564" w:rsidRDefault="00744DA6">
            <w:pPr>
              <w:jc w:val="center"/>
            </w:pPr>
            <w:r>
              <w:rPr>
                <w:color w:val="000000"/>
                <w:sz w:val="24"/>
              </w:rPr>
              <w:t>1</w:t>
            </w:r>
          </w:p>
        </w:tc>
        <w:tc>
          <w:tcPr>
            <w:tcW w:w="0" w:type="auto"/>
            <w:vAlign w:val="center"/>
          </w:tcPr>
          <w:p w:rsidR="00BD0564" w:rsidRDefault="00744DA6">
            <w:pPr>
              <w:jc w:val="center"/>
            </w:pPr>
            <w:r>
              <w:rPr>
                <w:color w:val="000000"/>
                <w:sz w:val="24"/>
              </w:rPr>
              <w:t>139183</w:t>
            </w:r>
          </w:p>
        </w:tc>
        <w:tc>
          <w:tcPr>
            <w:tcW w:w="0" w:type="auto"/>
            <w:vAlign w:val="center"/>
          </w:tcPr>
          <w:p w:rsidR="00BD0564" w:rsidRDefault="00744DA6" w:rsidP="00744DA6">
            <w:pPr>
              <w:jc w:val="center"/>
            </w:pPr>
            <w:r>
              <w:rPr>
                <w:color w:val="000000"/>
                <w:sz w:val="24"/>
              </w:rPr>
              <w:t>蚁信</w:t>
            </w:r>
            <w:r>
              <w:rPr>
                <w:color w:val="000000"/>
                <w:sz w:val="24"/>
              </w:rPr>
              <w:t>05A</w:t>
            </w:r>
          </w:p>
        </w:tc>
        <w:tc>
          <w:tcPr>
            <w:tcW w:w="0" w:type="auto"/>
            <w:vAlign w:val="center"/>
          </w:tcPr>
          <w:p w:rsidR="00BD0564" w:rsidRDefault="00744DA6">
            <w:pPr>
              <w:jc w:val="right"/>
            </w:pPr>
            <w:r>
              <w:rPr>
                <w:color w:val="000000"/>
                <w:sz w:val="24"/>
              </w:rPr>
              <w:t>600,000</w:t>
            </w:r>
          </w:p>
        </w:tc>
        <w:tc>
          <w:tcPr>
            <w:tcW w:w="0" w:type="auto"/>
            <w:vAlign w:val="center"/>
          </w:tcPr>
          <w:p w:rsidR="00BD0564" w:rsidRDefault="00744DA6">
            <w:pPr>
              <w:jc w:val="right"/>
            </w:pPr>
            <w:r>
              <w:rPr>
                <w:color w:val="000000"/>
                <w:sz w:val="24"/>
              </w:rPr>
              <w:t>60,000,000.00</w:t>
            </w:r>
          </w:p>
        </w:tc>
        <w:tc>
          <w:tcPr>
            <w:tcW w:w="0" w:type="auto"/>
            <w:vAlign w:val="center"/>
          </w:tcPr>
          <w:p w:rsidR="00BD0564" w:rsidRDefault="00744DA6">
            <w:pPr>
              <w:jc w:val="right"/>
            </w:pPr>
            <w:r>
              <w:rPr>
                <w:color w:val="000000"/>
                <w:sz w:val="24"/>
              </w:rPr>
              <w:t>1.80</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180.22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lastRenderedPageBreak/>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12,923,435.94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189,418,335.47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202,341,951.63</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3,425,723,330.36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411,711,511.75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15,833,362,787.05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203,346,295.85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16,529,350,905.46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6,421,925.98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2,729,735,211.95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608,635,881.62</w:t>
            </w:r>
          </w:p>
        </w:tc>
      </w:tr>
    </w:tbl>
    <w:p w:rsidR="00BD0564" w:rsidRDefault="00744DA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851"/>
        <w:gridCol w:w="1370"/>
        <w:gridCol w:w="1701"/>
        <w:gridCol w:w="1842"/>
        <w:gridCol w:w="1397"/>
      </w:tblGrid>
      <w:tr w:rsidR="00924B66" w:rsidTr="00924B66">
        <w:trPr>
          <w:trHeight w:val="340"/>
          <w:jc w:val="center"/>
        </w:trPr>
        <w:tc>
          <w:tcPr>
            <w:tcW w:w="1600"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pStyle w:val="ac"/>
              <w:adjustRightInd w:val="0"/>
              <w:snapToGrid w:val="0"/>
              <w:spacing w:before="29" w:line="288" w:lineRule="auto"/>
              <w:jc w:val="center"/>
              <w:rPr>
                <w:color w:val="000000"/>
                <w:kern w:val="0"/>
              </w:rPr>
            </w:pPr>
            <w:bookmarkStart w:id="2" w:name="_GoBack"/>
            <w:bookmarkEnd w:id="2"/>
            <w:r>
              <w:rPr>
                <w:rFonts w:hAnsi="宋体" w:hint="eastAsia"/>
                <w:color w:val="000000"/>
                <w:kern w:val="0"/>
              </w:rPr>
              <w:t>序号</w:t>
            </w:r>
          </w:p>
        </w:tc>
        <w:tc>
          <w:tcPr>
            <w:tcW w:w="1851"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adjustRightInd w:val="0"/>
              <w:snapToGrid w:val="0"/>
              <w:spacing w:before="29" w:line="288" w:lineRule="auto"/>
              <w:jc w:val="center"/>
              <w:rPr>
                <w:color w:val="000000"/>
                <w:kern w:val="0"/>
                <w:sz w:val="24"/>
              </w:rPr>
            </w:pPr>
            <w:r>
              <w:rPr>
                <w:rFonts w:hAnsi="宋体" w:hint="eastAsia"/>
                <w:color w:val="000000"/>
                <w:kern w:val="0"/>
                <w:sz w:val="24"/>
              </w:rPr>
              <w:t>交易方式</w:t>
            </w:r>
          </w:p>
        </w:tc>
        <w:tc>
          <w:tcPr>
            <w:tcW w:w="1370"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adjustRightInd w:val="0"/>
              <w:snapToGrid w:val="0"/>
              <w:spacing w:before="29" w:line="288" w:lineRule="auto"/>
              <w:rPr>
                <w:color w:val="000000"/>
                <w:kern w:val="0"/>
                <w:sz w:val="24"/>
              </w:rPr>
            </w:pPr>
            <w:r>
              <w:rPr>
                <w:rFonts w:hAnsi="宋体" w:hint="eastAsia"/>
                <w:color w:val="000000"/>
                <w:kern w:val="0"/>
                <w:sz w:val="24"/>
              </w:rPr>
              <w:t>交易日期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adjustRightInd w:val="0"/>
              <w:snapToGrid w:val="0"/>
              <w:spacing w:before="29" w:line="288" w:lineRule="auto"/>
              <w:jc w:val="center"/>
              <w:rPr>
                <w:color w:val="000000"/>
                <w:kern w:val="0"/>
                <w:sz w:val="24"/>
              </w:rPr>
            </w:pPr>
            <w:r>
              <w:rPr>
                <w:rFonts w:hAnsi="宋体" w:hint="eastAsia"/>
                <w:color w:val="000000"/>
                <w:kern w:val="0"/>
                <w:sz w:val="24"/>
              </w:rPr>
              <w:t>交易份额（份）</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adjustRightInd w:val="0"/>
              <w:snapToGrid w:val="0"/>
              <w:spacing w:before="29" w:line="288" w:lineRule="auto"/>
              <w:jc w:val="center"/>
              <w:rPr>
                <w:color w:val="000000"/>
                <w:kern w:val="0"/>
                <w:sz w:val="24"/>
              </w:rPr>
            </w:pPr>
            <w:r>
              <w:rPr>
                <w:rFonts w:hAnsi="宋体" w:hint="eastAsia"/>
                <w:color w:val="000000"/>
                <w:kern w:val="0"/>
                <w:sz w:val="24"/>
              </w:rPr>
              <w:t>交易金额（元）</w:t>
            </w:r>
          </w:p>
        </w:tc>
        <w:tc>
          <w:tcPr>
            <w:tcW w:w="1397"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adjustRightInd w:val="0"/>
              <w:snapToGrid w:val="0"/>
              <w:spacing w:before="29" w:line="288" w:lineRule="auto"/>
              <w:jc w:val="center"/>
              <w:rPr>
                <w:color w:val="000000"/>
                <w:kern w:val="0"/>
                <w:sz w:val="24"/>
              </w:rPr>
            </w:pPr>
            <w:r>
              <w:rPr>
                <w:rFonts w:hAnsi="宋体" w:hint="eastAsia"/>
                <w:color w:val="000000"/>
                <w:kern w:val="0"/>
                <w:sz w:val="24"/>
              </w:rPr>
              <w:t>适用费率</w:t>
            </w:r>
          </w:p>
        </w:tc>
      </w:tr>
      <w:tr w:rsidR="00924B66" w:rsidTr="00924B66">
        <w:trPr>
          <w:jc w:val="center"/>
        </w:trPr>
        <w:tc>
          <w:tcPr>
            <w:tcW w:w="1600"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jc w:val="center"/>
            </w:pPr>
            <w:r>
              <w:rPr>
                <w:color w:val="000000"/>
                <w:sz w:val="24"/>
              </w:rPr>
              <w:t>1</w:t>
            </w:r>
          </w:p>
        </w:tc>
        <w:tc>
          <w:tcPr>
            <w:tcW w:w="1851"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jc w:val="center"/>
            </w:pPr>
            <w:r>
              <w:rPr>
                <w:color w:val="000000"/>
                <w:sz w:val="24"/>
              </w:rPr>
              <w:t>E</w:t>
            </w:r>
            <w:r>
              <w:rPr>
                <w:rFonts w:hint="eastAsia"/>
                <w:color w:val="000000"/>
                <w:sz w:val="24"/>
              </w:rPr>
              <w:t>类份额红利再投</w:t>
            </w:r>
          </w:p>
        </w:tc>
        <w:tc>
          <w:tcPr>
            <w:tcW w:w="1370"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jc w:val="center"/>
            </w:pPr>
            <w:r>
              <w:rPr>
                <w:color w:val="00000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jc w:val="right"/>
            </w:pPr>
            <w:r>
              <w:rPr>
                <w:color w:val="000000"/>
                <w:sz w:val="24"/>
              </w:rPr>
              <w:t>2,019.31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jc w:val="right"/>
            </w:pPr>
            <w:r>
              <w:rPr>
                <w:color w:val="000000"/>
                <w:sz w:val="24"/>
              </w:rPr>
              <w:t>2,019.31</w:t>
            </w:r>
          </w:p>
        </w:tc>
        <w:tc>
          <w:tcPr>
            <w:tcW w:w="1397"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jc w:val="center"/>
            </w:pPr>
            <w:r>
              <w:rPr>
                <w:color w:val="000000"/>
                <w:sz w:val="24"/>
              </w:rPr>
              <w:t>-</w:t>
            </w:r>
          </w:p>
        </w:tc>
      </w:tr>
      <w:tr w:rsidR="00924B66" w:rsidTr="00924B66">
        <w:trPr>
          <w:trHeight w:val="340"/>
          <w:jc w:val="center"/>
        </w:trPr>
        <w:tc>
          <w:tcPr>
            <w:tcW w:w="1600"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pStyle w:val="ac"/>
              <w:adjustRightInd w:val="0"/>
              <w:snapToGrid w:val="0"/>
              <w:spacing w:before="29" w:line="288" w:lineRule="auto"/>
              <w:jc w:val="center"/>
              <w:rPr>
                <w:color w:val="000000"/>
                <w:kern w:val="0"/>
              </w:rPr>
            </w:pPr>
            <w:r>
              <w:rPr>
                <w:rFonts w:hAnsi="宋体" w:hint="eastAsia"/>
                <w:color w:val="000000"/>
                <w:kern w:val="0"/>
              </w:rPr>
              <w:t>合计</w:t>
            </w:r>
          </w:p>
        </w:tc>
        <w:tc>
          <w:tcPr>
            <w:tcW w:w="1851" w:type="dxa"/>
            <w:tcBorders>
              <w:top w:val="single" w:sz="4" w:space="0" w:color="auto"/>
              <w:left w:val="single" w:sz="4" w:space="0" w:color="auto"/>
              <w:bottom w:val="single" w:sz="4" w:space="0" w:color="auto"/>
              <w:right w:val="single" w:sz="4" w:space="0" w:color="auto"/>
            </w:tcBorders>
            <w:vAlign w:val="center"/>
          </w:tcPr>
          <w:p w:rsidR="00924B66" w:rsidRDefault="00924B66" w:rsidP="00C24EC1">
            <w:pPr>
              <w:adjustRightInd w:val="0"/>
              <w:snapToGrid w:val="0"/>
              <w:spacing w:before="29" w:line="288" w:lineRule="auto"/>
              <w:jc w:val="right"/>
              <w:rPr>
                <w:color w:val="0000FF"/>
                <w:kern w:val="0"/>
                <w:sz w:val="18"/>
              </w:rPr>
            </w:pPr>
          </w:p>
        </w:tc>
        <w:tc>
          <w:tcPr>
            <w:tcW w:w="1370" w:type="dxa"/>
            <w:tcBorders>
              <w:top w:val="single" w:sz="4" w:space="0" w:color="auto"/>
              <w:left w:val="single" w:sz="4" w:space="0" w:color="auto"/>
              <w:bottom w:val="single" w:sz="4" w:space="0" w:color="auto"/>
              <w:right w:val="single" w:sz="4" w:space="0" w:color="auto"/>
            </w:tcBorders>
            <w:vAlign w:val="center"/>
          </w:tcPr>
          <w:p w:rsidR="00924B66" w:rsidRDefault="00924B66" w:rsidP="00C24EC1">
            <w:pPr>
              <w:adjustRightInd w:val="0"/>
              <w:snapToGrid w:val="0"/>
              <w:spacing w:before="29" w:line="288" w:lineRule="auto"/>
              <w:jc w:val="right"/>
              <w:rPr>
                <w:color w:val="0000FF"/>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adjustRightInd w:val="0"/>
              <w:snapToGrid w:val="0"/>
              <w:spacing w:before="29" w:line="288" w:lineRule="auto"/>
              <w:jc w:val="right"/>
              <w:rPr>
                <w:color w:val="000000"/>
                <w:sz w:val="24"/>
              </w:rPr>
            </w:pPr>
            <w:r>
              <w:rPr>
                <w:color w:val="000000"/>
                <w:sz w:val="24"/>
              </w:rPr>
              <w:t>2,019.31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4B66" w:rsidRDefault="00924B66" w:rsidP="00C24EC1">
            <w:pPr>
              <w:adjustRightInd w:val="0"/>
              <w:snapToGrid w:val="0"/>
              <w:spacing w:before="29" w:line="288" w:lineRule="auto"/>
              <w:jc w:val="right"/>
              <w:rPr>
                <w:color w:val="000000"/>
                <w:sz w:val="24"/>
              </w:rPr>
            </w:pPr>
            <w:r>
              <w:rPr>
                <w:color w:val="000000"/>
                <w:sz w:val="24"/>
              </w:rPr>
              <w:t>2,019.31</w:t>
            </w:r>
          </w:p>
        </w:tc>
        <w:tc>
          <w:tcPr>
            <w:tcW w:w="1397" w:type="dxa"/>
            <w:tcBorders>
              <w:top w:val="single" w:sz="4" w:space="0" w:color="auto"/>
              <w:left w:val="single" w:sz="4" w:space="0" w:color="auto"/>
              <w:bottom w:val="single" w:sz="4" w:space="0" w:color="auto"/>
              <w:right w:val="single" w:sz="4" w:space="0" w:color="auto"/>
            </w:tcBorders>
            <w:vAlign w:val="center"/>
          </w:tcPr>
          <w:p w:rsidR="00924B66" w:rsidRDefault="00924B66" w:rsidP="00C24EC1">
            <w:pPr>
              <w:adjustRightInd w:val="0"/>
              <w:snapToGrid w:val="0"/>
              <w:spacing w:before="29" w:line="288" w:lineRule="auto"/>
              <w:jc w:val="right"/>
              <w:rPr>
                <w:color w:val="0000FF"/>
                <w:kern w:val="0"/>
                <w:sz w:val="18"/>
              </w:rPr>
            </w:pPr>
          </w:p>
        </w:tc>
      </w:tr>
    </w:tbl>
    <w:p w:rsidR="00924B66" w:rsidRDefault="00924B66" w:rsidP="00924B66">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、本基金管理人本报告期末持有本基金</w:t>
      </w:r>
      <w:r>
        <w:rPr>
          <w:color w:val="000000"/>
          <w:sz w:val="24"/>
        </w:rPr>
        <w:t>A</w:t>
      </w:r>
      <w:r>
        <w:rPr>
          <w:rFonts w:hint="eastAsia"/>
          <w:color w:val="000000"/>
          <w:sz w:val="24"/>
        </w:rPr>
        <w:t>类份额</w:t>
      </w:r>
      <w:r>
        <w:rPr>
          <w:color w:val="000000"/>
          <w:sz w:val="24"/>
        </w:rPr>
        <w:t>0.00</w:t>
      </w:r>
      <w:r>
        <w:rPr>
          <w:rFonts w:hint="eastAsia"/>
          <w:color w:val="000000"/>
          <w:sz w:val="24"/>
        </w:rPr>
        <w:t>份，占本基金期末</w:t>
      </w:r>
      <w:r>
        <w:rPr>
          <w:color w:val="000000"/>
          <w:sz w:val="24"/>
        </w:rPr>
        <w:t>A</w:t>
      </w:r>
      <w:r>
        <w:rPr>
          <w:rFonts w:hint="eastAsia"/>
          <w:color w:val="000000"/>
          <w:sz w:val="24"/>
        </w:rPr>
        <w:t>类基金总</w:t>
      </w:r>
      <w:r>
        <w:rPr>
          <w:rFonts w:hint="eastAsia"/>
          <w:color w:val="000000"/>
          <w:sz w:val="24"/>
        </w:rPr>
        <w:lastRenderedPageBreak/>
        <w:t>份额的</w:t>
      </w:r>
      <w:r>
        <w:rPr>
          <w:color w:val="000000"/>
          <w:sz w:val="24"/>
        </w:rPr>
        <w:t>0.00%</w:t>
      </w:r>
      <w:r>
        <w:rPr>
          <w:rFonts w:hint="eastAsia"/>
          <w:color w:val="000000"/>
          <w:sz w:val="24"/>
        </w:rPr>
        <w:t>；持有本基金</w:t>
      </w:r>
      <w:r>
        <w:rPr>
          <w:color w:val="000000"/>
          <w:sz w:val="24"/>
        </w:rPr>
        <w:t>E</w:t>
      </w:r>
      <w:r>
        <w:rPr>
          <w:rFonts w:hint="eastAsia"/>
          <w:color w:val="000000"/>
          <w:sz w:val="24"/>
        </w:rPr>
        <w:t>类份额</w:t>
      </w:r>
      <w:r>
        <w:rPr>
          <w:color w:val="000000"/>
          <w:sz w:val="24"/>
        </w:rPr>
        <w:t>260,895.44</w:t>
      </w:r>
      <w:r>
        <w:rPr>
          <w:rFonts w:hint="eastAsia"/>
          <w:color w:val="000000"/>
          <w:sz w:val="24"/>
        </w:rPr>
        <w:t>份，占本基金期末</w:t>
      </w:r>
      <w:r>
        <w:rPr>
          <w:color w:val="000000"/>
          <w:sz w:val="24"/>
        </w:rPr>
        <w:t>E</w:t>
      </w:r>
      <w:r>
        <w:rPr>
          <w:rFonts w:hint="eastAsia"/>
          <w:color w:val="000000"/>
          <w:sz w:val="24"/>
        </w:rPr>
        <w:t>类基金总份额的</w:t>
      </w:r>
      <w:r>
        <w:rPr>
          <w:color w:val="000000"/>
          <w:sz w:val="24"/>
        </w:rPr>
        <w:t>0.04%</w:t>
      </w:r>
      <w:r>
        <w:rPr>
          <w:rFonts w:hint="eastAsia"/>
          <w:color w:val="000000"/>
          <w:sz w:val="24"/>
        </w:rPr>
        <w:t>。</w:t>
      </w:r>
    </w:p>
    <w:p w:rsidR="000F2DA3" w:rsidRPr="000E4C40" w:rsidRDefault="00924B66" w:rsidP="00924B66">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BD0564" w:rsidRDefault="00744DA6">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BD0564" w:rsidRDefault="00744DA6">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BD0564" w:rsidRDefault="00744DA6">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BD0564" w:rsidRDefault="00744DA6">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BD0564" w:rsidRDefault="00744DA6">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BD0564" w:rsidRDefault="00744DA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D0564" w:rsidRDefault="00744DA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BD0564" w:rsidRDefault="00744DA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3AB" w:rsidRDefault="009913AB">
      <w:r>
        <w:separator/>
      </w:r>
    </w:p>
  </w:endnote>
  <w:endnote w:type="continuationSeparator" w:id="0">
    <w:p w:rsidR="009913AB" w:rsidRDefault="0099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924B66">
      <w:rPr>
        <w:noProof/>
        <w:kern w:val="0"/>
        <w:szCs w:val="21"/>
      </w:rPr>
      <w:t>13</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924B66">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3AB" w:rsidRDefault="009913AB">
      <w:r>
        <w:separator/>
      </w:r>
    </w:p>
  </w:footnote>
  <w:footnote w:type="continuationSeparator" w:id="0">
    <w:p w:rsidR="009913AB" w:rsidRDefault="00991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交银施罗德现金宝货币市场基金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DA6"/>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4B66"/>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13AB"/>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0564"/>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199E6F4-0AA3-402D-B9BA-A063884A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CC3C95-19FD-40EF-B583-51E0B210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14</Pages>
  <Words>1264</Words>
  <Characters>7210</Characters>
  <Application>Microsoft Office Word</Application>
  <DocSecurity>0</DocSecurity>
  <Lines>60</Lines>
  <Paragraphs>16</Paragraphs>
  <ScaleCrop>false</ScaleCrop>
  <Company>jysld</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316</cp:revision>
  <cp:lastPrinted>2009-01-22T10:11:00Z</cp:lastPrinted>
  <dcterms:created xsi:type="dcterms:W3CDTF">2012-11-21T05:49:00Z</dcterms:created>
  <dcterms:modified xsi:type="dcterms:W3CDTF">2019-01-17T02:50:00Z</dcterms:modified>
</cp:coreProperties>
</file>