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306,092,285.48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230,722,135.76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75,370,149.72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bookmarkStart w:id="0" w:name="_GoBack"/>
      <w:bookmarkEnd w:id="0"/>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4,186,837.71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1,439,468.91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4,910,420.54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1,651,652.47</w:t>
            </w:r>
          </w:p>
        </w:tc>
      </w:tr>
      <w:tr w:rsidR="005F293E" w:rsidRPr="00447087"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0.0213</w:t>
            </w:r>
          </w:p>
        </w:tc>
        <w:tc>
          <w:tcPr>
            <w:tcW w:w="2481" w:type="dxa"/>
            <w:vAlign w:val="center"/>
          </w:tcPr>
          <w:p w:rsidR="005F293E" w:rsidRPr="00447087" w:rsidRDefault="00FE7FBD" w:rsidP="007C14DF">
            <w:pPr>
              <w:adjustRightInd w:val="0"/>
              <w:spacing w:before="29" w:line="288" w:lineRule="auto"/>
              <w:ind w:left="17"/>
              <w:jc w:val="right"/>
              <w:rPr>
                <w:color w:val="000000"/>
                <w:sz w:val="24"/>
                <w:highlight w:val="yellow"/>
              </w:rPr>
            </w:pPr>
            <w:r w:rsidRPr="00447087">
              <w:rPr>
                <w:color w:val="000000"/>
                <w:sz w:val="24"/>
                <w:highlight w:val="yellow"/>
              </w:rPr>
              <w:t>0.0199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235,719,041.41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76,954,056.68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1.0210</w:t>
            </w:r>
          </w:p>
        </w:tc>
      </w:tr>
    </w:tbl>
    <w:p w:rsidR="00A11C71" w:rsidRDefault="004B10C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1C71">
        <w:trPr>
          <w:jc w:val="center"/>
        </w:trPr>
        <w:tc>
          <w:tcPr>
            <w:tcW w:w="1266" w:type="dxa"/>
            <w:vAlign w:val="center"/>
          </w:tcPr>
          <w:p w:rsidR="00A11C71" w:rsidRDefault="004B10C4">
            <w:pPr>
              <w:jc w:val="left"/>
            </w:pPr>
            <w:r>
              <w:rPr>
                <w:color w:val="000000"/>
                <w:sz w:val="24"/>
              </w:rPr>
              <w:t>过去三个月</w:t>
            </w:r>
          </w:p>
        </w:tc>
        <w:tc>
          <w:tcPr>
            <w:tcW w:w="1267" w:type="dxa"/>
            <w:vAlign w:val="center"/>
          </w:tcPr>
          <w:p w:rsidR="00A11C71" w:rsidRDefault="004B10C4">
            <w:pPr>
              <w:jc w:val="center"/>
            </w:pPr>
            <w:r>
              <w:rPr>
                <w:color w:val="000000"/>
                <w:sz w:val="24"/>
              </w:rPr>
              <w:t>2.12%</w:t>
            </w:r>
          </w:p>
        </w:tc>
        <w:tc>
          <w:tcPr>
            <w:tcW w:w="1267" w:type="dxa"/>
            <w:vAlign w:val="center"/>
          </w:tcPr>
          <w:p w:rsidR="00A11C71" w:rsidRDefault="004B10C4">
            <w:pPr>
              <w:jc w:val="center"/>
            </w:pPr>
            <w:r>
              <w:rPr>
                <w:color w:val="000000"/>
                <w:sz w:val="24"/>
              </w:rPr>
              <w:t>0.07%</w:t>
            </w:r>
          </w:p>
        </w:tc>
        <w:tc>
          <w:tcPr>
            <w:tcW w:w="1267" w:type="dxa"/>
            <w:vAlign w:val="center"/>
          </w:tcPr>
          <w:p w:rsidR="00A11C71" w:rsidRDefault="004B10C4">
            <w:pPr>
              <w:jc w:val="center"/>
            </w:pPr>
            <w:r>
              <w:rPr>
                <w:color w:val="000000"/>
                <w:sz w:val="24"/>
              </w:rPr>
              <w:t>1.41%</w:t>
            </w:r>
          </w:p>
        </w:tc>
        <w:tc>
          <w:tcPr>
            <w:tcW w:w="1267" w:type="dxa"/>
            <w:vAlign w:val="center"/>
          </w:tcPr>
          <w:p w:rsidR="00A11C71" w:rsidRDefault="004B10C4">
            <w:pPr>
              <w:jc w:val="center"/>
            </w:pPr>
            <w:r>
              <w:rPr>
                <w:color w:val="000000"/>
                <w:sz w:val="24"/>
              </w:rPr>
              <w:t>0.04%</w:t>
            </w:r>
          </w:p>
        </w:tc>
        <w:tc>
          <w:tcPr>
            <w:tcW w:w="1267" w:type="dxa"/>
            <w:vAlign w:val="center"/>
          </w:tcPr>
          <w:p w:rsidR="00A11C71" w:rsidRDefault="004B10C4">
            <w:pPr>
              <w:jc w:val="center"/>
            </w:pPr>
            <w:r>
              <w:rPr>
                <w:color w:val="000000"/>
                <w:sz w:val="24"/>
              </w:rPr>
              <w:t>0.71%</w:t>
            </w:r>
          </w:p>
        </w:tc>
        <w:tc>
          <w:tcPr>
            <w:tcW w:w="1267" w:type="dxa"/>
            <w:vAlign w:val="center"/>
          </w:tcPr>
          <w:p w:rsidR="00A11C71" w:rsidRDefault="004B10C4">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1C71">
        <w:trPr>
          <w:jc w:val="center"/>
        </w:trPr>
        <w:tc>
          <w:tcPr>
            <w:tcW w:w="1266" w:type="dxa"/>
            <w:vAlign w:val="center"/>
          </w:tcPr>
          <w:p w:rsidR="00A11C71" w:rsidRDefault="004B10C4">
            <w:pPr>
              <w:jc w:val="left"/>
            </w:pPr>
            <w:r>
              <w:rPr>
                <w:color w:val="000000"/>
                <w:sz w:val="24"/>
              </w:rPr>
              <w:t>过去三个月</w:t>
            </w:r>
          </w:p>
        </w:tc>
        <w:tc>
          <w:tcPr>
            <w:tcW w:w="1267" w:type="dxa"/>
            <w:vAlign w:val="center"/>
          </w:tcPr>
          <w:p w:rsidR="00A11C71" w:rsidRDefault="004B10C4">
            <w:pPr>
              <w:jc w:val="center"/>
            </w:pPr>
            <w:r>
              <w:rPr>
                <w:color w:val="000000"/>
                <w:sz w:val="24"/>
              </w:rPr>
              <w:t>2.02%</w:t>
            </w:r>
          </w:p>
        </w:tc>
        <w:tc>
          <w:tcPr>
            <w:tcW w:w="1267" w:type="dxa"/>
            <w:vAlign w:val="center"/>
          </w:tcPr>
          <w:p w:rsidR="00A11C71" w:rsidRDefault="004B10C4">
            <w:pPr>
              <w:jc w:val="center"/>
            </w:pPr>
            <w:r>
              <w:rPr>
                <w:color w:val="000000"/>
                <w:sz w:val="24"/>
              </w:rPr>
              <w:t>0.06%</w:t>
            </w:r>
          </w:p>
        </w:tc>
        <w:tc>
          <w:tcPr>
            <w:tcW w:w="1267" w:type="dxa"/>
            <w:vAlign w:val="center"/>
          </w:tcPr>
          <w:p w:rsidR="00A11C71" w:rsidRDefault="004B10C4">
            <w:pPr>
              <w:jc w:val="center"/>
            </w:pPr>
            <w:r>
              <w:rPr>
                <w:color w:val="000000"/>
                <w:sz w:val="24"/>
              </w:rPr>
              <w:t>1.41%</w:t>
            </w:r>
          </w:p>
        </w:tc>
        <w:tc>
          <w:tcPr>
            <w:tcW w:w="1267" w:type="dxa"/>
            <w:vAlign w:val="center"/>
          </w:tcPr>
          <w:p w:rsidR="00A11C71" w:rsidRDefault="004B10C4">
            <w:pPr>
              <w:jc w:val="center"/>
            </w:pPr>
            <w:r>
              <w:rPr>
                <w:color w:val="000000"/>
                <w:sz w:val="24"/>
              </w:rPr>
              <w:t>0.04%</w:t>
            </w:r>
          </w:p>
        </w:tc>
        <w:tc>
          <w:tcPr>
            <w:tcW w:w="1267" w:type="dxa"/>
            <w:vAlign w:val="center"/>
          </w:tcPr>
          <w:p w:rsidR="00A11C71" w:rsidRDefault="004B10C4">
            <w:pPr>
              <w:jc w:val="center"/>
            </w:pPr>
            <w:r>
              <w:rPr>
                <w:color w:val="000000"/>
                <w:sz w:val="24"/>
              </w:rPr>
              <w:t>0.61%</w:t>
            </w:r>
          </w:p>
        </w:tc>
        <w:tc>
          <w:tcPr>
            <w:tcW w:w="1267" w:type="dxa"/>
            <w:vAlign w:val="center"/>
          </w:tcPr>
          <w:p w:rsidR="00A11C71" w:rsidRDefault="004B10C4">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11C71">
        <w:trPr>
          <w:jc w:val="center"/>
        </w:trPr>
        <w:tc>
          <w:tcPr>
            <w:tcW w:w="946" w:type="dxa"/>
            <w:vAlign w:val="center"/>
          </w:tcPr>
          <w:p w:rsidR="00A11C71" w:rsidRDefault="004B10C4">
            <w:pPr>
              <w:jc w:val="center"/>
            </w:pPr>
            <w:r>
              <w:rPr>
                <w:color w:val="000000"/>
                <w:sz w:val="24"/>
              </w:rPr>
              <w:t>于海颖</w:t>
            </w:r>
          </w:p>
        </w:tc>
        <w:tc>
          <w:tcPr>
            <w:tcW w:w="924" w:type="dxa"/>
            <w:vAlign w:val="center"/>
          </w:tcPr>
          <w:p w:rsidR="00A11C71" w:rsidRDefault="004B10C4">
            <w:pPr>
              <w:jc w:val="center"/>
            </w:pPr>
            <w:r>
              <w:rPr>
                <w:color w:val="000000"/>
                <w:sz w:val="24"/>
              </w:rPr>
              <w:t>交银增利债券、交银纯债债券发起、交银荣祥保本</w:t>
            </w:r>
            <w:r>
              <w:rPr>
                <w:color w:val="000000"/>
                <w:sz w:val="24"/>
              </w:rPr>
              <w:lastRenderedPageBreak/>
              <w:t>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A11C71" w:rsidRDefault="004B10C4">
            <w:pPr>
              <w:jc w:val="center"/>
            </w:pPr>
            <w:r>
              <w:rPr>
                <w:color w:val="000000"/>
                <w:sz w:val="24"/>
              </w:rPr>
              <w:lastRenderedPageBreak/>
              <w:t>2017-06-10</w:t>
            </w:r>
          </w:p>
        </w:tc>
        <w:tc>
          <w:tcPr>
            <w:tcW w:w="1300" w:type="dxa"/>
            <w:vAlign w:val="center"/>
          </w:tcPr>
          <w:p w:rsidR="00A11C71" w:rsidRDefault="004B10C4">
            <w:pPr>
              <w:jc w:val="center"/>
            </w:pPr>
            <w:r>
              <w:rPr>
                <w:color w:val="000000"/>
                <w:sz w:val="24"/>
              </w:rPr>
              <w:t>-</w:t>
            </w:r>
          </w:p>
        </w:tc>
        <w:tc>
          <w:tcPr>
            <w:tcW w:w="1245" w:type="dxa"/>
            <w:vAlign w:val="center"/>
          </w:tcPr>
          <w:p w:rsidR="00A11C71" w:rsidRDefault="004B10C4">
            <w:pPr>
              <w:jc w:val="center"/>
            </w:pPr>
            <w:r>
              <w:rPr>
                <w:color w:val="000000"/>
                <w:sz w:val="24"/>
              </w:rPr>
              <w:t>12</w:t>
            </w:r>
            <w:r>
              <w:rPr>
                <w:color w:val="000000"/>
                <w:sz w:val="24"/>
              </w:rPr>
              <w:t>年</w:t>
            </w:r>
          </w:p>
        </w:tc>
        <w:tc>
          <w:tcPr>
            <w:tcW w:w="3251" w:type="dxa"/>
            <w:vAlign w:val="center"/>
          </w:tcPr>
          <w:p w:rsidR="00A11C71" w:rsidRDefault="004B10C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lastRenderedPageBreak/>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A11C71">
        <w:trPr>
          <w:jc w:val="center"/>
        </w:trPr>
        <w:tc>
          <w:tcPr>
            <w:tcW w:w="946" w:type="dxa"/>
            <w:vAlign w:val="center"/>
          </w:tcPr>
          <w:p w:rsidR="00A11C71" w:rsidRDefault="004B10C4">
            <w:pPr>
              <w:jc w:val="center"/>
            </w:pPr>
            <w:r>
              <w:rPr>
                <w:color w:val="000000"/>
                <w:sz w:val="24"/>
              </w:rPr>
              <w:lastRenderedPageBreak/>
              <w:t>魏玉敏</w:t>
            </w:r>
          </w:p>
        </w:tc>
        <w:tc>
          <w:tcPr>
            <w:tcW w:w="924" w:type="dxa"/>
            <w:vAlign w:val="center"/>
          </w:tcPr>
          <w:p w:rsidR="00A11C71" w:rsidRDefault="004B10C4">
            <w:pPr>
              <w:jc w:val="center"/>
            </w:pPr>
            <w:r>
              <w:rPr>
                <w:color w:val="000000"/>
                <w:sz w:val="24"/>
              </w:rPr>
              <w:t>交银增利债券、交银纯债债券发起、交银丰润收益债券、交银增利增强债券、交银丰晟收益债券、交银裕如纯债债券的基金经理</w:t>
            </w:r>
          </w:p>
        </w:tc>
        <w:tc>
          <w:tcPr>
            <w:tcW w:w="1202" w:type="dxa"/>
            <w:vAlign w:val="center"/>
          </w:tcPr>
          <w:p w:rsidR="00A11C71" w:rsidRDefault="004B10C4">
            <w:pPr>
              <w:jc w:val="center"/>
            </w:pPr>
            <w:r>
              <w:rPr>
                <w:color w:val="000000"/>
                <w:sz w:val="24"/>
              </w:rPr>
              <w:t>2018-08-29</w:t>
            </w:r>
          </w:p>
        </w:tc>
        <w:tc>
          <w:tcPr>
            <w:tcW w:w="1300" w:type="dxa"/>
            <w:vAlign w:val="center"/>
          </w:tcPr>
          <w:p w:rsidR="00A11C71" w:rsidRDefault="004B10C4">
            <w:pPr>
              <w:jc w:val="center"/>
            </w:pPr>
            <w:r>
              <w:rPr>
                <w:color w:val="000000"/>
                <w:sz w:val="24"/>
              </w:rPr>
              <w:t>-</w:t>
            </w:r>
          </w:p>
        </w:tc>
        <w:tc>
          <w:tcPr>
            <w:tcW w:w="1245" w:type="dxa"/>
            <w:vAlign w:val="center"/>
          </w:tcPr>
          <w:p w:rsidR="00A11C71" w:rsidRDefault="004B10C4">
            <w:pPr>
              <w:jc w:val="center"/>
            </w:pPr>
            <w:r>
              <w:rPr>
                <w:color w:val="000000"/>
                <w:sz w:val="24"/>
              </w:rPr>
              <w:t>6</w:t>
            </w:r>
            <w:r>
              <w:rPr>
                <w:color w:val="000000"/>
                <w:sz w:val="24"/>
              </w:rPr>
              <w:t>年</w:t>
            </w:r>
          </w:p>
        </w:tc>
        <w:tc>
          <w:tcPr>
            <w:tcW w:w="3251" w:type="dxa"/>
            <w:vAlign w:val="center"/>
          </w:tcPr>
          <w:p w:rsidR="00A11C71" w:rsidRDefault="004B10C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11C71" w:rsidRDefault="004B10C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1C71" w:rsidRDefault="004B10C4">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A11C71" w:rsidRDefault="004B10C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11C71" w:rsidRDefault="004B10C4">
      <w:pPr>
        <w:spacing w:before="29" w:line="288" w:lineRule="auto"/>
        <w:ind w:firstLineChars="200" w:firstLine="480"/>
        <w:rPr>
          <w:color w:val="000000"/>
          <w:sz w:val="24"/>
        </w:rPr>
      </w:pPr>
      <w:r>
        <w:rPr>
          <w:color w:val="000000"/>
          <w:sz w:val="24"/>
        </w:rPr>
        <w:t>2018</w:t>
      </w:r>
      <w:r>
        <w:rPr>
          <w:color w:val="000000"/>
          <w:sz w:val="24"/>
        </w:rPr>
        <w:t>年四季度利率债收益率明显下行，长端收益率下行比短端更为明显，曲线期限利差收窄，信用债下行明显，信用利差收窄。十月，央行不仅没有跟随美联储加息，反而在十一假期后超预期降准，债市做多情绪重新升温。三</w:t>
      </w:r>
      <w:r>
        <w:rPr>
          <w:color w:val="000000"/>
          <w:sz w:val="24"/>
        </w:rPr>
        <w:t>季度</w:t>
      </w:r>
      <w:r>
        <w:rPr>
          <w:color w:val="000000"/>
          <w:sz w:val="24"/>
        </w:rPr>
        <w:t>GDP</w:t>
      </w:r>
      <w:r>
        <w:rPr>
          <w:color w:val="000000"/>
          <w:sz w:val="24"/>
        </w:rPr>
        <w:t>增速回落到</w:t>
      </w:r>
      <w:r>
        <w:rPr>
          <w:color w:val="000000"/>
          <w:sz w:val="24"/>
        </w:rPr>
        <w:t>6.50%</w:t>
      </w:r>
      <w:r>
        <w:rPr>
          <w:color w:val="000000"/>
          <w:sz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w:t>
      </w:r>
      <w:r>
        <w:rPr>
          <w:color w:val="000000"/>
          <w:sz w:val="24"/>
        </w:rPr>
        <w:t>TMLF</w:t>
      </w:r>
      <w:r>
        <w:rPr>
          <w:color w:val="000000"/>
          <w:sz w:val="24"/>
        </w:rPr>
        <w:t>并降息后，收益率进一步回落创出年内新低。</w:t>
      </w:r>
    </w:p>
    <w:p w:rsidR="00A11C71" w:rsidRDefault="004B10C4">
      <w:pPr>
        <w:spacing w:before="29" w:line="288" w:lineRule="auto"/>
        <w:ind w:firstLineChars="200" w:firstLine="480"/>
        <w:rPr>
          <w:color w:val="000000"/>
          <w:sz w:val="24"/>
        </w:rPr>
      </w:pPr>
      <w:r>
        <w:rPr>
          <w:color w:val="000000"/>
          <w:sz w:val="24"/>
        </w:rPr>
        <w:t>转债市场方面，四季度以来权益市场呈现先上后下的走势，转债市场总体跟随权益市场表现，十月初至十一月中旬平价和估值均有</w:t>
      </w:r>
      <w:r>
        <w:rPr>
          <w:color w:val="000000"/>
          <w:sz w:val="24"/>
        </w:rPr>
        <w:t>修复，十一月中旬之后随着股票市场的调整，转债市场重回调整。</w:t>
      </w:r>
    </w:p>
    <w:p w:rsidR="00A11C71" w:rsidRDefault="004B10C4">
      <w:pPr>
        <w:spacing w:before="29" w:line="288" w:lineRule="auto"/>
        <w:ind w:firstLineChars="200" w:firstLine="480"/>
        <w:rPr>
          <w:color w:val="000000"/>
          <w:sz w:val="24"/>
        </w:rPr>
      </w:pPr>
      <w:r>
        <w:rPr>
          <w:color w:val="000000"/>
          <w:sz w:val="24"/>
        </w:rPr>
        <w:t>报告期内，本基金维持了中性偏高的组合久期，券种配置上以信用债为底仓，把握了信用利差收窄带来的资本利得机会。同时，组合配置了一定比例的长久期利率债，波段操作增厚组合收益。此外，组合增配了一定的转债仓位，优选个券，波段操作，为组合增强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w:t>
      </w:r>
      <w:r w:rsidRPr="007F52FA">
        <w:rPr>
          <w:color w:val="000000"/>
          <w:sz w:val="24"/>
        </w:rPr>
        <w:lastRenderedPageBreak/>
        <w:t>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7F52FA">
        <w:rPr>
          <w:color w:val="000000"/>
          <w:sz w:val="24"/>
        </w:rPr>
        <w:t>2018</w:t>
      </w:r>
      <w:r w:rsidRPr="007F52FA">
        <w:rPr>
          <w:color w:val="000000"/>
          <w:sz w:val="24"/>
        </w:rPr>
        <w:t>年那么顺畅，关注逆周期调节政策可能会导致社融同比阶段性企稳，猪价油价超预期上涨可能会对通胀预期产生扰动。操作策略方面，我们将继续关注中高等级信用品种的投资机会，并积极把握在收益率波动中的交易机会，提高组合收益。转债市场方面，当前转债估值处于历史低位，但估值分化明显，组合将适当增配一定转债仓位，并精选均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398,249,458.46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394,249,458.46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11,218,225.10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7,117,186.94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416,584,870.50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16,146,734.40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16,146,734.40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170,796,000.00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171,385,000.00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54.81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35,921,724.06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394,249,458.46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11C71">
        <w:trPr>
          <w:jc w:val="center"/>
        </w:trPr>
        <w:tc>
          <w:tcPr>
            <w:tcW w:w="1075" w:type="dxa"/>
            <w:vAlign w:val="center"/>
          </w:tcPr>
          <w:p w:rsidR="00A11C71" w:rsidRDefault="004B10C4">
            <w:pPr>
              <w:jc w:val="center"/>
            </w:pPr>
            <w:r>
              <w:rPr>
                <w:color w:val="000000"/>
                <w:sz w:val="24"/>
              </w:rPr>
              <w:lastRenderedPageBreak/>
              <w:t>1</w:t>
            </w:r>
          </w:p>
        </w:tc>
        <w:tc>
          <w:tcPr>
            <w:tcW w:w="1533" w:type="dxa"/>
            <w:vAlign w:val="center"/>
          </w:tcPr>
          <w:p w:rsidR="00A11C71" w:rsidRDefault="004B10C4">
            <w:pPr>
              <w:jc w:val="center"/>
            </w:pPr>
            <w:r>
              <w:rPr>
                <w:color w:val="000000"/>
                <w:sz w:val="24"/>
              </w:rPr>
              <w:t>101580018</w:t>
            </w:r>
          </w:p>
        </w:tc>
        <w:tc>
          <w:tcPr>
            <w:tcW w:w="1533" w:type="dxa"/>
            <w:vAlign w:val="center"/>
          </w:tcPr>
          <w:p w:rsidR="00A11C71" w:rsidRDefault="004B10C4">
            <w:pPr>
              <w:jc w:val="center"/>
            </w:pPr>
            <w:r>
              <w:rPr>
                <w:color w:val="000000"/>
                <w:sz w:val="24"/>
              </w:rPr>
              <w:t>15</w:t>
            </w:r>
            <w:r>
              <w:rPr>
                <w:color w:val="000000"/>
                <w:sz w:val="24"/>
              </w:rPr>
              <w:t>泰山投资</w:t>
            </w:r>
            <w:r>
              <w:rPr>
                <w:color w:val="000000"/>
                <w:sz w:val="24"/>
              </w:rPr>
              <w:t>MTN001</w:t>
            </w:r>
          </w:p>
        </w:tc>
        <w:tc>
          <w:tcPr>
            <w:tcW w:w="1394" w:type="dxa"/>
            <w:vAlign w:val="center"/>
          </w:tcPr>
          <w:p w:rsidR="00A11C71" w:rsidRDefault="004B10C4">
            <w:pPr>
              <w:jc w:val="right"/>
            </w:pPr>
            <w:r>
              <w:rPr>
                <w:color w:val="000000"/>
                <w:sz w:val="24"/>
              </w:rPr>
              <w:t>300,000</w:t>
            </w:r>
          </w:p>
        </w:tc>
        <w:tc>
          <w:tcPr>
            <w:tcW w:w="1944" w:type="dxa"/>
            <w:vAlign w:val="center"/>
          </w:tcPr>
          <w:p w:rsidR="00A11C71" w:rsidRDefault="004B10C4">
            <w:pPr>
              <w:jc w:val="right"/>
            </w:pPr>
            <w:r>
              <w:rPr>
                <w:color w:val="000000"/>
                <w:sz w:val="24"/>
              </w:rPr>
              <w:t>29,763,000.00</w:t>
            </w:r>
          </w:p>
        </w:tc>
        <w:tc>
          <w:tcPr>
            <w:tcW w:w="1389" w:type="dxa"/>
            <w:vAlign w:val="center"/>
          </w:tcPr>
          <w:p w:rsidR="00A11C71" w:rsidRDefault="004B10C4">
            <w:pPr>
              <w:jc w:val="right"/>
            </w:pPr>
            <w:r>
              <w:rPr>
                <w:color w:val="000000"/>
                <w:sz w:val="24"/>
              </w:rPr>
              <w:t>9.52</w:t>
            </w:r>
          </w:p>
        </w:tc>
      </w:tr>
      <w:tr w:rsidR="00A11C71">
        <w:trPr>
          <w:jc w:val="center"/>
        </w:trPr>
        <w:tc>
          <w:tcPr>
            <w:tcW w:w="1075" w:type="dxa"/>
            <w:vAlign w:val="center"/>
          </w:tcPr>
          <w:p w:rsidR="00A11C71" w:rsidRDefault="004B10C4">
            <w:pPr>
              <w:jc w:val="center"/>
            </w:pPr>
            <w:r>
              <w:rPr>
                <w:color w:val="000000"/>
                <w:sz w:val="24"/>
              </w:rPr>
              <w:t>2</w:t>
            </w:r>
          </w:p>
        </w:tc>
        <w:tc>
          <w:tcPr>
            <w:tcW w:w="1533" w:type="dxa"/>
            <w:vAlign w:val="center"/>
          </w:tcPr>
          <w:p w:rsidR="00A11C71" w:rsidRDefault="004B10C4">
            <w:pPr>
              <w:jc w:val="center"/>
            </w:pPr>
            <w:r>
              <w:rPr>
                <w:color w:val="000000"/>
                <w:sz w:val="24"/>
              </w:rPr>
              <w:t>101800295</w:t>
            </w:r>
          </w:p>
        </w:tc>
        <w:tc>
          <w:tcPr>
            <w:tcW w:w="1533" w:type="dxa"/>
            <w:vAlign w:val="center"/>
          </w:tcPr>
          <w:p w:rsidR="00A11C71" w:rsidRDefault="004B10C4">
            <w:pPr>
              <w:jc w:val="center"/>
            </w:pPr>
            <w:r>
              <w:rPr>
                <w:color w:val="000000"/>
                <w:sz w:val="24"/>
              </w:rPr>
              <w:t>18</w:t>
            </w:r>
            <w:r>
              <w:rPr>
                <w:color w:val="000000"/>
                <w:sz w:val="24"/>
              </w:rPr>
              <w:t>萧山钱江</w:t>
            </w:r>
            <w:r>
              <w:rPr>
                <w:color w:val="000000"/>
                <w:sz w:val="24"/>
              </w:rPr>
              <w:t>MTN002</w:t>
            </w:r>
          </w:p>
        </w:tc>
        <w:tc>
          <w:tcPr>
            <w:tcW w:w="1394" w:type="dxa"/>
            <w:vAlign w:val="center"/>
          </w:tcPr>
          <w:p w:rsidR="00A11C71" w:rsidRDefault="004B10C4">
            <w:pPr>
              <w:jc w:val="right"/>
            </w:pPr>
            <w:r>
              <w:rPr>
                <w:color w:val="000000"/>
                <w:sz w:val="24"/>
              </w:rPr>
              <w:t>200,000</w:t>
            </w:r>
          </w:p>
        </w:tc>
        <w:tc>
          <w:tcPr>
            <w:tcW w:w="1944" w:type="dxa"/>
            <w:vAlign w:val="center"/>
          </w:tcPr>
          <w:p w:rsidR="00A11C71" w:rsidRDefault="004B10C4">
            <w:pPr>
              <w:jc w:val="right"/>
            </w:pPr>
            <w:r>
              <w:rPr>
                <w:color w:val="000000"/>
                <w:sz w:val="24"/>
              </w:rPr>
              <w:t>20,786,000.00</w:t>
            </w:r>
          </w:p>
        </w:tc>
        <w:tc>
          <w:tcPr>
            <w:tcW w:w="1389" w:type="dxa"/>
            <w:vAlign w:val="center"/>
          </w:tcPr>
          <w:p w:rsidR="00A11C71" w:rsidRDefault="004B10C4">
            <w:pPr>
              <w:jc w:val="right"/>
            </w:pPr>
            <w:r>
              <w:rPr>
                <w:color w:val="000000"/>
                <w:sz w:val="24"/>
              </w:rPr>
              <w:t>6.65</w:t>
            </w:r>
          </w:p>
        </w:tc>
      </w:tr>
      <w:tr w:rsidR="00A11C71">
        <w:trPr>
          <w:jc w:val="center"/>
        </w:trPr>
        <w:tc>
          <w:tcPr>
            <w:tcW w:w="1075" w:type="dxa"/>
            <w:vAlign w:val="center"/>
          </w:tcPr>
          <w:p w:rsidR="00A11C71" w:rsidRDefault="004B10C4">
            <w:pPr>
              <w:jc w:val="center"/>
            </w:pPr>
            <w:r>
              <w:rPr>
                <w:color w:val="000000"/>
                <w:sz w:val="24"/>
              </w:rPr>
              <w:t>3</w:t>
            </w:r>
          </w:p>
        </w:tc>
        <w:tc>
          <w:tcPr>
            <w:tcW w:w="1533" w:type="dxa"/>
            <w:vAlign w:val="center"/>
          </w:tcPr>
          <w:p w:rsidR="00A11C71" w:rsidRDefault="004B10C4">
            <w:pPr>
              <w:jc w:val="center"/>
            </w:pPr>
            <w:r>
              <w:rPr>
                <w:color w:val="000000"/>
                <w:sz w:val="24"/>
              </w:rPr>
              <w:t>101764019</w:t>
            </w:r>
          </w:p>
        </w:tc>
        <w:tc>
          <w:tcPr>
            <w:tcW w:w="1533" w:type="dxa"/>
            <w:vAlign w:val="center"/>
          </w:tcPr>
          <w:p w:rsidR="00A11C71" w:rsidRDefault="004B10C4">
            <w:pPr>
              <w:jc w:val="center"/>
            </w:pPr>
            <w:r>
              <w:rPr>
                <w:color w:val="000000"/>
                <w:sz w:val="24"/>
              </w:rPr>
              <w:t>17</w:t>
            </w:r>
            <w:r>
              <w:rPr>
                <w:color w:val="000000"/>
                <w:sz w:val="24"/>
              </w:rPr>
              <w:t>连云城建</w:t>
            </w:r>
            <w:r>
              <w:rPr>
                <w:color w:val="000000"/>
                <w:sz w:val="24"/>
              </w:rPr>
              <w:t>MTN001</w:t>
            </w:r>
          </w:p>
        </w:tc>
        <w:tc>
          <w:tcPr>
            <w:tcW w:w="1394" w:type="dxa"/>
            <w:vAlign w:val="center"/>
          </w:tcPr>
          <w:p w:rsidR="00A11C71" w:rsidRDefault="004B10C4">
            <w:pPr>
              <w:jc w:val="right"/>
            </w:pPr>
            <w:r>
              <w:rPr>
                <w:color w:val="000000"/>
                <w:sz w:val="24"/>
              </w:rPr>
              <w:t>200,000</w:t>
            </w:r>
          </w:p>
        </w:tc>
        <w:tc>
          <w:tcPr>
            <w:tcW w:w="1944" w:type="dxa"/>
            <w:vAlign w:val="center"/>
          </w:tcPr>
          <w:p w:rsidR="00A11C71" w:rsidRDefault="004B10C4">
            <w:pPr>
              <w:jc w:val="right"/>
            </w:pPr>
            <w:r>
              <w:rPr>
                <w:color w:val="000000"/>
                <w:sz w:val="24"/>
              </w:rPr>
              <w:t>20,724,000.00</w:t>
            </w:r>
          </w:p>
        </w:tc>
        <w:tc>
          <w:tcPr>
            <w:tcW w:w="1389" w:type="dxa"/>
            <w:vAlign w:val="center"/>
          </w:tcPr>
          <w:p w:rsidR="00A11C71" w:rsidRDefault="004B10C4">
            <w:pPr>
              <w:jc w:val="right"/>
            </w:pPr>
            <w:r>
              <w:rPr>
                <w:color w:val="000000"/>
                <w:sz w:val="24"/>
              </w:rPr>
              <w:t>6.63</w:t>
            </w:r>
          </w:p>
        </w:tc>
      </w:tr>
      <w:tr w:rsidR="00A11C71">
        <w:trPr>
          <w:jc w:val="center"/>
        </w:trPr>
        <w:tc>
          <w:tcPr>
            <w:tcW w:w="1075" w:type="dxa"/>
            <w:vAlign w:val="center"/>
          </w:tcPr>
          <w:p w:rsidR="00A11C71" w:rsidRDefault="004B10C4">
            <w:pPr>
              <w:jc w:val="center"/>
            </w:pPr>
            <w:r>
              <w:rPr>
                <w:color w:val="000000"/>
                <w:sz w:val="24"/>
              </w:rPr>
              <w:t>4</w:t>
            </w:r>
          </w:p>
        </w:tc>
        <w:tc>
          <w:tcPr>
            <w:tcW w:w="1533" w:type="dxa"/>
            <w:vAlign w:val="center"/>
          </w:tcPr>
          <w:p w:rsidR="00A11C71" w:rsidRDefault="004B10C4">
            <w:pPr>
              <w:jc w:val="center"/>
            </w:pPr>
            <w:r>
              <w:rPr>
                <w:color w:val="000000"/>
                <w:sz w:val="24"/>
              </w:rPr>
              <w:t>143496</w:t>
            </w:r>
          </w:p>
        </w:tc>
        <w:tc>
          <w:tcPr>
            <w:tcW w:w="1533" w:type="dxa"/>
            <w:vAlign w:val="center"/>
          </w:tcPr>
          <w:p w:rsidR="00A11C71" w:rsidRDefault="004B10C4">
            <w:pPr>
              <w:jc w:val="center"/>
            </w:pPr>
            <w:r>
              <w:rPr>
                <w:color w:val="000000"/>
                <w:sz w:val="24"/>
              </w:rPr>
              <w:t>18</w:t>
            </w:r>
            <w:r>
              <w:rPr>
                <w:color w:val="000000"/>
                <w:sz w:val="24"/>
              </w:rPr>
              <w:t>沪资</w:t>
            </w:r>
            <w:r>
              <w:rPr>
                <w:color w:val="000000"/>
                <w:sz w:val="24"/>
              </w:rPr>
              <w:t>01</w:t>
            </w:r>
          </w:p>
        </w:tc>
        <w:tc>
          <w:tcPr>
            <w:tcW w:w="1394" w:type="dxa"/>
            <w:vAlign w:val="center"/>
          </w:tcPr>
          <w:p w:rsidR="00A11C71" w:rsidRDefault="004B10C4">
            <w:pPr>
              <w:jc w:val="right"/>
            </w:pPr>
            <w:r>
              <w:rPr>
                <w:color w:val="000000"/>
                <w:sz w:val="24"/>
              </w:rPr>
              <w:t>200,000</w:t>
            </w:r>
          </w:p>
        </w:tc>
        <w:tc>
          <w:tcPr>
            <w:tcW w:w="1944" w:type="dxa"/>
            <w:vAlign w:val="center"/>
          </w:tcPr>
          <w:p w:rsidR="00A11C71" w:rsidRDefault="004B10C4">
            <w:pPr>
              <w:jc w:val="right"/>
            </w:pPr>
            <w:r>
              <w:rPr>
                <w:color w:val="000000"/>
                <w:sz w:val="24"/>
              </w:rPr>
              <w:t>20,600,000.00</w:t>
            </w:r>
          </w:p>
        </w:tc>
        <w:tc>
          <w:tcPr>
            <w:tcW w:w="1389" w:type="dxa"/>
            <w:vAlign w:val="center"/>
          </w:tcPr>
          <w:p w:rsidR="00A11C71" w:rsidRDefault="004B10C4">
            <w:pPr>
              <w:jc w:val="right"/>
            </w:pPr>
            <w:r>
              <w:rPr>
                <w:color w:val="000000"/>
                <w:sz w:val="24"/>
              </w:rPr>
              <w:t>6.59</w:t>
            </w:r>
          </w:p>
        </w:tc>
      </w:tr>
      <w:tr w:rsidR="00A11C71">
        <w:trPr>
          <w:jc w:val="center"/>
        </w:trPr>
        <w:tc>
          <w:tcPr>
            <w:tcW w:w="1075" w:type="dxa"/>
            <w:vAlign w:val="center"/>
          </w:tcPr>
          <w:p w:rsidR="00A11C71" w:rsidRDefault="004B10C4">
            <w:pPr>
              <w:jc w:val="center"/>
            </w:pPr>
            <w:r>
              <w:rPr>
                <w:color w:val="000000"/>
                <w:sz w:val="24"/>
              </w:rPr>
              <w:t>5</w:t>
            </w:r>
          </w:p>
        </w:tc>
        <w:tc>
          <w:tcPr>
            <w:tcW w:w="1533" w:type="dxa"/>
            <w:vAlign w:val="center"/>
          </w:tcPr>
          <w:p w:rsidR="00A11C71" w:rsidRDefault="004B10C4">
            <w:pPr>
              <w:jc w:val="center"/>
            </w:pPr>
            <w:r>
              <w:rPr>
                <w:color w:val="000000"/>
                <w:sz w:val="24"/>
              </w:rPr>
              <w:t>101800431</w:t>
            </w:r>
          </w:p>
        </w:tc>
        <w:tc>
          <w:tcPr>
            <w:tcW w:w="1533" w:type="dxa"/>
            <w:vAlign w:val="center"/>
          </w:tcPr>
          <w:p w:rsidR="00A11C71" w:rsidRDefault="004B10C4">
            <w:pPr>
              <w:jc w:val="center"/>
            </w:pPr>
            <w:r>
              <w:rPr>
                <w:color w:val="000000"/>
                <w:sz w:val="24"/>
              </w:rPr>
              <w:t>18</w:t>
            </w:r>
            <w:r>
              <w:rPr>
                <w:color w:val="000000"/>
                <w:sz w:val="24"/>
              </w:rPr>
              <w:t>咸宁城投</w:t>
            </w:r>
            <w:r>
              <w:rPr>
                <w:color w:val="000000"/>
                <w:sz w:val="24"/>
              </w:rPr>
              <w:t>MTN001</w:t>
            </w:r>
          </w:p>
        </w:tc>
        <w:tc>
          <w:tcPr>
            <w:tcW w:w="1394" w:type="dxa"/>
            <w:vAlign w:val="center"/>
          </w:tcPr>
          <w:p w:rsidR="00A11C71" w:rsidRDefault="004B10C4">
            <w:pPr>
              <w:jc w:val="right"/>
            </w:pPr>
            <w:r>
              <w:rPr>
                <w:color w:val="000000"/>
                <w:sz w:val="24"/>
              </w:rPr>
              <w:t>200,000</w:t>
            </w:r>
          </w:p>
        </w:tc>
        <w:tc>
          <w:tcPr>
            <w:tcW w:w="1944" w:type="dxa"/>
            <w:vAlign w:val="center"/>
          </w:tcPr>
          <w:p w:rsidR="00A11C71" w:rsidRDefault="004B10C4">
            <w:pPr>
              <w:jc w:val="right"/>
            </w:pPr>
            <w:r>
              <w:rPr>
                <w:color w:val="000000"/>
                <w:sz w:val="24"/>
              </w:rPr>
              <w:t>20,434,000.00</w:t>
            </w:r>
          </w:p>
        </w:tc>
        <w:tc>
          <w:tcPr>
            <w:tcW w:w="1389" w:type="dxa"/>
            <w:vAlign w:val="center"/>
          </w:tcPr>
          <w:p w:rsidR="00A11C71" w:rsidRDefault="004B10C4">
            <w:pPr>
              <w:jc w:val="right"/>
            </w:pPr>
            <w:r>
              <w:rPr>
                <w:color w:val="000000"/>
                <w:sz w:val="24"/>
              </w:rPr>
              <w:t>6.54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6"/>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A11C71">
        <w:trPr>
          <w:jc w:val="center"/>
        </w:trPr>
        <w:tc>
          <w:tcPr>
            <w:tcW w:w="0" w:type="auto"/>
            <w:vAlign w:val="center"/>
          </w:tcPr>
          <w:p w:rsidR="00A11C71" w:rsidRDefault="004B10C4">
            <w:pPr>
              <w:jc w:val="center"/>
            </w:pPr>
            <w:r>
              <w:rPr>
                <w:color w:val="000000"/>
                <w:sz w:val="24"/>
              </w:rPr>
              <w:t>1</w:t>
            </w:r>
          </w:p>
        </w:tc>
        <w:tc>
          <w:tcPr>
            <w:tcW w:w="0" w:type="auto"/>
            <w:vAlign w:val="center"/>
          </w:tcPr>
          <w:p w:rsidR="00A11C71" w:rsidRDefault="004B10C4">
            <w:pPr>
              <w:jc w:val="center"/>
            </w:pPr>
            <w:r>
              <w:rPr>
                <w:color w:val="000000"/>
                <w:sz w:val="24"/>
              </w:rPr>
              <w:t>123935</w:t>
            </w:r>
          </w:p>
        </w:tc>
        <w:tc>
          <w:tcPr>
            <w:tcW w:w="0" w:type="auto"/>
            <w:vAlign w:val="center"/>
          </w:tcPr>
          <w:p w:rsidR="00A11C71" w:rsidRDefault="004B10C4">
            <w:pPr>
              <w:jc w:val="center"/>
            </w:pPr>
            <w:r>
              <w:rPr>
                <w:color w:val="000000"/>
                <w:sz w:val="24"/>
              </w:rPr>
              <w:t>15</w:t>
            </w:r>
            <w:r>
              <w:rPr>
                <w:color w:val="000000"/>
                <w:sz w:val="24"/>
              </w:rPr>
              <w:t>濮热</w:t>
            </w:r>
            <w:r>
              <w:rPr>
                <w:color w:val="000000"/>
                <w:sz w:val="24"/>
              </w:rPr>
              <w:t>03</w:t>
            </w:r>
          </w:p>
        </w:tc>
        <w:tc>
          <w:tcPr>
            <w:tcW w:w="0" w:type="auto"/>
            <w:vAlign w:val="center"/>
          </w:tcPr>
          <w:p w:rsidR="00A11C71" w:rsidRDefault="004B10C4">
            <w:pPr>
              <w:jc w:val="right"/>
            </w:pPr>
            <w:r>
              <w:rPr>
                <w:color w:val="000000"/>
                <w:sz w:val="24"/>
              </w:rPr>
              <w:t>40,000</w:t>
            </w:r>
          </w:p>
        </w:tc>
        <w:tc>
          <w:tcPr>
            <w:tcW w:w="0" w:type="auto"/>
            <w:vAlign w:val="center"/>
          </w:tcPr>
          <w:p w:rsidR="00A11C71" w:rsidRDefault="004B10C4">
            <w:pPr>
              <w:jc w:val="right"/>
            </w:pPr>
            <w:r>
              <w:rPr>
                <w:color w:val="000000"/>
                <w:sz w:val="24"/>
              </w:rPr>
              <w:t>4,000,000.00</w:t>
            </w:r>
          </w:p>
        </w:tc>
        <w:tc>
          <w:tcPr>
            <w:tcW w:w="0" w:type="auto"/>
            <w:vAlign w:val="center"/>
          </w:tcPr>
          <w:p w:rsidR="00A11C71" w:rsidRDefault="004B10C4">
            <w:pPr>
              <w:jc w:val="right"/>
            </w:pPr>
            <w:r>
              <w:rPr>
                <w:color w:val="000000"/>
                <w:sz w:val="24"/>
              </w:rPr>
              <w:t>1.28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11,082.32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7,020,168.01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85,936.61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7,117,186.94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6"/>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11C71">
        <w:trPr>
          <w:jc w:val="center"/>
        </w:trPr>
        <w:tc>
          <w:tcPr>
            <w:tcW w:w="0" w:type="auto"/>
            <w:vAlign w:val="center"/>
          </w:tcPr>
          <w:p w:rsidR="00A11C71" w:rsidRDefault="004B10C4">
            <w:pPr>
              <w:jc w:val="center"/>
            </w:pPr>
            <w:r>
              <w:rPr>
                <w:rFonts w:eastAsiaTheme="minorEastAsia"/>
                <w:color w:val="000000"/>
                <w:sz w:val="24"/>
              </w:rPr>
              <w:t>1</w:t>
            </w:r>
          </w:p>
        </w:tc>
        <w:tc>
          <w:tcPr>
            <w:tcW w:w="0" w:type="auto"/>
            <w:vAlign w:val="center"/>
          </w:tcPr>
          <w:p w:rsidR="00A11C71" w:rsidRDefault="004B10C4">
            <w:pPr>
              <w:jc w:val="center"/>
            </w:pPr>
            <w:r>
              <w:rPr>
                <w:rFonts w:eastAsiaTheme="minorEastAsia"/>
                <w:color w:val="000000"/>
                <w:sz w:val="24"/>
              </w:rPr>
              <w:t>110042</w:t>
            </w:r>
          </w:p>
        </w:tc>
        <w:tc>
          <w:tcPr>
            <w:tcW w:w="0" w:type="auto"/>
            <w:vAlign w:val="center"/>
          </w:tcPr>
          <w:p w:rsidR="00A11C71" w:rsidRDefault="004B10C4">
            <w:pPr>
              <w:jc w:val="center"/>
            </w:pPr>
            <w:r>
              <w:rPr>
                <w:rFonts w:eastAsiaTheme="minorEastAsia"/>
                <w:color w:val="000000"/>
                <w:sz w:val="24"/>
              </w:rPr>
              <w:t>航电转债</w:t>
            </w:r>
          </w:p>
        </w:tc>
        <w:tc>
          <w:tcPr>
            <w:tcW w:w="0" w:type="auto"/>
            <w:vAlign w:val="center"/>
          </w:tcPr>
          <w:p w:rsidR="00A11C71" w:rsidRDefault="004B10C4">
            <w:pPr>
              <w:jc w:val="right"/>
            </w:pPr>
            <w:r>
              <w:rPr>
                <w:rFonts w:eastAsiaTheme="minorEastAsia"/>
                <w:color w:val="000000"/>
                <w:sz w:val="24"/>
              </w:rPr>
              <w:t>4,229,081.50</w:t>
            </w:r>
          </w:p>
        </w:tc>
        <w:tc>
          <w:tcPr>
            <w:tcW w:w="0" w:type="auto"/>
            <w:vAlign w:val="center"/>
          </w:tcPr>
          <w:p w:rsidR="00A11C71" w:rsidRDefault="004B10C4">
            <w:pPr>
              <w:jc w:val="right"/>
            </w:pPr>
            <w:r>
              <w:rPr>
                <w:rFonts w:eastAsiaTheme="minorEastAsia"/>
                <w:color w:val="000000"/>
                <w:sz w:val="24"/>
              </w:rPr>
              <w:t>1.35</w:t>
            </w:r>
          </w:p>
        </w:tc>
      </w:tr>
      <w:tr w:rsidR="00A11C71">
        <w:trPr>
          <w:jc w:val="center"/>
        </w:trPr>
        <w:tc>
          <w:tcPr>
            <w:tcW w:w="0" w:type="auto"/>
            <w:vAlign w:val="center"/>
          </w:tcPr>
          <w:p w:rsidR="00A11C71" w:rsidRDefault="004B10C4">
            <w:pPr>
              <w:jc w:val="center"/>
            </w:pPr>
            <w:r>
              <w:rPr>
                <w:rFonts w:eastAsiaTheme="minorEastAsia"/>
                <w:color w:val="000000"/>
                <w:sz w:val="24"/>
              </w:rPr>
              <w:t>2</w:t>
            </w:r>
          </w:p>
        </w:tc>
        <w:tc>
          <w:tcPr>
            <w:tcW w:w="0" w:type="auto"/>
            <w:vAlign w:val="center"/>
          </w:tcPr>
          <w:p w:rsidR="00A11C71" w:rsidRDefault="004B10C4">
            <w:pPr>
              <w:jc w:val="center"/>
            </w:pPr>
            <w:r>
              <w:rPr>
                <w:rFonts w:eastAsiaTheme="minorEastAsia"/>
                <w:color w:val="000000"/>
                <w:sz w:val="24"/>
              </w:rPr>
              <w:t>113015</w:t>
            </w:r>
          </w:p>
        </w:tc>
        <w:tc>
          <w:tcPr>
            <w:tcW w:w="0" w:type="auto"/>
            <w:vAlign w:val="center"/>
          </w:tcPr>
          <w:p w:rsidR="00A11C71" w:rsidRDefault="004B10C4">
            <w:pPr>
              <w:jc w:val="center"/>
            </w:pPr>
            <w:r>
              <w:rPr>
                <w:rFonts w:eastAsiaTheme="minorEastAsia"/>
                <w:color w:val="000000"/>
                <w:sz w:val="24"/>
              </w:rPr>
              <w:t>隆基转债</w:t>
            </w:r>
          </w:p>
        </w:tc>
        <w:tc>
          <w:tcPr>
            <w:tcW w:w="0" w:type="auto"/>
            <w:vAlign w:val="center"/>
          </w:tcPr>
          <w:p w:rsidR="00A11C71" w:rsidRDefault="004B10C4">
            <w:pPr>
              <w:jc w:val="right"/>
            </w:pPr>
            <w:r>
              <w:rPr>
                <w:rFonts w:eastAsiaTheme="minorEastAsia"/>
                <w:color w:val="000000"/>
                <w:sz w:val="24"/>
              </w:rPr>
              <w:t>3,110,379.40</w:t>
            </w:r>
          </w:p>
        </w:tc>
        <w:tc>
          <w:tcPr>
            <w:tcW w:w="0" w:type="auto"/>
            <w:vAlign w:val="center"/>
          </w:tcPr>
          <w:p w:rsidR="00A11C71" w:rsidRDefault="004B10C4">
            <w:pPr>
              <w:jc w:val="right"/>
            </w:pPr>
            <w:r>
              <w:rPr>
                <w:rFonts w:eastAsiaTheme="minorEastAsia"/>
                <w:color w:val="000000"/>
                <w:sz w:val="24"/>
              </w:rPr>
              <w:t>0.99</w:t>
            </w:r>
          </w:p>
        </w:tc>
      </w:tr>
      <w:tr w:rsidR="00A11C71">
        <w:trPr>
          <w:jc w:val="center"/>
        </w:trPr>
        <w:tc>
          <w:tcPr>
            <w:tcW w:w="0" w:type="auto"/>
            <w:vAlign w:val="center"/>
          </w:tcPr>
          <w:p w:rsidR="00A11C71" w:rsidRDefault="004B10C4">
            <w:pPr>
              <w:jc w:val="center"/>
            </w:pPr>
            <w:r>
              <w:rPr>
                <w:rFonts w:eastAsiaTheme="minorEastAsia"/>
                <w:color w:val="000000"/>
                <w:sz w:val="24"/>
              </w:rPr>
              <w:t>3</w:t>
            </w:r>
          </w:p>
        </w:tc>
        <w:tc>
          <w:tcPr>
            <w:tcW w:w="0" w:type="auto"/>
            <w:vAlign w:val="center"/>
          </w:tcPr>
          <w:p w:rsidR="00A11C71" w:rsidRDefault="004B10C4">
            <w:pPr>
              <w:jc w:val="center"/>
            </w:pPr>
            <w:r>
              <w:rPr>
                <w:rFonts w:eastAsiaTheme="minorEastAsia"/>
                <w:color w:val="000000"/>
                <w:sz w:val="24"/>
              </w:rPr>
              <w:t>123006</w:t>
            </w:r>
          </w:p>
        </w:tc>
        <w:tc>
          <w:tcPr>
            <w:tcW w:w="0" w:type="auto"/>
            <w:vAlign w:val="center"/>
          </w:tcPr>
          <w:p w:rsidR="00A11C71" w:rsidRDefault="004B10C4">
            <w:pPr>
              <w:jc w:val="center"/>
            </w:pPr>
            <w:r>
              <w:rPr>
                <w:rFonts w:eastAsiaTheme="minorEastAsia"/>
                <w:color w:val="000000"/>
                <w:sz w:val="24"/>
              </w:rPr>
              <w:t>东财转债</w:t>
            </w:r>
          </w:p>
        </w:tc>
        <w:tc>
          <w:tcPr>
            <w:tcW w:w="0" w:type="auto"/>
            <w:vAlign w:val="center"/>
          </w:tcPr>
          <w:p w:rsidR="00A11C71" w:rsidRDefault="004B10C4">
            <w:pPr>
              <w:jc w:val="right"/>
            </w:pPr>
            <w:r>
              <w:rPr>
                <w:rFonts w:eastAsiaTheme="minorEastAsia"/>
                <w:color w:val="000000"/>
                <w:sz w:val="24"/>
              </w:rPr>
              <w:t>2,193,834.86</w:t>
            </w:r>
          </w:p>
        </w:tc>
        <w:tc>
          <w:tcPr>
            <w:tcW w:w="0" w:type="auto"/>
            <w:vAlign w:val="center"/>
          </w:tcPr>
          <w:p w:rsidR="00A11C71" w:rsidRDefault="004B10C4">
            <w:pPr>
              <w:jc w:val="right"/>
            </w:pPr>
            <w:r>
              <w:rPr>
                <w:rFonts w:eastAsiaTheme="minorEastAsia"/>
                <w:color w:val="000000"/>
                <w:sz w:val="24"/>
              </w:rPr>
              <w:t>0.70</w:t>
            </w:r>
          </w:p>
        </w:tc>
      </w:tr>
      <w:tr w:rsidR="00A11C71">
        <w:trPr>
          <w:jc w:val="center"/>
        </w:trPr>
        <w:tc>
          <w:tcPr>
            <w:tcW w:w="0" w:type="auto"/>
            <w:vAlign w:val="center"/>
          </w:tcPr>
          <w:p w:rsidR="00A11C71" w:rsidRDefault="004B10C4">
            <w:pPr>
              <w:jc w:val="center"/>
            </w:pPr>
            <w:r>
              <w:rPr>
                <w:rFonts w:eastAsiaTheme="minorEastAsia"/>
                <w:color w:val="000000"/>
                <w:sz w:val="24"/>
              </w:rPr>
              <w:t>4</w:t>
            </w:r>
          </w:p>
        </w:tc>
        <w:tc>
          <w:tcPr>
            <w:tcW w:w="0" w:type="auto"/>
            <w:vAlign w:val="center"/>
          </w:tcPr>
          <w:p w:rsidR="00A11C71" w:rsidRDefault="004B10C4">
            <w:pPr>
              <w:jc w:val="center"/>
            </w:pPr>
            <w:r>
              <w:rPr>
                <w:rFonts w:eastAsiaTheme="minorEastAsia"/>
                <w:color w:val="000000"/>
                <w:sz w:val="24"/>
              </w:rPr>
              <w:t>128019</w:t>
            </w:r>
          </w:p>
        </w:tc>
        <w:tc>
          <w:tcPr>
            <w:tcW w:w="0" w:type="auto"/>
            <w:vAlign w:val="center"/>
          </w:tcPr>
          <w:p w:rsidR="00A11C71" w:rsidRDefault="004B10C4">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A11C71" w:rsidRDefault="004B10C4">
            <w:pPr>
              <w:jc w:val="right"/>
            </w:pPr>
            <w:r>
              <w:rPr>
                <w:rFonts w:eastAsiaTheme="minorEastAsia"/>
                <w:color w:val="000000"/>
                <w:sz w:val="24"/>
              </w:rPr>
              <w:t>1,906,800.00</w:t>
            </w:r>
          </w:p>
        </w:tc>
        <w:tc>
          <w:tcPr>
            <w:tcW w:w="0" w:type="auto"/>
            <w:vAlign w:val="center"/>
          </w:tcPr>
          <w:p w:rsidR="00A11C71" w:rsidRDefault="004B10C4">
            <w:pPr>
              <w:jc w:val="right"/>
            </w:pPr>
            <w:r>
              <w:rPr>
                <w:rFonts w:eastAsiaTheme="minorEastAsia"/>
                <w:color w:val="000000"/>
                <w:sz w:val="24"/>
              </w:rPr>
              <w:t>0.61</w:t>
            </w:r>
          </w:p>
        </w:tc>
      </w:tr>
      <w:tr w:rsidR="00A11C71">
        <w:trPr>
          <w:jc w:val="center"/>
        </w:trPr>
        <w:tc>
          <w:tcPr>
            <w:tcW w:w="0" w:type="auto"/>
            <w:vAlign w:val="center"/>
          </w:tcPr>
          <w:p w:rsidR="00A11C71" w:rsidRDefault="004B10C4">
            <w:pPr>
              <w:jc w:val="center"/>
            </w:pPr>
            <w:r>
              <w:rPr>
                <w:rFonts w:eastAsiaTheme="minorEastAsia"/>
                <w:color w:val="000000"/>
                <w:sz w:val="24"/>
              </w:rPr>
              <w:t>5</w:t>
            </w:r>
          </w:p>
        </w:tc>
        <w:tc>
          <w:tcPr>
            <w:tcW w:w="0" w:type="auto"/>
            <w:vAlign w:val="center"/>
          </w:tcPr>
          <w:p w:rsidR="00A11C71" w:rsidRDefault="004B10C4">
            <w:pPr>
              <w:jc w:val="center"/>
            </w:pPr>
            <w:r>
              <w:rPr>
                <w:rFonts w:eastAsiaTheme="minorEastAsia"/>
                <w:color w:val="000000"/>
                <w:sz w:val="24"/>
              </w:rPr>
              <w:t>113019</w:t>
            </w:r>
          </w:p>
        </w:tc>
        <w:tc>
          <w:tcPr>
            <w:tcW w:w="0" w:type="auto"/>
            <w:vAlign w:val="center"/>
          </w:tcPr>
          <w:p w:rsidR="00A11C71" w:rsidRDefault="004B10C4">
            <w:pPr>
              <w:jc w:val="center"/>
            </w:pPr>
            <w:r>
              <w:rPr>
                <w:rFonts w:eastAsiaTheme="minorEastAsia"/>
                <w:color w:val="000000"/>
                <w:sz w:val="24"/>
              </w:rPr>
              <w:t>玲珑转债</w:t>
            </w:r>
          </w:p>
        </w:tc>
        <w:tc>
          <w:tcPr>
            <w:tcW w:w="0" w:type="auto"/>
            <w:vAlign w:val="center"/>
          </w:tcPr>
          <w:p w:rsidR="00A11C71" w:rsidRDefault="004B10C4">
            <w:pPr>
              <w:jc w:val="right"/>
            </w:pPr>
            <w:r>
              <w:rPr>
                <w:rFonts w:eastAsiaTheme="minorEastAsia"/>
                <w:color w:val="000000"/>
                <w:sz w:val="24"/>
              </w:rPr>
              <w:t>989,030.00</w:t>
            </w:r>
          </w:p>
        </w:tc>
        <w:tc>
          <w:tcPr>
            <w:tcW w:w="0" w:type="auto"/>
            <w:vAlign w:val="center"/>
          </w:tcPr>
          <w:p w:rsidR="00A11C71" w:rsidRDefault="004B10C4">
            <w:pPr>
              <w:jc w:val="right"/>
            </w:pPr>
            <w:r>
              <w:rPr>
                <w:rFonts w:eastAsiaTheme="minorEastAsia"/>
                <w:color w:val="000000"/>
                <w:sz w:val="24"/>
              </w:rPr>
              <w:t>0.32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lastRenderedPageBreak/>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231,558,996.54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73,300,034.48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8,245,577.44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39,411,212.91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9,082,438.22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37,341,097.67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230,722,135.76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75,370,149.72</w:t>
            </w:r>
          </w:p>
        </w:tc>
      </w:tr>
    </w:tbl>
    <w:p w:rsidR="00A11C71" w:rsidRDefault="004B10C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11C71">
        <w:tc>
          <w:tcPr>
            <w:tcW w:w="992" w:type="dxa"/>
            <w:vMerge w:val="restart"/>
          </w:tcPr>
          <w:p w:rsidR="00A11C71" w:rsidRDefault="00A11C71"/>
          <w:p w:rsidR="00A11C71" w:rsidRDefault="004B10C4">
            <w:r>
              <w:rPr>
                <w:rFonts w:ascii="宋体" w:hAnsi="宋体" w:hint="eastAsia"/>
                <w:bCs/>
                <w:color w:val="000000"/>
                <w:kern w:val="0"/>
                <w:szCs w:val="21"/>
              </w:rPr>
              <w:t>机构</w:t>
            </w:r>
          </w:p>
        </w:tc>
        <w:tc>
          <w:tcPr>
            <w:tcW w:w="991" w:type="dxa"/>
            <w:vAlign w:val="center"/>
          </w:tcPr>
          <w:p w:rsidR="00A11C71" w:rsidRDefault="004B10C4">
            <w:pPr>
              <w:jc w:val="center"/>
            </w:pPr>
            <w:r>
              <w:rPr>
                <w:rFonts w:ascii="宋体" w:hAnsi="宋体" w:hint="eastAsia"/>
                <w:color w:val="000000"/>
                <w:kern w:val="0"/>
                <w:szCs w:val="21"/>
              </w:rPr>
              <w:t>1</w:t>
            </w:r>
          </w:p>
        </w:tc>
        <w:tc>
          <w:tcPr>
            <w:tcW w:w="1843" w:type="dxa"/>
            <w:vAlign w:val="center"/>
          </w:tcPr>
          <w:p w:rsidR="00A11C71" w:rsidRDefault="004B10C4">
            <w:pPr>
              <w:jc w:val="center"/>
            </w:pPr>
            <w:r>
              <w:rPr>
                <w:rFonts w:ascii="宋体" w:hAnsi="宋体" w:hint="eastAsia"/>
                <w:color w:val="000000"/>
                <w:kern w:val="0"/>
                <w:szCs w:val="21"/>
              </w:rPr>
              <w:t>2018/10/1-2018/12/31</w:t>
            </w:r>
          </w:p>
        </w:tc>
        <w:tc>
          <w:tcPr>
            <w:tcW w:w="851" w:type="dxa"/>
            <w:vAlign w:val="center"/>
          </w:tcPr>
          <w:p w:rsidR="00A11C71" w:rsidRDefault="004B10C4">
            <w:pPr>
              <w:jc w:val="center"/>
            </w:pPr>
            <w:r>
              <w:rPr>
                <w:rFonts w:ascii="宋体" w:hAnsi="宋体" w:hint="eastAsia"/>
                <w:color w:val="000000"/>
                <w:kern w:val="0"/>
                <w:szCs w:val="21"/>
              </w:rPr>
              <w:t>66,245,817.42</w:t>
            </w:r>
          </w:p>
        </w:tc>
        <w:tc>
          <w:tcPr>
            <w:tcW w:w="850" w:type="dxa"/>
            <w:vAlign w:val="center"/>
          </w:tcPr>
          <w:p w:rsidR="00A11C71" w:rsidRDefault="004B10C4">
            <w:pPr>
              <w:jc w:val="center"/>
            </w:pPr>
            <w:r>
              <w:rPr>
                <w:rFonts w:ascii="宋体" w:hAnsi="宋体" w:hint="eastAsia"/>
                <w:color w:val="000000"/>
                <w:kern w:val="0"/>
                <w:szCs w:val="21"/>
              </w:rPr>
              <w:t>-</w:t>
            </w:r>
          </w:p>
        </w:tc>
        <w:tc>
          <w:tcPr>
            <w:tcW w:w="1134" w:type="dxa"/>
            <w:vAlign w:val="center"/>
          </w:tcPr>
          <w:p w:rsidR="00A11C71" w:rsidRDefault="004B10C4">
            <w:pPr>
              <w:jc w:val="center"/>
            </w:pPr>
            <w:r>
              <w:rPr>
                <w:rFonts w:ascii="宋体" w:hAnsi="宋体" w:hint="eastAsia"/>
                <w:color w:val="000000"/>
                <w:kern w:val="0"/>
                <w:szCs w:val="21"/>
              </w:rPr>
              <w:t>-</w:t>
            </w:r>
          </w:p>
        </w:tc>
        <w:tc>
          <w:tcPr>
            <w:tcW w:w="1419" w:type="dxa"/>
            <w:vAlign w:val="center"/>
          </w:tcPr>
          <w:p w:rsidR="00A11C71" w:rsidRDefault="004B10C4">
            <w:pPr>
              <w:jc w:val="center"/>
            </w:pPr>
            <w:r>
              <w:rPr>
                <w:rFonts w:ascii="宋体" w:hAnsi="宋体" w:hint="eastAsia"/>
                <w:color w:val="000000"/>
                <w:kern w:val="0"/>
                <w:szCs w:val="21"/>
              </w:rPr>
              <w:t>66,245,817.42</w:t>
            </w:r>
          </w:p>
        </w:tc>
        <w:tc>
          <w:tcPr>
            <w:tcW w:w="1130" w:type="dxa"/>
            <w:vAlign w:val="center"/>
          </w:tcPr>
          <w:p w:rsidR="00A11C71" w:rsidRDefault="004B10C4">
            <w:pPr>
              <w:jc w:val="center"/>
            </w:pPr>
            <w:r>
              <w:rPr>
                <w:rFonts w:ascii="宋体" w:hAnsi="宋体" w:hint="eastAsia"/>
                <w:color w:val="000000"/>
                <w:kern w:val="0"/>
                <w:szCs w:val="21"/>
              </w:rPr>
              <w:t>21.64%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11C71" w:rsidRDefault="004B10C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0C4" w:rsidRDefault="004B10C4">
      <w:r>
        <w:separator/>
      </w:r>
    </w:p>
  </w:endnote>
  <w:endnote w:type="continuationSeparator" w:id="0">
    <w:p w:rsidR="004B10C4" w:rsidRDefault="004B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47087">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4708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0C4" w:rsidRDefault="004B10C4">
      <w:r>
        <w:separator/>
      </w:r>
    </w:p>
  </w:footnote>
  <w:footnote w:type="continuationSeparator" w:id="0">
    <w:p w:rsidR="004B10C4" w:rsidRDefault="004B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087"/>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0C4"/>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1C71"/>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926FE9A-A351-4DBD-A145-E44A5627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3B51-6AC9-4B10-B79A-C7717E58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214</TotalTime>
  <Pages>14</Pages>
  <Words>1241</Words>
  <Characters>7078</Characters>
  <Application>Microsoft Office Word</Application>
  <DocSecurity>0</DocSecurity>
  <Lines>58</Lines>
  <Paragraphs>16</Paragraphs>
  <ScaleCrop>false</ScaleCrop>
  <Company>TRT. Ltd. Co.</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378</cp:revision>
  <cp:lastPrinted>2007-07-19T00:46:00Z</cp:lastPrinted>
  <dcterms:created xsi:type="dcterms:W3CDTF">2014-01-17T06:19:00Z</dcterms:created>
  <dcterms:modified xsi:type="dcterms:W3CDTF">2019-01-16T01:18:00Z</dcterms:modified>
</cp:coreProperties>
</file>