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交银施罗德增强收益债券型证券投资基金</w:t>
      </w:r>
    </w:p>
    <w:p w:rsidP="00C15CAC" w:rsidR="002279D3" w:rsidRDefault="002279D3" w:rsidRPr="0081286B">
      <w:pPr>
        <w:spacing w:before="29" w:line="288" w:lineRule="auto"/>
        <w:jc w:val="center"/>
        <w:rPr>
          <w:b/>
          <w:sz w:val="36"/>
          <w:szCs w:val="36"/>
        </w:rPr>
      </w:pPr>
      <w:r w:rsidRPr="0081286B">
        <w:rPr>
          <w:b/>
          <w:sz w:val="36"/>
          <w:szCs w:val="36"/>
        </w:rPr>
        <w:t>2018年第4季度报告</w:t>
      </w:r>
    </w:p>
    <w:p w:rsidP="00C15CAC" w:rsidR="004061AC" w:rsidRDefault="00655CD8" w:rsidRPr="0081286B">
      <w:pPr>
        <w:spacing w:before="29" w:line="288" w:lineRule="auto"/>
        <w:jc w:val="center"/>
        <w:rPr>
          <w:b/>
          <w:sz w:val="36"/>
          <w:szCs w:val="36"/>
        </w:rPr>
      </w:pPr>
      <w:r w:rsidRPr="0081286B">
        <w:rPr>
          <w:b/>
          <w:sz w:val="36"/>
          <w:szCs w:val="36"/>
        </w:rPr>
        <w:t>2018年12月31日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二〇一九年一月二十一日</w:t>
      </w:r>
    </w:p>
    <w:p w:rsidP="0011537B" w:rsidR="004061AC" w:rsidRDefault="004061AC" w:rsidRPr="00414345">
      <w:pPr>
        <w:pStyle w:val="1"/>
        <w:spacing w:afterLines="100"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基金托管人中国建设银行股份有限公司根据本基金合同规定，于2019年1月18日复核了本报告中的财务指标、净值表现和投资组合报告等内容，保证复核内容不存在虚假记载、误导性陈述或者重大遗漏。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本报告期自2018年10月1日起至12月31日止。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交银增强收益债券</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519729</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519729</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2016年12月30日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20,698,966.87</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在严格控制投资风险的基础上，力争实现基金资产的长期稳定增值。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将依据宏观经济数据和金融运行数据、货币政策、财政政策、以及债券市场和股票市场风险收益特征，分析判断市场利率水平变动趋势和股票市场走势。并根据宏观经济、基准利率水平、股票市场整体估值水平，预测债券、可转债、新股申购等大类资产下一阶段的预期收益率水平，结合各类别资产的波动性以及流动性状况分析，进行大类资产配置。</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90%×中证综合债券指数收益率+10%×沪深300指数收益率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本基金为债券型证券投资基金，其长期平均的预期收益和风险高于货币市场基金，低于混合型基金和股票型基金，属于证券投资基金中中等风险品种。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(2018年10月1日-2018年12月31日)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412,553.15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365,902.57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0.0172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26,053,976.22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1.259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1.45%</w:t>
            </w:r>
          </w:p>
        </w:tc>
        <w:tc>
          <w:tcPr>
            <w:vAlign w:val="center"/>
          </w:tcPr>
          <w:p>
            <w:pPr>
              <w:jc w:val="center"/>
            </w:pPr>
            <w:r>
              <w:rPr>
                <w:color w:val="000000"/>
                <w:sz w:val="24"/>
                <w:szCs w:val="24"/>
              </w:rPr>
              <w:t>0.10%</w:t>
            </w:r>
          </w:p>
        </w:tc>
        <w:tc>
          <w:tcPr>
            <w:vAlign w:val="center"/>
          </w:tcPr>
          <w:p>
            <w:pPr>
              <w:jc w:val="center"/>
            </w:pPr>
            <w:r>
              <w:rPr>
                <w:color w:val="000000"/>
                <w:sz w:val="24"/>
                <w:szCs w:val="24"/>
              </w:rPr>
              <w:t>1.04%</w:t>
            </w:r>
          </w:p>
        </w:tc>
        <w:tc>
          <w:tcPr>
            <w:vAlign w:val="center"/>
          </w:tcPr>
          <w:p>
            <w:pPr>
              <w:jc w:val="center"/>
            </w:pPr>
            <w:r>
              <w:rPr>
                <w:color w:val="000000"/>
                <w:sz w:val="24"/>
                <w:szCs w:val="24"/>
              </w:rPr>
              <w:t>0.16%</w:t>
            </w:r>
          </w:p>
        </w:tc>
        <w:tc>
          <w:tcPr>
            <w:vAlign w:val="center"/>
          </w:tcPr>
          <w:p>
            <w:pPr>
              <w:jc w:val="center"/>
            </w:pPr>
            <w:r>
              <w:rPr>
                <w:color w:val="000000"/>
                <w:sz w:val="24"/>
                <w:szCs w:val="24"/>
              </w:rPr>
              <w:t>0.41%</w:t>
            </w:r>
          </w:p>
        </w:tc>
        <w:tc>
          <w:tcPr>
            <w:vAlign w:val="center"/>
          </w:tcPr>
          <w:p>
            <w:pPr>
              <w:jc w:val="center"/>
            </w:pPr>
            <w:r>
              <w:rPr>
                <w:color w:val="000000"/>
                <w:sz w:val="24"/>
                <w:szCs w:val="24"/>
              </w:rPr>
              <w:t>-0.06%</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交银施罗德增强收益债券型证券投资基金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2016年12月30日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2018年12月31日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由交银施罗德荣泰保本混合型证券投资基金转型而来。基金转型日为2016年12月30日。本基金的投资转型期为交银施罗德荣泰保本混合型证券投资基金保本周期到期期间截止日的次日（即2016年12月30日）起的3个月。截至投资转型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于海颖</w:t>
            </w:r>
          </w:p>
        </w:tc>
        <w:tc>
          <w:tcPr>
            <w:vAlign w:val="center"/>
          </w:tcPr>
          <w:p>
            <w:pPr>
              <w:jc w:val="center"/>
            </w:pPr>
            <w:r>
              <w:rPr>
                <w:color w:val="000000"/>
                <w:sz w:val="24"/>
                <w:szCs w:val="24"/>
              </w:rPr>
              <w:t>交银增利债券、交银纯债债券发起、交银荣祥保本混合、交银定期支付月月丰债券、交银增强收益债券、交银强化回报债券、交银丰盈收益债券、交银荣鑫保本混合、交银增利增强债券、交银丰晟收益债券、交银裕如纯债债券的基金经理，公司固定收益（公募）投资总监</w:t>
            </w:r>
          </w:p>
        </w:tc>
        <w:tc>
          <w:tcPr>
            <w:vAlign w:val="center"/>
          </w:tcPr>
          <w:p>
            <w:pPr>
              <w:jc w:val="center"/>
            </w:pPr>
            <w:r>
              <w:rPr>
                <w:color w:val="000000"/>
                <w:sz w:val="24"/>
                <w:szCs w:val="24"/>
              </w:rPr>
              <w:t>2017-06-10</w:t>
            </w:r>
          </w:p>
        </w:tc>
        <w:tc>
          <w:tcPr>
            <w:vAlign w:val="center"/>
          </w:tcPr>
          <w:p>
            <w:pPr>
              <w:jc w:val="center"/>
            </w:pPr>
            <w:r>
              <w:rPr>
                <w:color w:val="000000"/>
                <w:sz w:val="24"/>
                <w:szCs w:val="24"/>
              </w:rPr>
              <w:t>-</w:t>
            </w:r>
          </w:p>
        </w:tc>
        <w:tc>
          <w:tcPr>
            <w:vAlign w:val="center"/>
          </w:tcPr>
          <w:p>
            <w:pPr>
              <w:jc w:val="center"/>
            </w:pPr>
            <w:r>
              <w:rPr>
                <w:color w:val="000000"/>
                <w:sz w:val="24"/>
                <w:szCs w:val="24"/>
              </w:rPr>
              <w:t>12年</w:t>
            </w:r>
          </w:p>
        </w:tc>
        <w:tc>
          <w:tcPr>
            <w:vAlign w:val="center"/>
          </w:tcPr>
          <w:p>
            <w:pPr>
              <w:jc w:val="both"/>
            </w:pPr>
            <w:r>
              <w:rPr>
                <w:color w:val="000000"/>
                <w:sz w:val="24"/>
                <w:szCs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2017年6月10日至2018年7月18日担任交银施罗德丰硕收益债券型证券投资基金的基金经理。</w:t>
            </w:r>
          </w:p>
        </w:tc>
      </w:tr>
      <w:tr>
        <w:tc>
          <w:tcPr>
            <w:vAlign w:val="center"/>
          </w:tcPr>
          <w:p>
            <w:pPr>
              <w:jc w:val="center"/>
            </w:pPr>
            <w:r>
              <w:rPr>
                <w:color w:val="000000"/>
                <w:sz w:val="24"/>
                <w:szCs w:val="24"/>
              </w:rPr>
              <w:t>凌超</w:t>
            </w:r>
          </w:p>
        </w:tc>
        <w:tc>
          <w:tcPr>
            <w:vAlign w:val="center"/>
          </w:tcPr>
          <w:p>
            <w:pPr>
              <w:jc w:val="center"/>
            </w:pPr>
            <w:r>
              <w:rPr>
                <w:color w:val="000000"/>
                <w:sz w:val="24"/>
                <w:szCs w:val="24"/>
              </w:rPr>
              <w:t>交银定期支付月月丰债券、交银增强收益债券、交银强化回报债券、交银增利增强债券的基金经理，公司固定收益(公募)投资副总监</w:t>
            </w:r>
          </w:p>
        </w:tc>
        <w:tc>
          <w:tcPr>
            <w:vAlign w:val="center"/>
          </w:tcPr>
          <w:p>
            <w:pPr>
              <w:jc w:val="center"/>
            </w:pPr>
            <w:r>
              <w:rPr>
                <w:color w:val="000000"/>
                <w:sz w:val="24"/>
                <w:szCs w:val="24"/>
              </w:rPr>
              <w:t>2018-02-13</w:t>
            </w:r>
          </w:p>
        </w:tc>
        <w:tc>
          <w:tcPr>
            <w:vAlign w:val="center"/>
          </w:tcPr>
          <w:p>
            <w:pPr>
              <w:jc w:val="center"/>
            </w:pPr>
            <w:r>
              <w:rPr>
                <w:color w:val="000000"/>
                <w:sz w:val="24"/>
                <w:szCs w:val="24"/>
              </w:rPr>
              <w:t>-</w:t>
            </w:r>
          </w:p>
        </w:tc>
        <w:tc>
          <w:tcPr>
            <w:vAlign w:val="center"/>
          </w:tcPr>
          <w:p>
            <w:pPr>
              <w:jc w:val="center"/>
            </w:pPr>
            <w:r>
              <w:rPr>
                <w:color w:val="000000"/>
                <w:sz w:val="24"/>
                <w:szCs w:val="24"/>
              </w:rPr>
              <w:t>12年</w:t>
            </w:r>
          </w:p>
        </w:tc>
        <w:tc>
          <w:tcPr>
            <w:vAlign w:val="center"/>
          </w:tcPr>
          <w:p>
            <w:pPr>
              <w:jc w:val="both"/>
            </w:pPr>
            <w:r>
              <w:rPr>
                <w:color w:val="000000"/>
                <w:sz w:val="24"/>
                <w:szCs w:val="24"/>
              </w:rPr>
              <w:t>凌超先生，华中科技大学数量经济学硕士、武汉科技大学信息与计算科学学士。2006年至2009年任长江证券股份有限公司研究员、投资经理，2009年至2012年任光大保德信基金有限管理公司研究员、基金助理、基金经理，2012年至2016年任海富通基金管理有限公司投资顾问、基金经理，2016年至2017年任天弘基金管理有限公司固定收益部副总经理、基金经理。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2018年四季度利率债收益率下行，中长端下行幅度更大一些，国开收益率曲线平坦化下移。信用债收益率除短端微幅上行外，其余期限基本呈现下行态势，信用利差普遍走阔。四季度，经济基本面延续走低。消费数据趋弱，并出现分层，中低端消费品增速下滑更为明显。投资增速处于低位，地产投资增速逐步放缓，基建呈现个位数增长，制造业小幅反弹但持续性存疑。金融数据方面，社融数据中委托信托依然负增长，未见起色。通胀方面，油价十月以来的下行也令此前通胀上行的担心大幅缓解。债券市场方面，四季度伊始，中美利差倒挂一度令市场担忧，长债收益率震荡缓步下行。随着十月金融数据的走弱，十年活跃国开收益率突破4.00%关口，并在随后一周内下行至3.85%。十二月初，情绪面向好，长债收益率进一步下行至3.65%附近，中下旬受地方债发行等政策预期影响呈现横盘震荡。</w:t>
      </w:r>
    </w:p>
    <w:p>
      <w:pPr>
        <w:spacing w:before="29" w:line="288" w:lineRule="auto"/>
        <w:ind w:firstLine="480" w:firstLineChars="200"/>
        <w:rPr>
          <w:color w:val="000000"/>
          <w:sz w:val="24"/>
          <w:szCs w:val="24"/>
        </w:rPr>
      </w:pPr>
      <w:r>
        <w:rPr>
          <w:color w:val="000000"/>
          <w:sz w:val="24"/>
          <w:szCs w:val="24"/>
        </w:rPr>
        <w:t>四季度，基本面和风险偏好尚未出现根本性改善，权益市场表现依旧疲弱，上证综指单季度下跌11.61%，创业板综指季度跌幅11.30%。行业层面，受经济基本面下行影响，消费及强周期板块走势疲弱，农业、券商、通信景气度相对较好。</w:t>
      </w:r>
    </w:p>
    <w:p>
      <w:pPr>
        <w:spacing w:before="29" w:line="288" w:lineRule="auto"/>
        <w:ind w:firstLine="480" w:firstLineChars="200"/>
        <w:rPr>
          <w:color w:val="000000"/>
          <w:sz w:val="24"/>
          <w:szCs w:val="24"/>
        </w:rPr>
      </w:pPr>
      <w:r>
        <w:rPr>
          <w:color w:val="000000"/>
          <w:sz w:val="24"/>
          <w:szCs w:val="24"/>
        </w:rPr>
        <w:t>本报告期内，组合债券部分以利率债波段操作为主。十月初拉长组合久期，随着市场收益率的不断下行，收益率曲线进一步平坦化，十二月初开始逐步降低组合久期，目前债券部分仓位以中短久期利率债为主。权益方面，考虑到市场主线依然不明朗，组合维持较低仓位，择机参与一些超跌个股阶段性机会。</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2019年一季度，经济基本面下行基本取得市场共识，需关注逆周期调控政策对于经济基本面的影响，以判断利率债收益率变动的拐点何时出现。为此，我们将密切跟踪宏观政策的出台及执行情况，以及信贷及社融总额增速等重要宏观指标的变化。站在目前的时点上，鉴于消费、投资以及出口等数据一季度均难以出现明显提升，消费及出口更可能趋势回落，因此我们对于债券市场的看法依然维持谨慎乐观。未来组合操作方面，组合债券部分预计依然维持波段操作，以期赚取超额收益。权益方面将等待机会，逐步布局一些优质成长个股。</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本基金本报告期内连续六十个工作日出现基金资产净值低于5000万元的情形，截至本报告期末，本基金基金资产净值仍低于5000万元。</w:t>
      </w: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rsidRPr="007B5F21">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tbl>
      <w:tblPr>
        <w:tblStyle w:val="af7"/>
        <w:tblW w:type="dxa" w:w="8897"/>
        <w:tblInd w:type="dxa" w:w="108"/>
        <w:tblLayout w:type="fixed"/>
        <w:tblLook w:val="04A0"/>
      </w:tblPr>
      <w:tblGrid>
        <w:gridCol w:w="720"/>
        <w:gridCol w:w="2824"/>
        <w:gridCol w:w="2552"/>
        <w:gridCol w:w="2801"/>
      </w:tblGrid>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824"/>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r w:rsidRPr="007B5F21">
              <w:rPr>
                <w:rFonts w:eastAsiaTheme="minorEastAsia"/>
                <w:color w:themeColor="text1" w:val="000000"/>
                <w:sz w:val="24"/>
                <w:szCs w:val="24"/>
              </w:rPr>
              <w:t>(</w:t>
            </w:r>
            <w:r w:rsidRPr="007B5F21">
              <w:rPr>
                <w:rFonts w:eastAsiaTheme="minorEastAsia"/>
                <w:color w:themeColor="text1" w:val="000000"/>
                <w:sz w:val="24"/>
                <w:szCs w:val="24"/>
              </w:rPr>
              <w:t>元</w:t>
            </w: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1</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22,732,303.90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86.11</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22,732,303.90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86.11</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824"/>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2,400,000.00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9.09</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459,927.75</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1.74</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806,269.83</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3.05</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26,398,501.48</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rsidRPr="00F51C4E">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本基金本报告期末未持有股票。</w:t>
      </w:r>
    </w:p>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本基金本报告期末未持有股票。</w:t>
      </w:r>
    </w:p>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type="dxa" w:w="8868"/>
        <w:jc w:val="center"/>
        <w:tblLayout w:type="fixed"/>
        <w:tblLook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3,908,791.40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15.00</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18,565,409.30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71.26</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18,565,409.30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71.26</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258,103.20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0.99</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22,732,303.90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87.25</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type="dxa" w:w="8868"/>
        <w:jc w:val="center"/>
        <w:tblLayout w:type="fixed"/>
        <w:tblCellMar>
          <w:top w:type="dxa" w:w="57"/>
          <w:bottom w:type="dxa" w:w="57"/>
        </w:tblCellMar>
        <w:tblLook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108602</w:t>
            </w:r>
          </w:p>
        </w:tc>
        <w:tc>
          <w:tcPr>
            <w:vAlign w:val="center"/>
          </w:tcPr>
          <w:p>
            <w:pPr>
              <w:jc w:val="center"/>
            </w:pPr>
            <w:r>
              <w:rPr>
                <w:color w:val="000000"/>
                <w:sz w:val="24"/>
                <w:szCs w:val="24"/>
              </w:rPr>
              <w:t>国开1704</w:t>
            </w:r>
          </w:p>
        </w:tc>
        <w:tc>
          <w:tcPr>
            <w:vAlign w:val="center"/>
          </w:tcPr>
          <w:p>
            <w:pPr>
              <w:jc w:val="right"/>
            </w:pPr>
            <w:r>
              <w:rPr>
                <w:color w:val="000000"/>
                <w:sz w:val="24"/>
                <w:szCs w:val="24"/>
              </w:rPr>
              <w:t>142,150</w:t>
            </w:r>
          </w:p>
        </w:tc>
        <w:tc>
          <w:tcPr>
            <w:vAlign w:val="center"/>
          </w:tcPr>
          <w:p>
            <w:pPr>
              <w:jc w:val="right"/>
            </w:pPr>
            <w:r>
              <w:rPr>
                <w:color w:val="000000"/>
                <w:sz w:val="24"/>
                <w:szCs w:val="24"/>
              </w:rPr>
              <w:t>14,352,885.50</w:t>
            </w:r>
          </w:p>
        </w:tc>
        <w:tc>
          <w:tcPr>
            <w:vAlign w:val="center"/>
          </w:tcPr>
          <w:p>
            <w:pPr>
              <w:jc w:val="right"/>
            </w:pPr>
            <w:r>
              <w:rPr>
                <w:color w:val="000000"/>
                <w:sz w:val="24"/>
                <w:szCs w:val="24"/>
              </w:rPr>
              <w:t>55.09</w:t>
            </w:r>
          </w:p>
        </w:tc>
      </w:tr>
      <w:tr>
        <w:tc>
          <w:tcPr>
            <w:vAlign w:val="center"/>
          </w:tcPr>
          <w:p>
            <w:pPr>
              <w:jc w:val="center"/>
            </w:pPr>
            <w:r>
              <w:rPr>
                <w:color w:val="000000"/>
                <w:sz w:val="24"/>
                <w:szCs w:val="24"/>
              </w:rPr>
              <w:t>2</w:t>
            </w:r>
          </w:p>
        </w:tc>
        <w:tc>
          <w:tcPr>
            <w:vAlign w:val="center"/>
          </w:tcPr>
          <w:p>
            <w:pPr>
              <w:jc w:val="center"/>
            </w:pPr>
            <w:r>
              <w:rPr>
                <w:color w:val="000000"/>
                <w:sz w:val="24"/>
                <w:szCs w:val="24"/>
              </w:rPr>
              <w:t>010303</w:t>
            </w:r>
          </w:p>
        </w:tc>
        <w:tc>
          <w:tcPr>
            <w:vAlign w:val="center"/>
          </w:tcPr>
          <w:p>
            <w:pPr>
              <w:jc w:val="center"/>
            </w:pPr>
            <w:r>
              <w:rPr>
                <w:color w:val="000000"/>
                <w:sz w:val="24"/>
                <w:szCs w:val="24"/>
              </w:rPr>
              <w:t>03国债⑶</w:t>
            </w:r>
          </w:p>
        </w:tc>
        <w:tc>
          <w:tcPr>
            <w:vAlign w:val="center"/>
          </w:tcPr>
          <w:p>
            <w:pPr>
              <w:jc w:val="right"/>
            </w:pPr>
            <w:r>
              <w:rPr>
                <w:color w:val="000000"/>
                <w:sz w:val="24"/>
                <w:szCs w:val="24"/>
              </w:rPr>
              <w:t>38,770</w:t>
            </w:r>
          </w:p>
        </w:tc>
        <w:tc>
          <w:tcPr>
            <w:vAlign w:val="center"/>
          </w:tcPr>
          <w:p>
            <w:pPr>
              <w:jc w:val="right"/>
            </w:pPr>
            <w:r>
              <w:rPr>
                <w:color w:val="000000"/>
                <w:sz w:val="24"/>
                <w:szCs w:val="24"/>
              </w:rPr>
              <w:t>3,908,791.40</w:t>
            </w:r>
          </w:p>
        </w:tc>
        <w:tc>
          <w:tcPr>
            <w:vAlign w:val="center"/>
          </w:tcPr>
          <w:p>
            <w:pPr>
              <w:jc w:val="right"/>
            </w:pPr>
            <w:r>
              <w:rPr>
                <w:color w:val="000000"/>
                <w:sz w:val="24"/>
                <w:szCs w:val="24"/>
              </w:rPr>
              <w:t>15.00</w:t>
            </w:r>
          </w:p>
        </w:tc>
      </w:tr>
      <w:tr>
        <w:tc>
          <w:tcPr>
            <w:vAlign w:val="center"/>
          </w:tcPr>
          <w:p>
            <w:pPr>
              <w:jc w:val="center"/>
            </w:pPr>
            <w:r>
              <w:rPr>
                <w:color w:val="000000"/>
                <w:sz w:val="24"/>
                <w:szCs w:val="24"/>
              </w:rPr>
              <w:t>3</w:t>
            </w:r>
          </w:p>
        </w:tc>
        <w:tc>
          <w:tcPr>
            <w:vAlign w:val="center"/>
          </w:tcPr>
          <w:p>
            <w:pPr>
              <w:jc w:val="center"/>
            </w:pPr>
            <w:r>
              <w:rPr>
                <w:color w:val="000000"/>
                <w:sz w:val="24"/>
                <w:szCs w:val="24"/>
              </w:rPr>
              <w:t>018006</w:t>
            </w:r>
          </w:p>
        </w:tc>
        <w:tc>
          <w:tcPr>
            <w:vAlign w:val="center"/>
          </w:tcPr>
          <w:p>
            <w:pPr>
              <w:jc w:val="center"/>
            </w:pPr>
            <w:r>
              <w:rPr>
                <w:color w:val="000000"/>
                <w:sz w:val="24"/>
                <w:szCs w:val="24"/>
              </w:rPr>
              <w:t>国开1702</w:t>
            </w:r>
          </w:p>
        </w:tc>
        <w:tc>
          <w:tcPr>
            <w:vAlign w:val="center"/>
          </w:tcPr>
          <w:p>
            <w:pPr>
              <w:jc w:val="right"/>
            </w:pPr>
            <w:r>
              <w:rPr>
                <w:color w:val="000000"/>
                <w:sz w:val="24"/>
                <w:szCs w:val="24"/>
              </w:rPr>
              <w:t>27,270</w:t>
            </w:r>
          </w:p>
        </w:tc>
        <w:tc>
          <w:tcPr>
            <w:vAlign w:val="center"/>
          </w:tcPr>
          <w:p>
            <w:pPr>
              <w:jc w:val="right"/>
            </w:pPr>
            <w:r>
              <w:rPr>
                <w:color w:val="000000"/>
                <w:sz w:val="24"/>
                <w:szCs w:val="24"/>
              </w:rPr>
              <w:t>2,784,267.00</w:t>
            </w:r>
          </w:p>
        </w:tc>
        <w:tc>
          <w:tcPr>
            <w:vAlign w:val="center"/>
          </w:tcPr>
          <w:p>
            <w:pPr>
              <w:jc w:val="right"/>
            </w:pPr>
            <w:r>
              <w:rPr>
                <w:color w:val="000000"/>
                <w:sz w:val="24"/>
                <w:szCs w:val="24"/>
              </w:rPr>
              <w:t>10.69</w:t>
            </w:r>
          </w:p>
        </w:tc>
      </w:tr>
      <w:tr>
        <w:tc>
          <w:tcPr>
            <w:vAlign w:val="center"/>
          </w:tcPr>
          <w:p>
            <w:pPr>
              <w:jc w:val="center"/>
            </w:pPr>
            <w:r>
              <w:rPr>
                <w:color w:val="000000"/>
                <w:sz w:val="24"/>
                <w:szCs w:val="24"/>
              </w:rPr>
              <w:t>4</w:t>
            </w:r>
          </w:p>
        </w:tc>
        <w:tc>
          <w:tcPr>
            <w:vAlign w:val="center"/>
          </w:tcPr>
          <w:p>
            <w:pPr>
              <w:jc w:val="center"/>
            </w:pPr>
            <w:r>
              <w:rPr>
                <w:color w:val="000000"/>
                <w:sz w:val="24"/>
                <w:szCs w:val="24"/>
              </w:rPr>
              <w:t>018005</w:t>
            </w:r>
          </w:p>
        </w:tc>
        <w:tc>
          <w:tcPr>
            <w:vAlign w:val="center"/>
          </w:tcPr>
          <w:p>
            <w:pPr>
              <w:jc w:val="center"/>
            </w:pPr>
            <w:r>
              <w:rPr>
                <w:color w:val="000000"/>
                <w:sz w:val="24"/>
                <w:szCs w:val="24"/>
              </w:rPr>
              <w:t>国开1701</w:t>
            </w:r>
          </w:p>
        </w:tc>
        <w:tc>
          <w:tcPr>
            <w:vAlign w:val="center"/>
          </w:tcPr>
          <w:p>
            <w:pPr>
              <w:jc w:val="right"/>
            </w:pPr>
            <w:r>
              <w:rPr>
                <w:color w:val="000000"/>
                <w:sz w:val="24"/>
                <w:szCs w:val="24"/>
              </w:rPr>
              <w:t>14,220</w:t>
            </w:r>
          </w:p>
        </w:tc>
        <w:tc>
          <w:tcPr>
            <w:vAlign w:val="center"/>
          </w:tcPr>
          <w:p>
            <w:pPr>
              <w:jc w:val="right"/>
            </w:pPr>
            <w:r>
              <w:rPr>
                <w:color w:val="000000"/>
                <w:sz w:val="24"/>
                <w:szCs w:val="24"/>
              </w:rPr>
              <w:t>1,428,256.80</w:t>
            </w:r>
          </w:p>
        </w:tc>
        <w:tc>
          <w:tcPr>
            <w:vAlign w:val="center"/>
          </w:tcPr>
          <w:p>
            <w:pPr>
              <w:jc w:val="right"/>
            </w:pPr>
            <w:r>
              <w:rPr>
                <w:color w:val="000000"/>
                <w:sz w:val="24"/>
                <w:szCs w:val="24"/>
              </w:rPr>
              <w:t>5.48</w:t>
            </w:r>
          </w:p>
        </w:tc>
      </w:tr>
      <w:tr>
        <w:tc>
          <w:tcPr>
            <w:vAlign w:val="center"/>
          </w:tcPr>
          <w:p>
            <w:pPr>
              <w:jc w:val="center"/>
            </w:pPr>
            <w:r>
              <w:rPr>
                <w:color w:val="000000"/>
                <w:sz w:val="24"/>
                <w:szCs w:val="24"/>
              </w:rPr>
              <w:t>5</w:t>
            </w:r>
          </w:p>
        </w:tc>
        <w:tc>
          <w:tcPr>
            <w:vAlign w:val="center"/>
          </w:tcPr>
          <w:p>
            <w:pPr>
              <w:jc w:val="center"/>
            </w:pPr>
            <w:r>
              <w:rPr>
                <w:color w:val="000000"/>
                <w:sz w:val="24"/>
                <w:szCs w:val="24"/>
              </w:rPr>
              <w:t>120001</w:t>
            </w:r>
          </w:p>
        </w:tc>
        <w:tc>
          <w:tcPr>
            <w:vAlign w:val="center"/>
          </w:tcPr>
          <w:p>
            <w:pPr>
              <w:jc w:val="center"/>
            </w:pPr>
            <w:r>
              <w:rPr>
                <w:color w:val="000000"/>
                <w:sz w:val="24"/>
                <w:szCs w:val="24"/>
              </w:rPr>
              <w:t>16以岭EB</w:t>
            </w:r>
          </w:p>
        </w:tc>
        <w:tc>
          <w:tcPr>
            <w:vAlign w:val="center"/>
          </w:tcPr>
          <w:p>
            <w:pPr>
              <w:jc w:val="right"/>
            </w:pPr>
            <w:r>
              <w:rPr>
                <w:color w:val="000000"/>
                <w:sz w:val="24"/>
                <w:szCs w:val="24"/>
              </w:rPr>
              <w:t>2,580</w:t>
            </w:r>
          </w:p>
        </w:tc>
        <w:tc>
          <w:tcPr>
            <w:vAlign w:val="center"/>
          </w:tcPr>
          <w:p>
            <w:pPr>
              <w:jc w:val="right"/>
            </w:pPr>
            <w:r>
              <w:rPr>
                <w:color w:val="000000"/>
                <w:sz w:val="24"/>
                <w:szCs w:val="24"/>
              </w:rPr>
              <w:t>258,103.20</w:t>
            </w:r>
          </w:p>
        </w:tc>
        <w:tc>
          <w:tcPr>
            <w:vAlign w:val="center"/>
          </w:tcPr>
          <w:p>
            <w:pPr>
              <w:jc w:val="right"/>
            </w:pPr>
            <w:r>
              <w:rPr>
                <w:color w:val="000000"/>
                <w:sz w:val="24"/>
                <w:szCs w:val="24"/>
              </w:rPr>
              <w:t>0.99</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sz w:val="24"/>
          <w:szCs w:val="24"/>
        </w:rPr>
      </w:pP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lastRenderedPageBreak/>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20,263.19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247,511.14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538,495.50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806,269.83</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type="dxa" w:w="8868"/>
        <w:jc w:val="center"/>
        <w:tblLayout w:type="fixed"/>
        <w:tblCellMar>
          <w:top w:type="dxa" w:w="57"/>
          <w:bottom w:type="dxa" w:w="57"/>
        </w:tblCellMar>
        <w:tblLook w:val="04A0"/>
      </w:tblPr>
      <w:tblGrid>
        <w:gridCol w:w="1883"/>
        <w:gridCol w:w="1801"/>
        <w:gridCol w:w="1727"/>
        <w:gridCol w:w="1768"/>
        <w:gridCol w:w="1689"/>
      </w:tblGrid>
      <w:tr w:rsidR="003E62FB" w:rsidRPr="00414345" w:rsidTr="00A324F4">
        <w:trPr>
          <w:jc w:val="center"/>
        </w:trPr>
        <w:tc>
          <w:tcPr>
            <w:tcW w:type="dxa" w:w="180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729"/>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65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69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2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120001</w:t>
            </w:r>
          </w:p>
        </w:tc>
        <w:tc>
          <w:tcPr>
            <w:vAlign w:val="center"/>
          </w:tcPr>
          <w:p>
            <w:pPr>
              <w:jc w:val="center"/>
            </w:pPr>
            <w:r>
              <w:rPr>
                <w:color w:val="000000"/>
                <w:sz w:val="24"/>
                <w:szCs w:val="24"/>
              </w:rPr>
              <w:t>16以岭EB</w:t>
            </w:r>
          </w:p>
        </w:tc>
        <w:tc>
          <w:tcPr>
            <w:vAlign w:val="center"/>
          </w:tcPr>
          <w:p>
            <w:pPr>
              <w:jc w:val="right"/>
            </w:pPr>
            <w:r>
              <w:rPr>
                <w:color w:val="000000"/>
                <w:sz w:val="24"/>
                <w:szCs w:val="24"/>
              </w:rPr>
              <w:t>258,103.20</w:t>
            </w:r>
          </w:p>
        </w:tc>
        <w:tc>
          <w:tcPr>
            <w:vAlign w:val="center"/>
          </w:tcPr>
          <w:p>
            <w:pPr>
              <w:jc w:val="right"/>
            </w:pPr>
            <w:r>
              <w:rPr>
                <w:color w:val="000000"/>
                <w:sz w:val="24"/>
                <w:szCs w:val="24"/>
              </w:rPr>
              <w:t>0.99</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11537B" w:rsidR="001F3E2A" w:rsidRDefault="001F3E2A" w:rsidRPr="00575270">
      <w:pPr>
        <w:pStyle w:val="1"/>
        <w:spacing w:afterLines="100" w:beforeLines="100" w:line="360" w:lineRule="auto"/>
        <w:jc w:val="center"/>
        <w:rPr>
          <w:rFonts w:eastAsiaTheme="minorEastAsia"/>
          <w:color w:themeColor="text1" w:val="000000"/>
          <w:kern w:val="0"/>
          <w:sz w:val="24"/>
          <w:szCs w:val="24"/>
        </w:rPr>
      </w:pPr>
      <w:r w:rsidRPr="00575270">
        <w:rPr>
          <w:rFonts w:eastAsiaTheme="minorEastAsia"/>
          <w:color w:themeColor="text1" w:val="000000"/>
          <w:kern w:val="0"/>
          <w:sz w:val="24"/>
          <w:szCs w:val="24"/>
        </w:rPr>
        <w:lastRenderedPageBreak/>
        <w:t>§6</w:t>
      </w:r>
      <w:r w:rsidRPr="00575270">
        <w:rPr>
          <w:rFonts w:eastAsiaTheme="minorEastAsia" w:hint="eastAsia"/>
          <w:color w:themeColor="text1" w:val="000000"/>
          <w:kern w:val="0"/>
          <w:sz w:val="24"/>
          <w:szCs w:val="24"/>
        </w:rPr>
        <w:t xml:space="preserve">  </w:t>
      </w:r>
      <w:r w:rsidRPr="00575270">
        <w:rPr>
          <w:rFonts w:eastAsiaTheme="minorEastAsia" w:hint="eastAsia"/>
          <w:color w:themeColor="text1" w:val="000000"/>
          <w:kern w:val="0"/>
          <w:sz w:val="24"/>
          <w:szCs w:val="24"/>
        </w:rPr>
        <w:t>基金中基金</w:t>
      </w:r>
    </w:p>
    <w:p w:rsidP="001F3E2A" w:rsidR="001F3E2A" w:rsidRDefault="001F3E2A" w:rsidRPr="00575270">
      <w:pPr>
        <w:adjustRightInd w:val="0"/>
        <w:snapToGrid w:val="0"/>
        <w:spacing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1</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报告期末按公允价值占基金资产净值比例大小排序的前十名基金投资明细</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本基金本报告期末未持有基金。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2</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当期交易及持有基金产生的费用</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本基金本报告期内未交易或持有基金。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3</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本报告期持有的基金发生的重大影响事件</w:t>
      </w:r>
    </w:p>
    <w:tbl>
      <w:tblPr>
        <w:tblStyle w:val="af7"/>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242"/>
      </w:tblGrid>
      <w:tr w:rsidR="001F3E2A" w:rsidRPr="00575270" w:rsidTr="00D9393A">
        <w:tc>
          <w:tcPr>
            <w:tcW w:type="dxa" w:w="9036"/>
          </w:tcPr>
          <w:p w:rsidP="00CD14C0"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
            </w: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无。</w:t>
            </w:r>
          </w:p>
        </w:tc>
      </w:tr>
    </w:tbl>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Lines="100" w:beforeLines="100" w:line="360" w:lineRule="auto"/>
        <w:jc w:val="center"/>
        <w:rPr>
          <w:rFonts w:eastAsiaTheme="minorEastAsia"/>
          <w:color w:themeColor="text1" w:val="000000"/>
          <w:kern w:val="0"/>
          <w:sz w:val="24"/>
          <w:szCs w:val="24"/>
        </w:rPr>
      </w:pPr>
      <w:bookmarkStart w:id="2" w:name="_GoBack"/>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7</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bookmarkEnd w:id="2"/>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24,084,441.56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6,481.88</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3,391,956.57</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20,698,966.87</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Lines="100"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8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8.1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Lines="100"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§9</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个人</w:t>
            </w:r>
          </w:p>
        </w:tc>
        <w:tc>
          <w:tcPr>
            <w:vAlign w:val="center"/>
          </w:tcPr>
          <w:p>
            <w:pPr>
              <w:jc w:val="center"/>
            </w:pPr>
            <w:r>
              <w:rPr>
                <w:rFonts w:ascii="宋体" w:hAnsi="宋体"/>
                <w:kern w:val="0"/>
              </w:rPr>
              <w:t>1</w:t>
            </w:r>
          </w:p>
        </w:tc>
        <w:tc>
          <w:tcPr>
            <w:vAlign w:val="center"/>
          </w:tcPr>
          <w:p>
            <w:pPr>
              <w:jc w:val="center"/>
            </w:pPr>
            <w:r>
              <w:rPr>
                <w:rFonts w:ascii="宋体" w:hAnsi="宋体"/>
                <w:kern w:val="0"/>
              </w:rPr>
              <w:t>2018/10/1-2018/12/31</w:t>
            </w:r>
          </w:p>
        </w:tc>
        <w:tc>
          <w:tcPr>
            <w:vAlign w:val="center"/>
          </w:tcPr>
          <w:p>
            <w:pPr>
              <w:jc w:val="center"/>
            </w:pPr>
            <w:r>
              <w:rPr>
                <w:rFonts w:ascii="宋体" w:hAnsi="宋体"/>
                <w:kern w:val="0"/>
              </w:rPr>
              <w:t>5,000,575.00</w:t>
            </w:r>
          </w:p>
        </w:tc>
        <w:tc>
          <w:tcPr>
            <w:vAlign w:val="center"/>
          </w:tcPr>
          <w:p>
            <w:pPr>
              <w:jc w:val="center"/>
            </w:pPr>
            <w:r>
              <w:rPr>
                <w:rFonts w:ascii="宋体" w:hAnsi="宋体"/>
                <w:kern w:val="0"/>
              </w:rPr>
              <w:t>-</w:t>
            </w:r>
          </w:p>
        </w:tc>
        <w:tc>
          <w:tcPr>
            <w:vAlign w:val="center"/>
          </w:tcPr>
          <w:p>
            <w:pPr>
              <w:jc w:val="center"/>
            </w:pPr>
            <w:r>
              <w:rPr>
                <w:rFonts w:ascii="宋体" w:hAnsi="宋体"/>
                <w:kern w:val="0"/>
              </w:rPr>
              <w:t>-</w:t>
            </w:r>
          </w:p>
        </w:tc>
        <w:tc>
          <w:tcPr>
            <w:vAlign w:val="center"/>
          </w:tcPr>
          <w:p>
            <w:pPr>
              <w:jc w:val="center"/>
            </w:pPr>
            <w:r>
              <w:rPr>
                <w:rFonts w:ascii="宋体" w:hAnsi="宋体"/>
                <w:kern w:val="0"/>
              </w:rPr>
              <w:t>5,000,575.00</w:t>
            </w:r>
          </w:p>
        </w:tc>
        <w:tc>
          <w:tcPr>
            <w:vAlign w:val="center"/>
          </w:tcPr>
          <w:p>
            <w:pPr>
              <w:jc w:val="center"/>
            </w:pPr>
            <w:r>
              <w:rPr>
                <w:rFonts w:ascii="宋体" w:hAnsi="宋体"/>
                <w:kern w:val="0"/>
              </w:rPr>
              <w:t>24.16%</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11537B" w:rsidR="00B22DEE" w:rsidRDefault="004061AC" w:rsidRPr="00E02660">
      <w:pPr>
        <w:pStyle w:val="1"/>
        <w:spacing w:afterLines="100"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1、中国证监会批准交银施罗德荣泰保本混合型证券投资基金募集的文件； </w:t>
      </w:r>
    </w:p>
    <w:p>
      <w:pPr>
        <w:spacing w:before="29" w:line="288" w:lineRule="auto"/>
        <w:ind w:firstLine="480" w:firstLineChars="200"/>
        <w:rPr>
          <w:color w:val="000000"/>
          <w:sz w:val="24"/>
          <w:szCs w:val="24"/>
        </w:rPr>
      </w:pPr>
      <w:r>
        <w:rPr>
          <w:color w:val="000000"/>
          <w:sz w:val="24"/>
          <w:szCs w:val="24"/>
        </w:rPr>
        <w:t>2、《交银施罗德增强收益债券型证券投资基金基金合同》；</w:t>
      </w:r>
    </w:p>
    <w:p>
      <w:pPr>
        <w:spacing w:before="29" w:line="288" w:lineRule="auto"/>
        <w:ind w:firstLine="480" w:firstLineChars="200"/>
        <w:rPr>
          <w:color w:val="000000"/>
          <w:sz w:val="24"/>
          <w:szCs w:val="24"/>
        </w:rPr>
      </w:pPr>
      <w:r>
        <w:rPr>
          <w:color w:val="000000"/>
          <w:sz w:val="24"/>
          <w:szCs w:val="24"/>
        </w:rPr>
        <w:t>3、《交银施罗德增强收益债券型证券投资基金招募说明书》；</w:t>
      </w:r>
    </w:p>
    <w:p>
      <w:pPr>
        <w:spacing w:before="29" w:line="288" w:lineRule="auto"/>
        <w:ind w:firstLine="480" w:firstLineChars="200"/>
        <w:rPr>
          <w:color w:val="000000"/>
          <w:sz w:val="24"/>
          <w:szCs w:val="24"/>
        </w:rPr>
      </w:pPr>
      <w:r>
        <w:rPr>
          <w:color w:val="000000"/>
          <w:sz w:val="24"/>
          <w:szCs w:val="24"/>
        </w:rPr>
        <w:t>4、《交银施罗德增强收益债券型证券投资基金托管协议》；</w:t>
      </w:r>
    </w:p>
    <w:p>
      <w:pPr>
        <w:spacing w:before="29" w:line="288" w:lineRule="auto"/>
        <w:ind w:firstLine="480" w:firstLineChars="200"/>
        <w:rPr>
          <w:color w:val="000000"/>
          <w:sz w:val="24"/>
          <w:szCs w:val="24"/>
        </w:rPr>
      </w:pPr>
      <w:r>
        <w:rPr>
          <w:color w:val="000000"/>
          <w:sz w:val="24"/>
          <w:szCs w:val="24"/>
        </w:rPr>
        <w:t>5、《交银施罗德荣泰保本混合型证券投资基金基金合同》；</w:t>
      </w:r>
    </w:p>
    <w:p>
      <w:pPr>
        <w:spacing w:before="29" w:line="288" w:lineRule="auto"/>
        <w:ind w:firstLine="480" w:firstLineChars="200"/>
        <w:rPr>
          <w:color w:val="000000"/>
          <w:sz w:val="24"/>
          <w:szCs w:val="24"/>
        </w:rPr>
      </w:pPr>
      <w:r>
        <w:rPr>
          <w:color w:val="000000"/>
          <w:sz w:val="24"/>
          <w:szCs w:val="24"/>
        </w:rPr>
        <w:t>6、《交银施罗德荣泰保本混合型证券投资基金招募说明书》；</w:t>
      </w:r>
    </w:p>
    <w:p>
      <w:pPr>
        <w:spacing w:before="29" w:line="288" w:lineRule="auto"/>
        <w:ind w:firstLine="480" w:firstLineChars="200"/>
        <w:rPr>
          <w:color w:val="000000"/>
          <w:sz w:val="24"/>
          <w:szCs w:val="24"/>
        </w:rPr>
      </w:pPr>
      <w:r>
        <w:rPr>
          <w:color w:val="000000"/>
          <w:sz w:val="24"/>
          <w:szCs w:val="24"/>
        </w:rPr>
        <w:t>7、《交银施罗德荣泰保本混合型证券投资基金托管协议》；</w:t>
      </w:r>
    </w:p>
    <w:p>
      <w:pPr>
        <w:spacing w:before="29" w:line="288" w:lineRule="auto"/>
        <w:ind w:firstLine="480" w:firstLineChars="200"/>
        <w:rPr>
          <w:color w:val="000000"/>
          <w:sz w:val="24"/>
          <w:szCs w:val="24"/>
        </w:rPr>
      </w:pPr>
      <w:r>
        <w:rPr>
          <w:color w:val="000000"/>
          <w:sz w:val="24"/>
          <w:szCs w:val="24"/>
        </w:rPr>
        <w:t xml:space="preserve">8、《交银施罗德荣泰保本混合型证券投资基金保证合同》； </w:t>
      </w:r>
    </w:p>
    <w:p>
      <w:pPr>
        <w:spacing w:before="29" w:line="288" w:lineRule="auto"/>
        <w:ind w:firstLine="480" w:firstLineChars="200"/>
        <w:rPr>
          <w:color w:val="000000"/>
          <w:sz w:val="24"/>
          <w:szCs w:val="24"/>
        </w:rPr>
      </w:pPr>
      <w:r>
        <w:rPr>
          <w:color w:val="000000"/>
          <w:sz w:val="24"/>
          <w:szCs w:val="24"/>
        </w:rPr>
        <w:t>9、基金管理人业务资格批件、营业执照；</w:t>
      </w:r>
    </w:p>
    <w:p>
      <w:pPr>
        <w:spacing w:before="29" w:line="288" w:lineRule="auto"/>
        <w:ind w:firstLine="480" w:firstLineChars="200"/>
        <w:rPr>
          <w:color w:val="000000"/>
          <w:sz w:val="24"/>
          <w:szCs w:val="24"/>
        </w:rPr>
      </w:pPr>
      <w:r>
        <w:rPr>
          <w:color w:val="000000"/>
          <w:sz w:val="24"/>
          <w:szCs w:val="24"/>
        </w:rPr>
        <w:t>10、基金托管人业务资格批件、营业执照；</w:t>
      </w:r>
    </w:p>
    <w:p>
      <w:pPr>
        <w:spacing w:before="29" w:line="288" w:lineRule="auto"/>
        <w:ind w:firstLine="480" w:firstLineChars="200"/>
        <w:rPr>
          <w:color w:val="000000"/>
          <w:sz w:val="24"/>
          <w:szCs w:val="24"/>
        </w:rPr>
      </w:pPr>
      <w:r>
        <w:rPr>
          <w:color w:val="000000"/>
          <w:sz w:val="24"/>
          <w:szCs w:val="24"/>
        </w:rPr>
        <w:t>11、关于申请募集交银施罗德荣泰保本混合型证券投资基金之法律意见书；</w:t>
      </w:r>
    </w:p>
    <w:p>
      <w:pPr>
        <w:spacing w:before="29" w:line="288" w:lineRule="auto"/>
        <w:ind w:firstLine="480" w:firstLineChars="200"/>
        <w:rPr>
          <w:color w:val="000000"/>
          <w:sz w:val="24"/>
          <w:szCs w:val="24"/>
        </w:rPr>
      </w:pPr>
      <w:r>
        <w:rPr>
          <w:color w:val="000000"/>
          <w:sz w:val="24"/>
          <w:szCs w:val="24"/>
        </w:rPr>
        <w:t>12、关于交银施罗德荣泰保本混合型证券投资基金保本周期到期转型及基金合同修改的法律意见；</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13、报告期内交银施罗德增强收益债券型证券投资基金、交银施罗德荣泰保本混合型证券投资基金在指定报刊上各项公告的原稿。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1537B">
      <w:rPr>
        <w:noProof/>
        <w:kern w:val="0"/>
        <w:szCs w:val="21"/>
      </w:rPr>
      <w:t>19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1537B">
      <w:rPr>
        <w:noProof/>
        <w:kern w:val="0"/>
        <w:szCs w:val="21"/>
      </w:rPr>
      <w:t>25</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P="00876D65" w:rsidR="004B2AF4" w:rsidRDefault="004B2AF4">
      <w:r>
        <w:separator/>
      </w:r>
    </w:p>
  </w:footnote>
  <w:footnote w:id="0" w:type="continuationSeparator">
    <w:p w:rsidP="00876D65" w:rsidR="004B2AF4" w:rsidRDefault="004B2AF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090A26" w:rsidR="00171EF0" w:rsidRDefault="00DC456F" w:rsidRPr="00DC456F">
    <w:pPr>
      <w:pStyle w:val="a9"/>
      <w:pBdr>
        <w:bottom w:color="auto" w:space="0" w:sz="6" w:val="single"/>
      </w:pBdr>
      <w:jc w:val="right"/>
      <w:rPr>
        <w:sz w:val="24"/>
        <w:szCs w:val="24"/>
      </w:rPr>
    </w:pPr>
    <w:r w:rsidRPr="003E676C">
      <w:rPr>
        <w:sz w:val="24"/>
        <w:szCs w:val="24"/>
      </w:rPr>
      <w:t>交银施罗德增强收益债券型证券投资基金2018年第4季度报告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nhideWhenUsed="0"/>
    <w:lsdException w:name="heading 2" w:qFormat="1"/>
    <w:lsdException w:name="heading 3" w:qFormat="1"/>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uiPriority="35"/>
    <w:lsdException w:name="footnote reference" w:uiPriority="0"/>
    <w:lsdException w:name="Title" w:qFormat="1" w:semiHidden="0" w:unhideWhenUsed="0"/>
    <w:lsdException w:name="Default Paragraph Font" w:uiPriority="1"/>
    <w:lsdException w:name="Subtitle" w:qFormat="1" w:semiHidden="0" w:uiPriority="11" w:unhideWhenUsed="0"/>
    <w:lsdException w:name="Date" w:uiPriority="0"/>
    <w:lsdException w:name="Strong" w:qFormat="1" w:semiHidden="0" w:uiPriority="22" w:unhideWhenUsed="0"/>
    <w:lsdException w:name="Emphasis" w:qFormat="1" w:semiHidden="0" w:uiPriority="20" w:unhideWhenUsed="0"/>
    <w:lsdException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5BAF-6A5D-4E6F-B945-BE15026D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25</Pages>
  <Words>4136</Words>
  <Characters>23578</Characters>
  <Application>Microsoft Office Word</Application>
  <DocSecurity>0</DocSecurity>
  <Lines>196</Lines>
  <Paragraphs>55</Paragraphs>
  <ScaleCrop>false</ScaleCrop>
  <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Administrator</cp:lastModifiedBy>
  <dcterms:modified xsi:type="dcterms:W3CDTF">2018-09-13T02:58:00Z</dcterms:modified>
  <cp:revision>578</cp:revision>
</cp:coreProperties>
</file>