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交银施罗德恒益灵活配置混合型证券投资基金</w:t>
      </w:r>
    </w:p>
    <w:p w:rsidP="00C15CAC" w:rsidR="002279D3" w:rsidRDefault="002279D3" w:rsidRPr="0081286B">
      <w:pPr>
        <w:spacing w:before="29" w:line="288" w:lineRule="auto"/>
        <w:jc w:val="center"/>
        <w:rPr>
          <w:b/>
          <w:sz w:val="36"/>
          <w:szCs w:val="36"/>
        </w:rPr>
      </w:pPr>
      <w:r w:rsidRPr="0081286B">
        <w:rPr>
          <w:b/>
          <w:sz w:val="36"/>
          <w:szCs w:val="36"/>
        </w:rPr>
        <w:t>2018年第4季度报告</w:t>
      </w:r>
    </w:p>
    <w:p w:rsidP="00C15CAC" w:rsidR="004061AC" w:rsidRDefault="00655CD8" w:rsidRPr="0081286B">
      <w:pPr>
        <w:spacing w:before="29" w:line="288" w:lineRule="auto"/>
        <w:jc w:val="center"/>
        <w:rPr>
          <w:b/>
          <w:sz w:val="36"/>
          <w:szCs w:val="36"/>
        </w:rPr>
      </w:pPr>
      <w:r w:rsidRPr="0081286B">
        <w:rPr>
          <w:b/>
          <w:sz w:val="36"/>
          <w:szCs w:val="36"/>
        </w:rPr>
        <w:t>2018年12月31日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二〇一九年一月二十一日</w:t>
      </w:r>
    </w:p>
    <w:p w:rsidP="0011537B" w:rsidR="004061AC" w:rsidRDefault="004061AC" w:rsidRPr="00414345">
      <w:pPr>
        <w:pStyle w:val="1"/>
        <w:spacing w:afterLines="100"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基金托管人中国农业银行股份有限公司根据本基金合同规定，于2019年1月18日复核了本报告中的财务指标、净值表现和投资组合报告等内容，保证复核内容不存在虚假记载、误导性陈述或者重大遗漏。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本报告期自2018年10月1日起至12月31日止。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交银恒益灵活配置混合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004975</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004975</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2017年9月15日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135,633,319.50</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本基金在有效控制投资风险的前提下，通过积极主动的投资管理，力争获取超越业绩比较基准的投资收益，追求基金资产的长期稳定增值。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在保持总体风险水平相对稳定的基础上，力争获取投资组合的较高回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沪深300指数收益率×40%+中证综合债券指数收益率×60%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(2018年10月1日-2018年12月31日)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-7,275,665.85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-6,810,021.10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-0.0495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127,995,526.42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0.9437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-4.96%</w:t>
            </w:r>
          </w:p>
        </w:tc>
        <w:tc>
          <w:tcPr>
            <w:vAlign w:val="center"/>
          </w:tcPr>
          <w:p>
            <w:pPr>
              <w:jc w:val="center"/>
            </w:pPr>
            <w:r>
              <w:rPr>
                <w:color w:val="000000"/>
                <w:sz w:val="24"/>
                <w:szCs w:val="24"/>
              </w:rPr>
              <w:t>0.40%</w:t>
            </w:r>
          </w:p>
        </w:tc>
        <w:tc>
          <w:tcPr>
            <w:vAlign w:val="center"/>
          </w:tcPr>
          <w:p>
            <w:pPr>
              <w:jc w:val="center"/>
            </w:pPr>
            <w:r>
              <w:rPr>
                <w:color w:val="000000"/>
                <w:sz w:val="24"/>
                <w:szCs w:val="24"/>
              </w:rPr>
              <w:t>-3.53%</w:t>
            </w:r>
          </w:p>
        </w:tc>
        <w:tc>
          <w:tcPr>
            <w:vAlign w:val="center"/>
          </w:tcPr>
          <w:p>
            <w:pPr>
              <w:jc w:val="center"/>
            </w:pPr>
            <w:r>
              <w:rPr>
                <w:color w:val="000000"/>
                <w:sz w:val="24"/>
                <w:szCs w:val="24"/>
              </w:rPr>
              <w:t>0.65%</w:t>
            </w:r>
          </w:p>
        </w:tc>
        <w:tc>
          <w:tcPr>
            <w:vAlign w:val="center"/>
          </w:tcPr>
          <w:p>
            <w:pPr>
              <w:jc w:val="center"/>
            </w:pPr>
            <w:r>
              <w:rPr>
                <w:color w:val="000000"/>
                <w:sz w:val="24"/>
                <w:szCs w:val="24"/>
              </w:rPr>
              <w:t>-1.43%</w:t>
            </w:r>
          </w:p>
        </w:tc>
        <w:tc>
          <w:tcPr>
            <w:vAlign w:val="center"/>
          </w:tcPr>
          <w:p>
            <w:pPr>
              <w:jc w:val="center"/>
            </w:pPr>
            <w:r>
              <w:rPr>
                <w:color w:val="000000"/>
                <w:sz w:val="24"/>
                <w:szCs w:val="24"/>
              </w:rPr>
              <w:t>-0.25%</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交银施罗德恒益灵活配置混合型证券投资基金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2017年9月15日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2018年12月31日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基金合同生效日为2017年9月15日，截至报告期期末，本基金已完成建仓但报告期期末距建仓结束未满一年。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王少成</w:t>
            </w:r>
          </w:p>
        </w:tc>
        <w:tc>
          <w:tcPr>
            <w:vAlign w:val="center"/>
          </w:tcPr>
          <w:p>
            <w:pPr>
              <w:jc w:val="center"/>
            </w:pPr>
            <w:r>
              <w:rPr>
                <w:color w:val="000000"/>
                <w:sz w:val="24"/>
                <w:szCs w:val="24"/>
              </w:rPr>
              <w:t>交银成长混合、交银蓝筹混合、交银成长30混合、交银恒益灵活配置混合的基金经理，公司权益投资总监</w:t>
            </w:r>
          </w:p>
        </w:tc>
        <w:tc>
          <w:tcPr>
            <w:vAlign w:val="center"/>
          </w:tcPr>
          <w:p>
            <w:pPr>
              <w:jc w:val="center"/>
            </w:pPr>
            <w:r>
              <w:rPr>
                <w:color w:val="000000"/>
                <w:sz w:val="24"/>
                <w:szCs w:val="24"/>
              </w:rPr>
              <w:t>2018-08-24</w:t>
            </w:r>
          </w:p>
        </w:tc>
        <w:tc>
          <w:tcPr>
            <w:vAlign w:val="center"/>
          </w:tcPr>
          <w:p>
            <w:pPr>
              <w:jc w:val="center"/>
            </w:pPr>
            <w:r>
              <w:rPr>
                <w:color w:val="000000"/>
                <w:sz w:val="24"/>
                <w:szCs w:val="24"/>
              </w:rPr>
              <w:t>-</w:t>
            </w:r>
          </w:p>
        </w:tc>
        <w:tc>
          <w:tcPr>
            <w:vAlign w:val="center"/>
          </w:tcPr>
          <w:p>
            <w:pPr>
              <w:jc w:val="center"/>
            </w:pPr>
            <w:r>
              <w:rPr>
                <w:color w:val="000000"/>
                <w:sz w:val="24"/>
                <w:szCs w:val="24"/>
              </w:rPr>
              <w:t>14年</w:t>
            </w:r>
          </w:p>
        </w:tc>
        <w:tc>
          <w:tcPr>
            <w:vAlign w:val="center"/>
          </w:tcPr>
          <w:p>
            <w:pPr>
              <w:jc w:val="both"/>
            </w:pPr>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2010年9月至2012年10月担任东吴新创业股票型证券投资基金基金经理，2011年2月至2012年11月担任东吴中证新兴产业指数证券投资基金基金经理，2011年5月至2012年11月担任东吴价值成长双动力股票型证券投资基金基金经理。2012年加入交银施罗德基金管理有限公司，历任公司权益部副总经理。2013年3月21日至2015年8月14日担任交银施罗德先进制造混合型证券投资基金（原交银施罗德先进制造股票证券投资基金）基金经理，2013年5月29日至2015年8月14日担任交银施罗德先锋混合型证券投资基金（原交银施罗德先锋股票证券投资基金）基金经理，2015年11月7日至2018年5月15日担任交银施罗德荣和保本混合型证券投资基金的基金经理，2015年11月7日至2018年6月7日担任交银施罗德策略回报灵活配置混合型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四季度中美贸易战出现的缓和迹象，降低了外部风险。内部中国经济信用收缩进程可能已经过半，信用企稳甚至重回扩张的逻辑和共识正在累积。虽然依然面临三大攻坚战的挑战，房地产投资增速预计持续回落，但基建投资持续反弹，出口边际向好，消费增长依然在蓄势，经济增速逐步企稳虽然无疑，但拐头向上仍需内生动力。</w:t>
      </w:r>
    </w:p>
    <w:p>
      <w:pPr>
        <w:spacing w:before="29" w:line="288" w:lineRule="auto"/>
        <w:ind w:firstLine="480" w:firstLineChars="200"/>
        <w:rPr>
          <w:color w:val="000000"/>
          <w:sz w:val="24"/>
          <w:szCs w:val="24"/>
        </w:rPr>
      </w:pPr>
      <w:r>
        <w:rPr>
          <w:color w:val="000000"/>
          <w:sz w:val="24"/>
          <w:szCs w:val="24"/>
        </w:rPr>
        <w:t>四季度A股市场持续回调，基金整体保持较低仓位。供给侧改革政策回摆，金融去杠杆的深化，财政缺口的加大，外需放缓的加剧等多重因素共振使得前期多个强势行业板块出现景气回落，经历业绩和估值双杀，A股情绪非常悲观，有些交易明显过度拥挤。</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2019年一季度，我们看好受益于经济增速短期企稳和中期增长蓄势的行业板块。经济增速逐步企稳的共识在形成，需要社融和工业品价格数据持续确认。中期经济内生动力有赖于高端制造业和科技创新的支撑，这方面的相关的龙头公司预计将持续产生超额收益。</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 主要财务指标” 及“3.2.1本报告期基金份额净值增长率及其与同期业绩比较基准收益率的比较”部分披露。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rsidRPr="007B5F21">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tbl>
      <w:tblPr>
        <w:tblStyle w:val="af7"/>
        <w:tblW w:type="dxa" w:w="8897"/>
        <w:tblInd w:type="dxa" w:w="108"/>
        <w:tblLayout w:type="fixed"/>
        <w:tblLook w:val="04A0"/>
      </w:tblPr>
      <w:tblGrid>
        <w:gridCol w:w="720"/>
        <w:gridCol w:w="2824"/>
        <w:gridCol w:w="2552"/>
        <w:gridCol w:w="2801"/>
      </w:tblGrid>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824"/>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r w:rsidRPr="007B5F21">
              <w:rPr>
                <w:rFonts w:eastAsiaTheme="minorEastAsia"/>
                <w:color w:themeColor="text1" w:val="000000"/>
                <w:sz w:val="24"/>
                <w:szCs w:val="24"/>
              </w:rPr>
              <w:t>(</w:t>
            </w:r>
            <w:r w:rsidRPr="007B5F21">
              <w:rPr>
                <w:rFonts w:eastAsiaTheme="minorEastAsia"/>
                <w:color w:themeColor="text1" w:val="000000"/>
                <w:sz w:val="24"/>
                <w:szCs w:val="24"/>
              </w:rPr>
              <w:t>元</w:t>
            </w: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1</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23,665,891.88</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18.44</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23,665,891.88</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18.44</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17,006,958.36</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13.25</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17,006,958.36</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13.25</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824"/>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87,600,634.44</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68.26</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61,844.93</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0.05</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128,335,329.61</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rsidRPr="00F51C4E">
      <w:pPr>
        <w:rPr>
          <w:b/>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公允价值（元）</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5,585,705.60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4.36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7,079,768.70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5.53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5,453,430.00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4.26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5,440,112.58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4.25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106,875.00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23,665,891.88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18.49</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600256</w:t>
            </w:r>
          </w:p>
        </w:tc>
        <w:tc>
          <w:tcPr>
            <w:vAlign w:val="center"/>
          </w:tcPr>
          <w:p>
            <w:pPr>
              <w:jc w:val="center"/>
            </w:pPr>
            <w:r>
              <w:rPr>
                <w:color w:val="000000"/>
                <w:sz w:val="24"/>
                <w:szCs w:val="24"/>
              </w:rPr>
              <w:t>广汇能源</w:t>
            </w:r>
          </w:p>
        </w:tc>
        <w:tc>
          <w:tcPr>
            <w:vAlign w:val="center"/>
          </w:tcPr>
          <w:p>
            <w:pPr>
              <w:jc w:val="right"/>
            </w:pPr>
            <w:r>
              <w:rPr>
                <w:color w:val="000000"/>
                <w:sz w:val="24"/>
                <w:szCs w:val="24"/>
              </w:rPr>
              <w:t>1,485,560</w:t>
            </w:r>
          </w:p>
        </w:tc>
        <w:tc>
          <w:tcPr>
            <w:vAlign w:val="center"/>
          </w:tcPr>
          <w:p>
            <w:pPr>
              <w:jc w:val="right"/>
            </w:pPr>
            <w:r>
              <w:rPr>
                <w:color w:val="000000"/>
                <w:sz w:val="24"/>
                <w:szCs w:val="24"/>
              </w:rPr>
              <w:t>5,585,705.60</w:t>
            </w:r>
          </w:p>
        </w:tc>
        <w:tc>
          <w:tcPr>
            <w:vAlign w:val="center"/>
          </w:tcPr>
          <w:p>
            <w:pPr>
              <w:jc w:val="right"/>
            </w:pPr>
            <w:r>
              <w:rPr>
                <w:color w:val="000000"/>
                <w:sz w:val="24"/>
                <w:szCs w:val="24"/>
              </w:rPr>
              <w:t>4.36</w:t>
            </w:r>
          </w:p>
        </w:tc>
      </w:tr>
      <w:tr>
        <w:tc>
          <w:tcPr>
            <w:vAlign w:val="center"/>
          </w:tcPr>
          <w:p>
            <w:pPr>
              <w:jc w:val="center"/>
            </w:pPr>
            <w:r>
              <w:rPr>
                <w:color w:val="000000"/>
                <w:sz w:val="24"/>
                <w:szCs w:val="24"/>
              </w:rPr>
              <w:t>2</w:t>
            </w:r>
          </w:p>
        </w:tc>
        <w:tc>
          <w:tcPr>
            <w:vAlign w:val="center"/>
          </w:tcPr>
          <w:p>
            <w:pPr>
              <w:jc w:val="center"/>
            </w:pPr>
            <w:r>
              <w:rPr>
                <w:color w:val="000000"/>
                <w:sz w:val="24"/>
                <w:szCs w:val="24"/>
              </w:rPr>
              <w:t>601607</w:t>
            </w:r>
          </w:p>
        </w:tc>
        <w:tc>
          <w:tcPr>
            <w:vAlign w:val="center"/>
          </w:tcPr>
          <w:p>
            <w:pPr>
              <w:jc w:val="center"/>
            </w:pPr>
            <w:r>
              <w:rPr>
                <w:color w:val="000000"/>
                <w:sz w:val="24"/>
                <w:szCs w:val="24"/>
              </w:rPr>
              <w:t>上海医药</w:t>
            </w:r>
          </w:p>
        </w:tc>
        <w:tc>
          <w:tcPr>
            <w:vAlign w:val="center"/>
          </w:tcPr>
          <w:p>
            <w:pPr>
              <w:jc w:val="right"/>
            </w:pPr>
            <w:r>
              <w:rPr>
                <w:color w:val="000000"/>
                <w:sz w:val="24"/>
                <w:szCs w:val="24"/>
              </w:rPr>
              <w:t>320,790</w:t>
            </w:r>
          </w:p>
        </w:tc>
        <w:tc>
          <w:tcPr>
            <w:vAlign w:val="center"/>
          </w:tcPr>
          <w:p>
            <w:pPr>
              <w:jc w:val="right"/>
            </w:pPr>
            <w:r>
              <w:rPr>
                <w:color w:val="000000"/>
                <w:sz w:val="24"/>
                <w:szCs w:val="24"/>
              </w:rPr>
              <w:t>5,453,430.00</w:t>
            </w:r>
          </w:p>
        </w:tc>
        <w:tc>
          <w:tcPr>
            <w:vAlign w:val="center"/>
          </w:tcPr>
          <w:p>
            <w:pPr>
              <w:jc w:val="right"/>
            </w:pPr>
            <w:r>
              <w:rPr>
                <w:color w:val="000000"/>
                <w:sz w:val="24"/>
                <w:szCs w:val="24"/>
              </w:rPr>
              <w:t>4.26</w:t>
            </w:r>
          </w:p>
        </w:tc>
      </w:tr>
      <w:tr>
        <w:tc>
          <w:tcPr>
            <w:vAlign w:val="center"/>
          </w:tcPr>
          <w:p>
            <w:pPr>
              <w:jc w:val="center"/>
            </w:pPr>
            <w:r>
              <w:rPr>
                <w:color w:val="000000"/>
                <w:sz w:val="24"/>
                <w:szCs w:val="24"/>
              </w:rPr>
              <w:t>3</w:t>
            </w:r>
          </w:p>
        </w:tc>
        <w:tc>
          <w:tcPr>
            <w:vAlign w:val="center"/>
          </w:tcPr>
          <w:p>
            <w:pPr>
              <w:jc w:val="center"/>
            </w:pPr>
            <w:r>
              <w:rPr>
                <w:color w:val="000000"/>
                <w:sz w:val="24"/>
                <w:szCs w:val="24"/>
              </w:rPr>
              <w:t>600036</w:t>
            </w:r>
          </w:p>
        </w:tc>
        <w:tc>
          <w:tcPr>
            <w:vAlign w:val="center"/>
          </w:tcPr>
          <w:p>
            <w:pPr>
              <w:jc w:val="center"/>
            </w:pPr>
            <w:r>
              <w:rPr>
                <w:color w:val="000000"/>
                <w:sz w:val="24"/>
                <w:szCs w:val="24"/>
              </w:rPr>
              <w:t>招商银行</w:t>
            </w:r>
          </w:p>
        </w:tc>
        <w:tc>
          <w:tcPr>
            <w:vAlign w:val="center"/>
          </w:tcPr>
          <w:p>
            <w:pPr>
              <w:jc w:val="right"/>
            </w:pPr>
            <w:r>
              <w:rPr>
                <w:color w:val="000000"/>
                <w:sz w:val="24"/>
                <w:szCs w:val="24"/>
              </w:rPr>
              <w:t>211,300</w:t>
            </w:r>
          </w:p>
        </w:tc>
        <w:tc>
          <w:tcPr>
            <w:vAlign w:val="center"/>
          </w:tcPr>
          <w:p>
            <w:pPr>
              <w:jc w:val="right"/>
            </w:pPr>
            <w:r>
              <w:rPr>
                <w:color w:val="000000"/>
                <w:sz w:val="24"/>
                <w:szCs w:val="24"/>
              </w:rPr>
              <w:t>5,324,760.00</w:t>
            </w:r>
          </w:p>
        </w:tc>
        <w:tc>
          <w:tcPr>
            <w:vAlign w:val="center"/>
          </w:tcPr>
          <w:p>
            <w:pPr>
              <w:jc w:val="right"/>
            </w:pPr>
            <w:r>
              <w:rPr>
                <w:color w:val="000000"/>
                <w:sz w:val="24"/>
                <w:szCs w:val="24"/>
              </w:rPr>
              <w:t>4.16</w:t>
            </w:r>
          </w:p>
        </w:tc>
      </w:tr>
      <w:tr>
        <w:tc>
          <w:tcPr>
            <w:vAlign w:val="center"/>
          </w:tcPr>
          <w:p>
            <w:pPr>
              <w:jc w:val="center"/>
            </w:pPr>
            <w:r>
              <w:rPr>
                <w:color w:val="000000"/>
                <w:sz w:val="24"/>
                <w:szCs w:val="24"/>
              </w:rPr>
              <w:t>4</w:t>
            </w:r>
          </w:p>
        </w:tc>
        <w:tc>
          <w:tcPr>
            <w:vAlign w:val="center"/>
          </w:tcPr>
          <w:p>
            <w:pPr>
              <w:jc w:val="center"/>
            </w:pPr>
            <w:r>
              <w:rPr>
                <w:color w:val="000000"/>
                <w:sz w:val="24"/>
                <w:szCs w:val="24"/>
              </w:rPr>
              <w:t>000538</w:t>
            </w:r>
          </w:p>
        </w:tc>
        <w:tc>
          <w:tcPr>
            <w:vAlign w:val="center"/>
          </w:tcPr>
          <w:p>
            <w:pPr>
              <w:jc w:val="center"/>
            </w:pPr>
            <w:r>
              <w:rPr>
                <w:color w:val="000000"/>
                <w:sz w:val="24"/>
                <w:szCs w:val="24"/>
              </w:rPr>
              <w:t>云南白药</w:t>
            </w:r>
          </w:p>
        </w:tc>
        <w:tc>
          <w:tcPr>
            <w:vAlign w:val="center"/>
          </w:tcPr>
          <w:p>
            <w:pPr>
              <w:jc w:val="right"/>
            </w:pPr>
            <w:r>
              <w:rPr>
                <w:color w:val="000000"/>
                <w:sz w:val="24"/>
                <w:szCs w:val="24"/>
              </w:rPr>
              <w:t>57,570</w:t>
            </w:r>
          </w:p>
        </w:tc>
        <w:tc>
          <w:tcPr>
            <w:vAlign w:val="center"/>
          </w:tcPr>
          <w:p>
            <w:pPr>
              <w:jc w:val="right"/>
            </w:pPr>
            <w:r>
              <w:rPr>
                <w:color w:val="000000"/>
                <w:sz w:val="24"/>
                <w:szCs w:val="24"/>
              </w:rPr>
              <w:t>4,257,877.20</w:t>
            </w:r>
          </w:p>
        </w:tc>
        <w:tc>
          <w:tcPr>
            <w:vAlign w:val="center"/>
          </w:tcPr>
          <w:p>
            <w:pPr>
              <w:jc w:val="right"/>
            </w:pPr>
            <w:r>
              <w:rPr>
                <w:color w:val="000000"/>
                <w:sz w:val="24"/>
                <w:szCs w:val="24"/>
              </w:rPr>
              <w:t>3.33</w:t>
            </w:r>
          </w:p>
        </w:tc>
      </w:tr>
      <w:tr>
        <w:tc>
          <w:tcPr>
            <w:vAlign w:val="center"/>
          </w:tcPr>
          <w:p>
            <w:pPr>
              <w:jc w:val="center"/>
            </w:pPr>
            <w:r>
              <w:rPr>
                <w:color w:val="000000"/>
                <w:sz w:val="24"/>
                <w:szCs w:val="24"/>
              </w:rPr>
              <w:t>5</w:t>
            </w:r>
          </w:p>
        </w:tc>
        <w:tc>
          <w:tcPr>
            <w:vAlign w:val="center"/>
          </w:tcPr>
          <w:p>
            <w:pPr>
              <w:jc w:val="center"/>
            </w:pPr>
            <w:r>
              <w:rPr>
                <w:color w:val="000000"/>
                <w:sz w:val="24"/>
                <w:szCs w:val="24"/>
              </w:rPr>
              <w:t>300146</w:t>
            </w:r>
          </w:p>
        </w:tc>
        <w:tc>
          <w:tcPr>
            <w:vAlign w:val="center"/>
          </w:tcPr>
          <w:p>
            <w:pPr>
              <w:jc w:val="center"/>
            </w:pPr>
            <w:r>
              <w:rPr>
                <w:color w:val="000000"/>
                <w:sz w:val="24"/>
                <w:szCs w:val="24"/>
              </w:rPr>
              <w:t>汤臣倍健</w:t>
            </w:r>
          </w:p>
        </w:tc>
        <w:tc>
          <w:tcPr>
            <w:vAlign w:val="center"/>
          </w:tcPr>
          <w:p>
            <w:pPr>
              <w:jc w:val="right"/>
            </w:pPr>
            <w:r>
              <w:rPr>
                <w:color w:val="000000"/>
                <w:sz w:val="24"/>
                <w:szCs w:val="24"/>
              </w:rPr>
              <w:t>124,904</w:t>
            </w:r>
          </w:p>
        </w:tc>
        <w:tc>
          <w:tcPr>
            <w:vAlign w:val="center"/>
          </w:tcPr>
          <w:p>
            <w:pPr>
              <w:jc w:val="right"/>
            </w:pPr>
            <w:r>
              <w:rPr>
                <w:color w:val="000000"/>
                <w:sz w:val="24"/>
                <w:szCs w:val="24"/>
              </w:rPr>
              <w:t>2,122,118.96</w:t>
            </w:r>
          </w:p>
        </w:tc>
        <w:tc>
          <w:tcPr>
            <w:vAlign w:val="center"/>
          </w:tcPr>
          <w:p>
            <w:pPr>
              <w:jc w:val="right"/>
            </w:pPr>
            <w:r>
              <w:rPr>
                <w:color w:val="000000"/>
                <w:sz w:val="24"/>
                <w:szCs w:val="24"/>
              </w:rPr>
              <w:t>1.66</w:t>
            </w:r>
          </w:p>
        </w:tc>
      </w:tr>
      <w:tr>
        <w:tc>
          <w:tcPr>
            <w:vAlign w:val="center"/>
          </w:tcPr>
          <w:p>
            <w:pPr>
              <w:jc w:val="center"/>
            </w:pPr>
            <w:r>
              <w:rPr>
                <w:color w:val="000000"/>
                <w:sz w:val="24"/>
                <w:szCs w:val="24"/>
              </w:rPr>
              <w:t>6</w:t>
            </w:r>
          </w:p>
        </w:tc>
        <w:tc>
          <w:tcPr>
            <w:vAlign w:val="center"/>
          </w:tcPr>
          <w:p>
            <w:pPr>
              <w:jc w:val="center"/>
            </w:pPr>
            <w:r>
              <w:rPr>
                <w:color w:val="000000"/>
                <w:sz w:val="24"/>
                <w:szCs w:val="24"/>
              </w:rPr>
              <w:t>300760</w:t>
            </w:r>
          </w:p>
        </w:tc>
        <w:tc>
          <w:tcPr>
            <w:vAlign w:val="center"/>
          </w:tcPr>
          <w:p>
            <w:pPr>
              <w:jc w:val="center"/>
            </w:pPr>
            <w:r>
              <w:rPr>
                <w:color w:val="000000"/>
                <w:sz w:val="24"/>
                <w:szCs w:val="24"/>
              </w:rPr>
              <w:t>迈瑞医疗</w:t>
            </w:r>
          </w:p>
        </w:tc>
        <w:tc>
          <w:tcPr>
            <w:vAlign w:val="center"/>
          </w:tcPr>
          <w:p>
            <w:pPr>
              <w:jc w:val="right"/>
            </w:pPr>
            <w:r>
              <w:rPr>
                <w:color w:val="000000"/>
                <w:sz w:val="24"/>
                <w:szCs w:val="24"/>
              </w:rPr>
              <w:t>6,407</w:t>
            </w:r>
          </w:p>
        </w:tc>
        <w:tc>
          <w:tcPr>
            <w:vAlign w:val="center"/>
          </w:tcPr>
          <w:p>
            <w:pPr>
              <w:jc w:val="right"/>
            </w:pPr>
            <w:r>
              <w:rPr>
                <w:color w:val="000000"/>
                <w:sz w:val="24"/>
                <w:szCs w:val="24"/>
              </w:rPr>
              <w:t>699,772.54</w:t>
            </w:r>
          </w:p>
        </w:tc>
        <w:tc>
          <w:tcPr>
            <w:vAlign w:val="center"/>
          </w:tcPr>
          <w:p>
            <w:pPr>
              <w:jc w:val="right"/>
            </w:pPr>
            <w:r>
              <w:rPr>
                <w:color w:val="000000"/>
                <w:sz w:val="24"/>
                <w:szCs w:val="24"/>
              </w:rPr>
              <w:t>0.55</w:t>
            </w:r>
          </w:p>
        </w:tc>
      </w:tr>
      <w:tr>
        <w:tc>
          <w:tcPr>
            <w:vAlign w:val="center"/>
          </w:tcPr>
          <w:p>
            <w:pPr>
              <w:jc w:val="center"/>
            </w:pPr>
            <w:r>
              <w:rPr>
                <w:color w:val="000000"/>
                <w:sz w:val="24"/>
                <w:szCs w:val="24"/>
              </w:rPr>
              <w:t>7</w:t>
            </w:r>
          </w:p>
        </w:tc>
        <w:tc>
          <w:tcPr>
            <w:vAlign w:val="center"/>
          </w:tcPr>
          <w:p>
            <w:pPr>
              <w:jc w:val="center"/>
            </w:pPr>
            <w:r>
              <w:rPr>
                <w:color w:val="000000"/>
                <w:sz w:val="24"/>
                <w:szCs w:val="24"/>
              </w:rPr>
              <w:t>601319</w:t>
            </w:r>
          </w:p>
        </w:tc>
        <w:tc>
          <w:tcPr>
            <w:vAlign w:val="center"/>
          </w:tcPr>
          <w:p>
            <w:pPr>
              <w:jc w:val="center"/>
            </w:pPr>
            <w:r>
              <w:rPr>
                <w:color w:val="000000"/>
                <w:sz w:val="24"/>
                <w:szCs w:val="24"/>
              </w:rPr>
              <w:t>中国人保</w:t>
            </w:r>
          </w:p>
        </w:tc>
        <w:tc>
          <w:tcPr>
            <w:vAlign w:val="center"/>
          </w:tcPr>
          <w:p>
            <w:pPr>
              <w:jc w:val="right"/>
            </w:pPr>
            <w:r>
              <w:rPr>
                <w:color w:val="000000"/>
                <w:sz w:val="24"/>
                <w:szCs w:val="24"/>
              </w:rPr>
              <w:t>21,441</w:t>
            </w:r>
          </w:p>
        </w:tc>
        <w:tc>
          <w:tcPr>
            <w:vAlign w:val="center"/>
          </w:tcPr>
          <w:p>
            <w:pPr>
              <w:jc w:val="right"/>
            </w:pPr>
            <w:r>
              <w:rPr>
                <w:color w:val="000000"/>
                <w:sz w:val="24"/>
                <w:szCs w:val="24"/>
              </w:rPr>
              <w:t>115,352.58</w:t>
            </w:r>
          </w:p>
        </w:tc>
        <w:tc>
          <w:tcPr>
            <w:vAlign w:val="center"/>
          </w:tcPr>
          <w:p>
            <w:pPr>
              <w:jc w:val="right"/>
            </w:pPr>
            <w:r>
              <w:rPr>
                <w:color w:val="000000"/>
                <w:sz w:val="24"/>
                <w:szCs w:val="24"/>
              </w:rPr>
              <w:t>0.09</w:t>
            </w:r>
          </w:p>
        </w:tc>
      </w:tr>
      <w:tr>
        <w:tc>
          <w:tcPr>
            <w:vAlign w:val="center"/>
          </w:tcPr>
          <w:p>
            <w:pPr>
              <w:jc w:val="center"/>
            </w:pPr>
            <w:r>
              <w:rPr>
                <w:color w:val="000000"/>
                <w:sz w:val="24"/>
                <w:szCs w:val="24"/>
              </w:rPr>
              <w:t>8</w:t>
            </w:r>
          </w:p>
        </w:tc>
        <w:tc>
          <w:tcPr>
            <w:vAlign w:val="center"/>
          </w:tcPr>
          <w:p>
            <w:pPr>
              <w:jc w:val="center"/>
            </w:pPr>
            <w:r>
              <w:rPr>
                <w:color w:val="000000"/>
                <w:sz w:val="24"/>
                <w:szCs w:val="24"/>
              </w:rPr>
              <w:t>300347</w:t>
            </w:r>
          </w:p>
        </w:tc>
        <w:tc>
          <w:tcPr>
            <w:vAlign w:val="center"/>
          </w:tcPr>
          <w:p>
            <w:pPr>
              <w:jc w:val="center"/>
            </w:pPr>
            <w:r>
              <w:rPr>
                <w:color w:val="000000"/>
                <w:sz w:val="24"/>
                <w:szCs w:val="24"/>
              </w:rPr>
              <w:t>泰格医药</w:t>
            </w:r>
          </w:p>
        </w:tc>
        <w:tc>
          <w:tcPr>
            <w:vAlign w:val="center"/>
          </w:tcPr>
          <w:p>
            <w:pPr>
              <w:jc w:val="right"/>
            </w:pPr>
            <w:r>
              <w:rPr>
                <w:color w:val="000000"/>
                <w:sz w:val="24"/>
                <w:szCs w:val="24"/>
              </w:rPr>
              <w:t>2,500</w:t>
            </w:r>
          </w:p>
        </w:tc>
        <w:tc>
          <w:tcPr>
            <w:vAlign w:val="center"/>
          </w:tcPr>
          <w:p>
            <w:pPr>
              <w:jc w:val="right"/>
            </w:pPr>
            <w:r>
              <w:rPr>
                <w:color w:val="000000"/>
                <w:sz w:val="24"/>
                <w:szCs w:val="24"/>
              </w:rPr>
              <w:t>106,875.00</w:t>
            </w:r>
          </w:p>
        </w:tc>
        <w:tc>
          <w:tcPr>
            <w:vAlign w:val="center"/>
          </w:tcPr>
          <w:p>
            <w:pPr>
              <w:jc w:val="right"/>
            </w:pPr>
            <w:r>
              <w:rPr>
                <w:color w:val="000000"/>
                <w:sz w:val="24"/>
                <w:szCs w:val="24"/>
              </w:rPr>
              <w:t>0.08</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type="dxa" w:w="8868"/>
        <w:jc w:val="center"/>
        <w:tblLayout w:type="fixed"/>
        <w:tblLook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9,940,000.00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7.77</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7,066,958.36</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5.52</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17,006,958.36</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13.29</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type="dxa" w:w="8868"/>
        <w:jc w:val="center"/>
        <w:tblLayout w:type="fixed"/>
        <w:tblCellMar>
          <w:top w:type="dxa" w:w="57"/>
          <w:bottom w:type="dxa" w:w="57"/>
        </w:tblCellMar>
        <w:tblLook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189953</w:t>
            </w:r>
          </w:p>
        </w:tc>
        <w:tc>
          <w:tcPr>
            <w:vAlign w:val="center"/>
          </w:tcPr>
          <w:p>
            <w:pPr>
              <w:jc w:val="center"/>
            </w:pPr>
            <w:r>
              <w:rPr>
                <w:color w:val="000000"/>
                <w:sz w:val="24"/>
                <w:szCs w:val="24"/>
              </w:rPr>
              <w:t>18贴现国债53</w:t>
            </w:r>
          </w:p>
        </w:tc>
        <w:tc>
          <w:tcPr>
            <w:vAlign w:val="center"/>
          </w:tcPr>
          <w:p>
            <w:pPr>
              <w:jc w:val="right"/>
            </w:pPr>
            <w:r>
              <w:rPr>
                <w:color w:val="000000"/>
                <w:sz w:val="24"/>
                <w:szCs w:val="24"/>
              </w:rPr>
              <w:t>100,000</w:t>
            </w:r>
          </w:p>
        </w:tc>
        <w:tc>
          <w:tcPr>
            <w:vAlign w:val="center"/>
          </w:tcPr>
          <w:p>
            <w:pPr>
              <w:jc w:val="right"/>
            </w:pPr>
            <w:r>
              <w:rPr>
                <w:color w:val="000000"/>
                <w:sz w:val="24"/>
                <w:szCs w:val="24"/>
              </w:rPr>
              <w:t>9,940,000.00</w:t>
            </w:r>
          </w:p>
        </w:tc>
        <w:tc>
          <w:tcPr>
            <w:vAlign w:val="center"/>
          </w:tcPr>
          <w:p>
            <w:pPr>
              <w:jc w:val="right"/>
            </w:pPr>
            <w:r>
              <w:rPr>
                <w:color w:val="000000"/>
                <w:sz w:val="24"/>
                <w:szCs w:val="24"/>
              </w:rPr>
              <w:t>7.77</w:t>
            </w:r>
          </w:p>
        </w:tc>
      </w:tr>
      <w:tr>
        <w:tc>
          <w:tcPr>
            <w:vAlign w:val="center"/>
          </w:tcPr>
          <w:p>
            <w:pPr>
              <w:jc w:val="center"/>
            </w:pPr>
            <w:r>
              <w:rPr>
                <w:color w:val="000000"/>
                <w:sz w:val="24"/>
                <w:szCs w:val="24"/>
              </w:rPr>
              <w:t>2</w:t>
            </w:r>
          </w:p>
        </w:tc>
        <w:tc>
          <w:tcPr>
            <w:vAlign w:val="center"/>
          </w:tcPr>
          <w:p>
            <w:pPr>
              <w:jc w:val="center"/>
            </w:pPr>
            <w:r>
              <w:rPr>
                <w:color w:val="000000"/>
                <w:sz w:val="24"/>
                <w:szCs w:val="24"/>
              </w:rPr>
              <w:t>128024</w:t>
            </w:r>
          </w:p>
        </w:tc>
        <w:tc>
          <w:tcPr>
            <w:vAlign w:val="center"/>
          </w:tcPr>
          <w:p>
            <w:pPr>
              <w:jc w:val="center"/>
            </w:pPr>
            <w:r>
              <w:rPr>
                <w:color w:val="000000"/>
                <w:sz w:val="24"/>
                <w:szCs w:val="24"/>
              </w:rPr>
              <w:t>宁行转债</w:t>
            </w:r>
          </w:p>
        </w:tc>
        <w:tc>
          <w:tcPr>
            <w:vAlign w:val="center"/>
          </w:tcPr>
          <w:p>
            <w:pPr>
              <w:jc w:val="right"/>
            </w:pPr>
            <w:r>
              <w:rPr>
                <w:color w:val="000000"/>
                <w:sz w:val="24"/>
                <w:szCs w:val="24"/>
              </w:rPr>
              <w:t>66,682</w:t>
            </w:r>
          </w:p>
        </w:tc>
        <w:tc>
          <w:tcPr>
            <w:vAlign w:val="center"/>
          </w:tcPr>
          <w:p>
            <w:pPr>
              <w:jc w:val="right"/>
            </w:pPr>
            <w:r>
              <w:rPr>
                <w:color w:val="000000"/>
                <w:sz w:val="24"/>
                <w:szCs w:val="24"/>
              </w:rPr>
              <w:t>7,066,958.36</w:t>
            </w:r>
          </w:p>
        </w:tc>
        <w:tc>
          <w:tcPr>
            <w:vAlign w:val="center"/>
          </w:tcPr>
          <w:p>
            <w:pPr>
              <w:jc w:val="right"/>
            </w:pPr>
            <w:r>
              <w:rPr>
                <w:color w:val="000000"/>
                <w:sz w:val="24"/>
                <w:szCs w:val="24"/>
              </w:rPr>
              <w:t>5.52</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sz w:val="24"/>
          <w:szCs w:val="24"/>
        </w:rPr>
      </w:pP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lastRenderedPageBreak/>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horzAnchor="margin" w:leftFromText="180" w:rightFromText="180" w:tblpXSpec="center" w:tblpY="265" w:vertAnchor="text"/>
        <w:tblW w:type="dxa" w:w="8868"/>
        <w:jc w:val="center"/>
        <w:tblLayout w:type="fixed"/>
        <w:tblCellMar>
          <w:top w:type="dxa" w:w="-1"/>
          <w:bottom w:type="dxa" w:w="-1"/>
        </w:tblCellMar>
        <w:tblLook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14,298.88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46,847.10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698.95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61,844.93</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tbl>
      <w:tblPr>
        <w:tblStyle w:val="af7"/>
        <w:tblW w:type="dxa" w:w="8868"/>
        <w:jc w:val="center"/>
        <w:tblLayout w:type="fixed"/>
        <w:tblCellMar>
          <w:top w:type="dxa" w:w="57"/>
          <w:bottom w:type="dxa" w:w="57"/>
        </w:tblCellMar>
        <w:tblLook w:val="04A0"/>
      </w:tblPr>
      <w:tblGrid>
        <w:gridCol w:w="1883"/>
        <w:gridCol w:w="1801"/>
        <w:gridCol w:w="1727"/>
        <w:gridCol w:w="1768"/>
        <w:gridCol w:w="1689"/>
      </w:tblGrid>
      <w:tr w:rsidR="003E62FB" w:rsidRPr="00414345" w:rsidTr="00A324F4">
        <w:trPr>
          <w:jc w:val="center"/>
        </w:trPr>
        <w:tc>
          <w:tcPr>
            <w:tcW w:type="dxa" w:w="180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729"/>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65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69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2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128024</w:t>
            </w:r>
          </w:p>
        </w:tc>
        <w:tc>
          <w:tcPr>
            <w:vAlign w:val="center"/>
          </w:tcPr>
          <w:p>
            <w:pPr>
              <w:jc w:val="center"/>
            </w:pPr>
            <w:r>
              <w:rPr>
                <w:color w:val="000000"/>
                <w:sz w:val="24"/>
                <w:szCs w:val="24"/>
              </w:rPr>
              <w:t>宁行转债</w:t>
            </w:r>
          </w:p>
        </w:tc>
        <w:tc>
          <w:tcPr>
            <w:vAlign w:val="center"/>
          </w:tcPr>
          <w:p>
            <w:pPr>
              <w:jc w:val="right"/>
            </w:pPr>
            <w:r>
              <w:rPr>
                <w:color w:val="000000"/>
                <w:sz w:val="24"/>
                <w:szCs w:val="24"/>
              </w:rPr>
              <w:t>7,066,958.36</w:t>
            </w:r>
          </w:p>
        </w:tc>
        <w:tc>
          <w:tcPr>
            <w:vAlign w:val="center"/>
          </w:tcPr>
          <w:p>
            <w:pPr>
              <w:jc w:val="right"/>
            </w:pPr>
            <w:r>
              <w:rPr>
                <w:color w:val="000000"/>
                <w:sz w:val="24"/>
                <w:szCs w:val="24"/>
              </w:rPr>
              <w:t>5.52</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11537B" w:rsidR="001F3E2A" w:rsidRDefault="001F3E2A" w:rsidRPr="00575270">
      <w:pPr>
        <w:pStyle w:val="1"/>
        <w:spacing w:afterLines="100" w:beforeLines="100" w:line="360" w:lineRule="auto"/>
        <w:jc w:val="center"/>
        <w:rPr>
          <w:rFonts w:eastAsiaTheme="minorEastAsia"/>
          <w:color w:themeColor="text1" w:val="000000"/>
          <w:kern w:val="0"/>
          <w:sz w:val="24"/>
          <w:szCs w:val="24"/>
        </w:rPr>
      </w:pPr>
      <w:r w:rsidRPr="00575270">
        <w:rPr>
          <w:rFonts w:eastAsiaTheme="minorEastAsia"/>
          <w:color w:themeColor="text1" w:val="000000"/>
          <w:kern w:val="0"/>
          <w:sz w:val="24"/>
          <w:szCs w:val="24"/>
        </w:rPr>
        <w:lastRenderedPageBreak/>
        <w:t>§6</w:t>
      </w:r>
      <w:r w:rsidRPr="00575270">
        <w:rPr>
          <w:rFonts w:eastAsiaTheme="minorEastAsia" w:hint="eastAsia"/>
          <w:color w:themeColor="text1" w:val="000000"/>
          <w:kern w:val="0"/>
          <w:sz w:val="24"/>
          <w:szCs w:val="24"/>
        </w:rPr>
        <w:t xml:space="preserve">  </w:t>
      </w:r>
      <w:r w:rsidRPr="00575270">
        <w:rPr>
          <w:rFonts w:eastAsiaTheme="minorEastAsia" w:hint="eastAsia"/>
          <w:color w:themeColor="text1" w:val="000000"/>
          <w:kern w:val="0"/>
          <w:sz w:val="24"/>
          <w:szCs w:val="24"/>
        </w:rPr>
        <w:t>基金中基金</w:t>
      </w:r>
    </w:p>
    <w:p w:rsidP="001F3E2A" w:rsidR="001F3E2A" w:rsidRDefault="001F3E2A" w:rsidRPr="00575270">
      <w:pPr>
        <w:adjustRightInd w:val="0"/>
        <w:snapToGrid w:val="0"/>
        <w:spacing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1</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报告期末按公允价值占基金资产净值比例大小排序的前十名基金投资明细</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本基金本报告期末未持有基金。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2</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当期交易及持有基金产生的费用</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本基金本报告期内未交易或持有基金。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3</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本报告期持有的基金发生的重大影响事件</w:t>
      </w:r>
    </w:p>
    <w:tbl>
      <w:tblPr>
        <w:tblStyle w:val="af7"/>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val="04A0"/>
      </w:tblPr>
      <w:tblGrid>
        <w:gridCol w:w="9242"/>
      </w:tblGrid>
      <w:tr w:rsidR="001F3E2A" w:rsidRPr="00575270" w:rsidTr="00D9393A">
        <w:tc>
          <w:tcPr>
            <w:tcW w:type="dxa" w:w="9036"/>
          </w:tcPr>
          <w:p w:rsidP="00CD14C0"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
            </w: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无。</w:t>
            </w:r>
          </w:p>
        </w:tc>
      </w:tr>
    </w:tbl>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Lines="100" w:beforeLines="100" w:line="360" w:lineRule="auto"/>
        <w:jc w:val="center"/>
        <w:rPr>
          <w:rFonts w:eastAsiaTheme="minorEastAsia"/>
          <w:color w:themeColor="text1" w:val="000000"/>
          <w:kern w:val="0"/>
          <w:sz w:val="24"/>
          <w:szCs w:val="24"/>
        </w:rPr>
      </w:pPr>
      <w:bookmarkStart w:id="2" w:name="_GoBack"/>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7</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bookmarkEnd w:id="2"/>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139,873,543.90</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343,107.04</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4,583,331.44</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135,633,319.50</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Lines="100"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8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8.1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Lines="100"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1、中国证监会准予交银施罗德恒益灵活配置混合型证券投资基金募集注册的文件；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2、《交银施罗德恒益灵活配置混合型证券投资基金基金合同》；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3、《交银施罗德恒益灵活配置混合型证券投资基金招募说明书》；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4、《交银施罗德恒益灵活配置混合型证券投资基金托管协议》；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5、关于申请募集注册交银施罗德恒益灵活配置混合型证券投资基金的法律意见书；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8、报告期内交银施罗德恒益灵活配置混合型证券投资基金在指定报刊上各项公告的原稿。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11537B">
      <w:rPr>
        <w:noProof/>
        <w:kern w:val="0"/>
        <w:szCs w:val="21"/>
      </w:rPr>
      <w:t>19</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11537B">
      <w:rPr>
        <w:noProof/>
        <w:kern w:val="0"/>
        <w:szCs w:val="21"/>
      </w:rPr>
      <w:t>25</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P="00876D65" w:rsidR="004B2AF4" w:rsidRDefault="004B2AF4">
      <w:r>
        <w:separator/>
      </w:r>
    </w:p>
  </w:footnote>
  <w:footnote w:id="0" w:type="continuationSeparator">
    <w:p w:rsidP="00876D65" w:rsidR="004B2AF4" w:rsidRDefault="004B2AF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090A26" w:rsidR="00171EF0" w:rsidRDefault="00DC456F" w:rsidRPr="00DC456F">
    <w:pPr>
      <w:pStyle w:val="a9"/>
      <w:pBdr>
        <w:bottom w:color="auto" w:space="0" w:sz="6" w:val="single"/>
      </w:pBdr>
      <w:jc w:val="right"/>
      <w:rPr>
        <w:sz w:val="24"/>
        <w:szCs w:val="24"/>
      </w:rPr>
    </w:pPr>
    <w:r w:rsidRPr="003E676C">
      <w:rPr>
        <w:sz w:val="24"/>
        <w:szCs w:val="24"/>
      </w:rPr>
      <w:t>交银施罗德恒益灵活配置混合型证券投资基金2018年第4季度报告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nhideWhenUsed="0"/>
    <w:lsdException w:name="heading 2" w:qFormat="1"/>
    <w:lsdException w:name="heading 3" w:qFormat="1"/>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uiPriority="35"/>
    <w:lsdException w:name="footnote reference" w:uiPriority="0"/>
    <w:lsdException w:name="Title" w:qFormat="1" w:semiHidden="0" w:unhideWhenUsed="0"/>
    <w:lsdException w:name="Default Paragraph Font" w:uiPriority="1"/>
    <w:lsdException w:name="Subtitle" w:qFormat="1" w:semiHidden="0" w:uiPriority="11" w:unhideWhenUsed="0"/>
    <w:lsdException w:name="Date" w:uiPriority="0"/>
    <w:lsdException w:name="Strong" w:qFormat="1" w:semiHidden="0" w:uiPriority="22" w:unhideWhenUsed="0"/>
    <w:lsdException w:name="Emphasis" w:qFormat="1" w:semiHidden="0" w:uiPriority="20" w:unhideWhenUsed="0"/>
    <w:lsdException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65BAF-6A5D-4E6F-B945-BE15026D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25</Pages>
  <Words>4136</Words>
  <Characters>23578</Characters>
  <Application>Microsoft Office Word</Application>
  <DocSecurity>0</DocSecurity>
  <Lines>196</Lines>
  <Paragraphs>55</Paragraphs>
  <ScaleCrop>false</ScaleCrop>
  <Company/>
  <LinksUpToDate>false</LinksUpToDate>
  <CharactersWithSpaces>27659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Administrator</cp:lastModifiedBy>
  <dcterms:modified xsi:type="dcterms:W3CDTF">2018-09-13T02:58:00Z</dcterms:modified>
  <cp:revision>578</cp:revision>
</cp:coreProperties>
</file>