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交银施罗德活期通货币市场基金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2018年第4季度报告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r w:rsidRPr="001E1B20">
        <w:rPr>
          <w:b/>
          <w:color w:val="000000"/>
          <w:sz w:val="24"/>
        </w:rPr>
        <w:t/>
      </w:r>
      <w:proofErr w:type="spell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r w:rsidRPr="001E1B20">
        <w:rPr>
          <w:b/>
          <w:color w:val="000000"/>
          <w:sz w:val="24"/>
        </w:rPr>
        <w:t/>
      </w:r>
      <w:proofErr w:type="spellEnd"/>
      <w:r w:rsidRPr="001E1B20">
        <w:rPr>
          <w:b/>
          <w:color w:val="000000"/>
          <w:sz w:val="24"/>
        </w:rPr>
        <w:t>中信建投证券股份有限公司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r w:rsidR="00EF56FA" w:rsidRPr="001E1B20">
        <w:rPr>
          <w:b/>
          <w:color w:val="000000"/>
          <w:sz w:val="24"/>
        </w:rPr>
        <w:t/>
      </w:r>
      <w:r w:rsidR="00D87D00" w:rsidRPr="001E1B20">
        <w:rPr>
          <w:b/>
          <w:color w:val="000000"/>
          <w:sz w:val="24"/>
        </w:rPr>
        <w:t/>
      </w:r>
      <w:proofErr w:type="spellEnd"/>
      <w:r w:rsidR="00EF56FA" w:rsidRPr="001E1B20">
        <w:rPr>
          <w:b/>
          <w:color w:val="000000"/>
          <w:sz w:val="24"/>
        </w:rPr>
        <w:t>二〇一九年一月二十一日</w:t>
      </w:r>
    </w:p>
    <w:p w:rsidP="00841EB4" w:rsidR="00902E3F" w:rsidRDefault="00902E3F" w:rsidRPr="000E4C40">
      <w:pPr>
        <w:pStyle w:val="1"/>
        <w:spacing w:afterLines="100"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基金托管人中信建投证券股份有限公司根据本基金合同规定，于2019年1月18日复核了本报告中的财务指标、净值表现和投资组合报告等内容，保证复核内容不存在虚假记载、误导性陈述或者重大遗漏。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本报告期自2018年10月1日起至12月31日止。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交银活期通货币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003042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2016年7月27日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38,698,496,665.38</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中信建投证券股份有限公司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交银活期通货币A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交银活期通货币E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003042</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003043</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21,397,072,050.70</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17,301,424,614.68</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2018年10月1日-</w:t>
            </w:r>
            <w:proofErr w:type="spellStart"/>
            <w:r w:rsidRPr="000E4C40">
              <w:rPr>
                <w:color w:val="000000"/>
                <w:sz w:val="24"/>
              </w:rPr>
              <w:t/>
            </w:r>
            <w:proofErr w:type="spellEnd"/>
            <w:r w:rsidRPr="000E4C40">
              <w:rPr>
                <w:color w:val="000000"/>
                <w:sz w:val="24"/>
              </w:rPr>
              <w:t>2018年12月31日)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交银活期通货币A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交银活期通货币E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155,710,553.63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116,098,881.80</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155,710,553.63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116,098,881.80</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21,397,072,050.70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17,301,424,614.68</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r w:rsidRPr="000E4C40">
        <w:rPr>
          <w:color w:val="000000"/>
          <w:sz w:val="24"/>
        </w:rPr>
        <w:t/>
      </w:r>
      <w:proofErr w:type="spell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
      </w:r>
      <w:proofErr w:type="spellEnd"/>
      <w:r w:rsidR="00834F7F" w:rsidRPr="000E4C40">
        <w:rPr>
          <w:rFonts w:ascii="Times New Roman" w:hAnsi="Times New Roman"/>
          <w:b/>
          <w:color w:val="auto"/>
        </w:rPr>
        <w:t>交银活期通货币A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0.6892%</w:t>
            </w:r>
          </w:p>
        </w:tc>
        <w:tc>
          <w:tcPr>
            <w:vAlign w:val="center"/>
          </w:tcPr>
          <w:p>
            <w:pPr>
              <w:jc w:val="center"/>
            </w:pPr>
            <w:r>
              <w:rPr>
                <w:rFonts w:ascii="Times New Roman" w:hAnsi="Times New Roman"/>
                <w:color w:val="000000"/>
              </w:rPr>
              <w:t>0.0005%</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0.6010%</w:t>
            </w:r>
          </w:p>
        </w:tc>
        <w:tc>
          <w:tcPr>
            <w:vAlign w:val="center"/>
          </w:tcPr>
          <w:p>
            <w:pPr>
              <w:jc w:val="center"/>
            </w:pPr>
            <w:r>
              <w:rPr>
                <w:rFonts w:ascii="Times New Roman" w:hAnsi="Times New Roman"/>
                <w:color w:val="000000"/>
              </w:rPr>
              <w:t>0.0005%</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交银活期通货币E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0.7503%</w:t>
            </w:r>
          </w:p>
        </w:tc>
        <w:tc>
          <w:tcPr>
            <w:vAlign w:val="center"/>
          </w:tcPr>
          <w:p>
            <w:pPr>
              <w:jc w:val="center"/>
            </w:pPr>
            <w:r>
              <w:rPr>
                <w:rFonts w:ascii="Times New Roman" w:hAnsi="Times New Roman"/>
                <w:color w:val="000000"/>
              </w:rPr>
              <w:t>0.0005%</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0.6621%</w:t>
            </w:r>
          </w:p>
        </w:tc>
        <w:tc>
          <w:tcPr>
            <w:vAlign w:val="center"/>
          </w:tcPr>
          <w:p>
            <w:pPr>
              <w:jc w:val="center"/>
            </w:pPr>
            <w:r>
              <w:rPr>
                <w:rFonts w:ascii="Times New Roman" w:hAnsi="Times New Roman"/>
                <w:color w:val="000000"/>
              </w:rPr>
              <w:t>0.0005%</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r w:rsidRPr="000E4C40">
        <w:rPr>
          <w:sz w:val="24"/>
        </w:rPr>
        <w:t/>
      </w:r>
      <w:proofErr w:type="spellEnd"/>
      <w:r w:rsidRPr="000E4C40">
        <w:rPr>
          <w:sz w:val="24"/>
        </w:rPr>
        <w:t>交银施罗德活期通货币市场基金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2016年7月27日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2018年12月31日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交银活期通货币A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交银活期通货币E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vAlign w:val="center"/>
          </w:tcPr>
          <w:p>
            <w:pPr>
              <w:jc w:val="center"/>
            </w:pPr>
            <w:r>
              <w:rPr>
                <w:color w:val="000000"/>
                <w:sz w:val="24"/>
              </w:rPr>
              <w:t>2016-07-27</w:t>
            </w:r>
          </w:p>
        </w:tc>
        <w:tc>
          <w:tcPr>
            <w:vAlign w:val="center"/>
          </w:tcPr>
          <w:p>
            <w:pPr>
              <w:jc w:val="center"/>
            </w:pPr>
            <w:r>
              <w:rPr>
                <w:color w:val="000000"/>
                <w:sz w:val="24"/>
              </w:rPr>
              <w:t>-</w:t>
            </w:r>
          </w:p>
        </w:tc>
        <w:tc>
          <w:tcPr>
            <w:vAlign w:val="center"/>
          </w:tcPr>
          <w:p>
            <w:pPr>
              <w:jc w:val="center"/>
            </w:pPr>
            <w:r>
              <w:rPr>
                <w:color w:val="000000"/>
                <w:sz w:val="24"/>
              </w:rPr>
              <w:t>5年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的基金经理</w:t>
            </w:r>
          </w:p>
        </w:tc>
        <w:tc>
          <w:tcPr>
            <w:vAlign w:val="center"/>
          </w:tcPr>
          <w:p>
            <w:pPr>
              <w:jc w:val="center"/>
            </w:pPr>
            <w:r>
              <w:rPr>
                <w:color w:val="000000"/>
                <w:sz w:val="24"/>
              </w:rPr>
              <w:t>2016-07-27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2018年四季度，国内经济继续放缓，且下行压力加大。国内制造业景气度持续减弱且在十二月已降至荣枯线以下。十二月中采制造业PMI仅49.40%，分项数据显示供需正在全面下滑。四季度固定资产投资有所企稳回升，基建FAI同比增速触底企稳，且制造业FAI与房地产FAI同比增速依然相对较高。2018年12月1日中美元首会晤，中美双方暂停升级贸易限制措施，并将在90天内就具体经贸问题进行磋商。今年爆发的中美贸易战似乎出现了缓和的希望，但贸易战造成的负面影响短期内难以消除。十一月出口同比增速大幅下滑至5.40%。经济趋冷，CPI冲高后呈回落之势，PPI则在持续下行。货币政策上，四季度央行维持中性偏松的货币政策。尽管十月下旬至十二月上旬央行在公开市场上持续进行回笼资金操作，但随着跨年临近央行在十二月中旬重启逆回购操作投放资金，精心呵护货币市场平稳跨年。</w:t>
      </w:r>
    </w:p>
    <w:p>
      <w:pPr>
        <w:spacing w:before="29" w:line="288" w:lineRule="auto"/>
        <w:ind w:firstLine="480" w:firstLineChars="200"/>
        <w:rPr>
          <w:color w:val="000000"/>
          <w:sz w:val="24"/>
        </w:rPr>
      </w:pPr>
      <w:r>
        <w:rPr>
          <w:color w:val="000000"/>
          <w:sz w:val="24"/>
        </w:rPr>
        <w:t>资金面上，尽管受银行跨年考核指标等因素影响，十二月最后一周货币市场跨年资金曾一度比较紧张，但隔夜资金依然宽松，四季度货币市场流动性整体上保持宽裕格局。十二月底银行间市场R001较九月底下降17个BP以上。四季度受跨年等因素影响，同业存单利率回升。十二月下旬跨年资金紧张时，股份制行三个月同业存单利率曾一度涨至3.50%左右。由于经济下行压力加大，叠加流动性宽松，四季度债市上涨迅猛，十二月底十年期国开债YTM较九月底下降55个BP以上。十二月底三年期与五年期AAA中票YTM较九月底分别下降35个BP与41个BP以上，且中低评级信用债表现更好。</w:t>
      </w:r>
    </w:p>
    <w:p>
      <w:pPr>
        <w:spacing w:before="29" w:line="288" w:lineRule="auto"/>
        <w:ind w:firstLine="480" w:firstLineChars="200"/>
        <w:rPr>
          <w:color w:val="000000"/>
          <w:sz w:val="24"/>
        </w:rPr>
      </w:pPr>
      <w:r>
        <w:rPr>
          <w:color w:val="000000"/>
          <w:sz w:val="24"/>
        </w:rPr>
        <w:t>基金操作方面，报告期内本基金提升流动性以期满足基金份额持有人潜在跨年赎回需求，同时控制信用风险，根据市场情况择机调整组合杠杆与久期。在资产配置上，择机配置高评级存单、存款与短融等投资品种，根据市场趋势灵活调整各货币品种配置比例，为持有人创造了稳健的回报。</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展望2019年一季度，中美重启贸易磋商预示着中美贸易谈判有望朝着向好的方向进展。但是受“抢出口”造成的滞后效应等影响，2019年一季度国内经济可能承受较大压力。同时，中央经济政策托底工作进一步增强，十二月中央经济工作会议提出要加大积极财政政策力度，解决好民企融资问题，加快经济体制改革等措施。预计2019年一季度经济放缓的压力可能进一步加大，央行短期内仍可能坚持中性偏松的货币政策。我们将密切关注一季度中美贸易谈判的进展与政府经济政策动态。组合管理方面，本基金将紧密跟踪研判宏观经济走势、央行货币政策操作与监管政策动态，保持组合较好的流动性，同时把握市场机会，严格控制信用风险，努力为投资者创造稳健的回报。</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r w:rsidRPr="000E4C40">
        <w:rPr>
          <w:color w:val="000000"/>
          <w:sz w:val="24"/>
        </w:rPr>
        <w:t/>
      </w:r>
      <w:proofErr w:type="spellEnd"/>
      <w:r w:rsidRPr="000E4C40">
        <w:rPr>
          <w:color w:val="000000"/>
          <w:sz w:val="24"/>
        </w:rPr>
        <w:t>本基金（各类）份额净值及业绩表现请见“3.1 主要财务指标” 及“3.2.1本报告期基金份额净值增长率及其与同期业绩比较基准收益率的比较”部分披露。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28,123,187,402.38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71.89</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27,973,187,402.38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71.51</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150,000,000.00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0.38</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2,573,995,180.99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6.58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8,336,787,556.84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21.31</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lastRenderedPageBreak/>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85,954,053.89</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0.22</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39,119,924,194.10</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3.72</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400,036,079.95</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1.03</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80</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87</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51</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val="0000"/>
      </w:tblPr>
      <w:tblGrid>
        <w:gridCol w:w="829"/>
        <w:gridCol w:w="3240"/>
        <w:gridCol w:w="2447"/>
        <w:gridCol w:w="2352"/>
      </w:tblGrid>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16.59</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1.03</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20.13</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45.76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r w:rsidRPr="000E4C40">
              <w:rPr>
                <w:color w:val="000000"/>
                <w:sz w:val="24"/>
              </w:rPr>
              <w:lastRenderedPageBreak/>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0.26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18.13</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4202"/>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100.87</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1.03</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3D21F4" w:rsidRPr="000E4C40">
            <w:pPr>
              <w:spacing w:before="29" w:line="288" w:lineRule="auto"/>
              <w:ind w:left="17"/>
              <w:jc w:val="center"/>
              <w:rPr>
                <w:color w:val="000000"/>
                <w:sz w:val="24"/>
              </w:rPr>
            </w:pPr>
            <w:r w:rsidRPr="000E4C40">
              <w:rPr>
                <w:rFonts w:hAnsi="宋体"/>
                <w:sz w:val="24"/>
              </w:rPr>
              <w:t>摊余成本（元）</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1,694,946,646.36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4.38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445,668,038.93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1.15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445,668,038.93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1.15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2,872,869,498.87</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7.42</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06711A">
        <w:trPr>
          <w:jc w:val="center"/>
        </w:trPr>
        <w:tc>
          <w:tcPr>
            <w:tcW w:type="dxa" w:w="786"/>
            <w:vAlign w:val="center"/>
          </w:tcPr>
          <w:p w:rsidP="0006711A"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06711A"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22,959,703,218.22</w:t>
            </w:r>
          </w:p>
        </w:tc>
        <w:tc>
          <w:tcPr>
            <w:tcW w:type="dxa" w:w="1889"/>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59.33</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27,973,187,402.38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72.28</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type="dxa" w:w="8868"/>
        <w:jc w:val="center"/>
        <w:tblInd w:type="dxa" w:w="15"/>
        <w:tblCellMar>
          <w:top w:type="dxa" w:w="57"/>
          <w:bottom w:type="dxa" w:w="57"/>
        </w:tblCellMar>
        <w:tblLook w:val="04A0"/>
      </w:tblPr>
      <w:tblGrid>
        <w:gridCol w:w="1203"/>
        <w:gridCol w:w="1258"/>
        <w:gridCol w:w="1437"/>
        <w:gridCol w:w="1334"/>
        <w:gridCol w:w="2244"/>
        <w:gridCol w:w="1811"/>
      </w:tblGrid>
      <w:tr w:rsidR="0044671E" w:rsidRPr="000E4C40" w:rsidTr="00B13F60">
        <w:trPr>
          <w:jc w:val="center"/>
        </w:trPr>
        <w:tc>
          <w:tcPr>
            <w:tcW w:type="dxa" w:w="1187"/>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274"/>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55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23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type="dxa" w:w="2360"/>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type="dxa" w:w="167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111884102</w:t>
            </w:r>
          </w:p>
        </w:tc>
        <w:tc>
          <w:tcPr>
            <w:vAlign w:val="center"/>
          </w:tcPr>
          <w:p>
            <w:pPr>
              <w:jc w:val="center"/>
            </w:pPr>
            <w:r>
              <w:rPr>
                <w:color w:val="000000"/>
                <w:sz w:val="24"/>
              </w:rPr>
              <w:t>18徽商银行CD119</w:t>
            </w:r>
          </w:p>
        </w:tc>
        <w:tc>
          <w:tcPr>
            <w:vAlign w:val="center"/>
          </w:tcPr>
          <w:p>
            <w:pPr>
              <w:jc w:val="right"/>
            </w:pPr>
            <w:r>
              <w:rPr>
                <w:color w:val="000000"/>
                <w:sz w:val="24"/>
              </w:rPr>
              <w:t>5,000,000</w:t>
            </w:r>
          </w:p>
        </w:tc>
        <w:tc>
          <w:tcPr>
            <w:vAlign w:val="center"/>
          </w:tcPr>
          <w:p>
            <w:pPr>
              <w:jc w:val="right"/>
            </w:pPr>
            <w:r>
              <w:rPr>
                <w:color w:val="000000"/>
                <w:sz w:val="24"/>
              </w:rPr>
              <w:t>497,250,632.40</w:t>
            </w:r>
          </w:p>
        </w:tc>
        <w:tc>
          <w:tcPr>
            <w:vAlign w:val="center"/>
          </w:tcPr>
          <w:p>
            <w:pPr>
              <w:jc w:val="right"/>
            </w:pPr>
            <w:r>
              <w:rPr>
                <w:color w:val="000000"/>
                <w:sz w:val="24"/>
              </w:rPr>
              <w:t>1.28</w:t>
            </w:r>
          </w:p>
        </w:tc>
      </w:tr>
      <w:tr>
        <w:tc>
          <w:tcPr>
            <w:vAlign w:val="center"/>
          </w:tcPr>
          <w:p>
            <w:pPr>
              <w:jc w:val="center"/>
            </w:pPr>
            <w:r>
              <w:rPr>
                <w:color w:val="000000"/>
                <w:sz w:val="24"/>
              </w:rPr>
              <w:t>2</w:t>
            </w:r>
          </w:p>
        </w:tc>
        <w:tc>
          <w:tcPr>
            <w:vAlign w:val="center"/>
          </w:tcPr>
          <w:p>
            <w:pPr>
              <w:jc w:val="center"/>
            </w:pPr>
            <w:r>
              <w:rPr>
                <w:color w:val="000000"/>
                <w:sz w:val="24"/>
              </w:rPr>
              <w:t>111819365</w:t>
            </w:r>
          </w:p>
        </w:tc>
        <w:tc>
          <w:tcPr>
            <w:vAlign w:val="center"/>
          </w:tcPr>
          <w:p>
            <w:pPr>
              <w:jc w:val="center"/>
            </w:pPr>
            <w:r>
              <w:rPr>
                <w:color w:val="000000"/>
                <w:sz w:val="24"/>
              </w:rPr>
              <w:t>18恒丰银行CD365</w:t>
            </w:r>
          </w:p>
        </w:tc>
        <w:tc>
          <w:tcPr>
            <w:vAlign w:val="center"/>
          </w:tcPr>
          <w:p>
            <w:pPr>
              <w:jc w:val="right"/>
            </w:pPr>
            <w:r>
              <w:rPr>
                <w:color w:val="000000"/>
                <w:sz w:val="24"/>
              </w:rPr>
              <w:t>5,000,000</w:t>
            </w:r>
          </w:p>
        </w:tc>
        <w:tc>
          <w:tcPr>
            <w:vAlign w:val="center"/>
          </w:tcPr>
          <w:p>
            <w:pPr>
              <w:jc w:val="right"/>
            </w:pPr>
            <w:r>
              <w:rPr>
                <w:color w:val="000000"/>
                <w:sz w:val="24"/>
              </w:rPr>
              <w:t>497,020,003.08</w:t>
            </w:r>
          </w:p>
        </w:tc>
        <w:tc>
          <w:tcPr>
            <w:vAlign w:val="center"/>
          </w:tcPr>
          <w:p>
            <w:pPr>
              <w:jc w:val="right"/>
            </w:pPr>
            <w:r>
              <w:rPr>
                <w:color w:val="000000"/>
                <w:sz w:val="24"/>
              </w:rPr>
              <w:t>1.28</w:t>
            </w:r>
          </w:p>
        </w:tc>
      </w:tr>
      <w:tr>
        <w:tc>
          <w:tcPr>
            <w:vAlign w:val="center"/>
          </w:tcPr>
          <w:p>
            <w:pPr>
              <w:jc w:val="center"/>
            </w:pPr>
            <w:r>
              <w:rPr>
                <w:color w:val="000000"/>
                <w:sz w:val="24"/>
              </w:rPr>
              <w:t>3</w:t>
            </w:r>
          </w:p>
        </w:tc>
        <w:tc>
          <w:tcPr>
            <w:vAlign w:val="center"/>
          </w:tcPr>
          <w:p>
            <w:pPr>
              <w:jc w:val="center"/>
            </w:pPr>
            <w:r>
              <w:rPr>
                <w:color w:val="000000"/>
                <w:sz w:val="24"/>
              </w:rPr>
              <w:t>111884273</w:t>
            </w:r>
          </w:p>
        </w:tc>
        <w:tc>
          <w:tcPr>
            <w:vAlign w:val="center"/>
          </w:tcPr>
          <w:p>
            <w:pPr>
              <w:jc w:val="center"/>
            </w:pPr>
            <w:r>
              <w:rPr>
                <w:color w:val="000000"/>
                <w:sz w:val="24"/>
              </w:rPr>
              <w:t>18锦州银行CD194</w:t>
            </w:r>
          </w:p>
        </w:tc>
        <w:tc>
          <w:tcPr>
            <w:vAlign w:val="center"/>
          </w:tcPr>
          <w:p>
            <w:pPr>
              <w:jc w:val="right"/>
            </w:pPr>
            <w:r>
              <w:rPr>
                <w:color w:val="000000"/>
                <w:sz w:val="24"/>
              </w:rPr>
              <w:t>5,000,000</w:t>
            </w:r>
          </w:p>
        </w:tc>
        <w:tc>
          <w:tcPr>
            <w:vAlign w:val="center"/>
          </w:tcPr>
          <w:p>
            <w:pPr>
              <w:jc w:val="right"/>
            </w:pPr>
            <w:r>
              <w:rPr>
                <w:color w:val="000000"/>
                <w:sz w:val="24"/>
              </w:rPr>
              <w:t>497,005,878.95</w:t>
            </w:r>
          </w:p>
        </w:tc>
        <w:tc>
          <w:tcPr>
            <w:vAlign w:val="center"/>
          </w:tcPr>
          <w:p>
            <w:pPr>
              <w:jc w:val="right"/>
            </w:pPr>
            <w:r>
              <w:rPr>
                <w:color w:val="000000"/>
                <w:sz w:val="24"/>
              </w:rPr>
              <w:t>1.28</w:t>
            </w:r>
          </w:p>
        </w:tc>
      </w:tr>
      <w:tr>
        <w:tc>
          <w:tcPr>
            <w:vAlign w:val="center"/>
          </w:tcPr>
          <w:p>
            <w:pPr>
              <w:jc w:val="center"/>
            </w:pPr>
            <w:r>
              <w:rPr>
                <w:color w:val="000000"/>
                <w:sz w:val="24"/>
              </w:rPr>
              <w:t>4</w:t>
            </w:r>
          </w:p>
        </w:tc>
        <w:tc>
          <w:tcPr>
            <w:vAlign w:val="center"/>
          </w:tcPr>
          <w:p>
            <w:pPr>
              <w:jc w:val="center"/>
            </w:pPr>
            <w:r>
              <w:rPr>
                <w:color w:val="000000"/>
                <w:sz w:val="24"/>
              </w:rPr>
              <w:t>111870084</w:t>
            </w:r>
          </w:p>
        </w:tc>
        <w:tc>
          <w:tcPr>
            <w:vAlign w:val="center"/>
          </w:tcPr>
          <w:p>
            <w:pPr>
              <w:jc w:val="center"/>
            </w:pPr>
            <w:r>
              <w:rPr>
                <w:color w:val="000000"/>
                <w:sz w:val="24"/>
              </w:rPr>
              <w:t>18晋商银行CD215</w:t>
            </w:r>
          </w:p>
        </w:tc>
        <w:tc>
          <w:tcPr>
            <w:vAlign w:val="center"/>
          </w:tcPr>
          <w:p>
            <w:pPr>
              <w:jc w:val="right"/>
            </w:pPr>
            <w:r>
              <w:rPr>
                <w:color w:val="000000"/>
                <w:sz w:val="24"/>
              </w:rPr>
              <w:t>5,000,000</w:t>
            </w:r>
          </w:p>
        </w:tc>
        <w:tc>
          <w:tcPr>
            <w:vAlign w:val="center"/>
          </w:tcPr>
          <w:p>
            <w:pPr>
              <w:jc w:val="right"/>
            </w:pPr>
            <w:r>
              <w:rPr>
                <w:color w:val="000000"/>
                <w:sz w:val="24"/>
              </w:rPr>
              <w:t>488,241,246.91</w:t>
            </w:r>
          </w:p>
        </w:tc>
        <w:tc>
          <w:tcPr>
            <w:vAlign w:val="center"/>
          </w:tcPr>
          <w:p>
            <w:pPr>
              <w:jc w:val="right"/>
            </w:pPr>
            <w:r>
              <w:rPr>
                <w:color w:val="000000"/>
                <w:sz w:val="24"/>
              </w:rPr>
              <w:t>1.26</w:t>
            </w:r>
          </w:p>
        </w:tc>
      </w:tr>
      <w:tr>
        <w:tc>
          <w:tcPr>
            <w:vAlign w:val="center"/>
          </w:tcPr>
          <w:p>
            <w:pPr>
              <w:jc w:val="center"/>
            </w:pPr>
            <w:r>
              <w:rPr>
                <w:color w:val="000000"/>
                <w:sz w:val="24"/>
              </w:rPr>
              <w:t>5</w:t>
            </w:r>
          </w:p>
        </w:tc>
        <w:tc>
          <w:tcPr>
            <w:vAlign w:val="center"/>
          </w:tcPr>
          <w:p>
            <w:pPr>
              <w:jc w:val="center"/>
            </w:pPr>
            <w:r>
              <w:rPr>
                <w:color w:val="000000"/>
                <w:sz w:val="24"/>
              </w:rPr>
              <w:t>111870700</w:t>
            </w:r>
          </w:p>
        </w:tc>
        <w:tc>
          <w:tcPr>
            <w:vAlign w:val="center"/>
          </w:tcPr>
          <w:p>
            <w:pPr>
              <w:jc w:val="center"/>
            </w:pPr>
            <w:r>
              <w:rPr>
                <w:color w:val="000000"/>
                <w:sz w:val="24"/>
              </w:rPr>
              <w:t>18东亚银行CD050</w:t>
            </w:r>
          </w:p>
        </w:tc>
        <w:tc>
          <w:tcPr>
            <w:vAlign w:val="center"/>
          </w:tcPr>
          <w:p>
            <w:pPr>
              <w:jc w:val="right"/>
            </w:pPr>
            <w:r>
              <w:rPr>
                <w:color w:val="000000"/>
                <w:sz w:val="24"/>
              </w:rPr>
              <w:t>4,000,000</w:t>
            </w:r>
          </w:p>
        </w:tc>
        <w:tc>
          <w:tcPr>
            <w:vAlign w:val="center"/>
          </w:tcPr>
          <w:p>
            <w:pPr>
              <w:jc w:val="right"/>
            </w:pPr>
            <w:r>
              <w:rPr>
                <w:color w:val="000000"/>
                <w:sz w:val="24"/>
              </w:rPr>
              <w:t>397,726,068.68</w:t>
            </w:r>
          </w:p>
        </w:tc>
        <w:tc>
          <w:tcPr>
            <w:vAlign w:val="center"/>
          </w:tcPr>
          <w:p>
            <w:pPr>
              <w:jc w:val="right"/>
            </w:pPr>
            <w:r>
              <w:rPr>
                <w:color w:val="000000"/>
                <w:sz w:val="24"/>
              </w:rPr>
              <w:t>1.03</w:t>
            </w:r>
          </w:p>
        </w:tc>
      </w:tr>
      <w:tr>
        <w:tc>
          <w:tcPr>
            <w:vAlign w:val="center"/>
          </w:tcPr>
          <w:p>
            <w:pPr>
              <w:jc w:val="center"/>
            </w:pPr>
            <w:r>
              <w:rPr>
                <w:color w:val="000000"/>
                <w:sz w:val="24"/>
              </w:rPr>
              <w:t>6</w:t>
            </w:r>
          </w:p>
        </w:tc>
        <w:tc>
          <w:tcPr>
            <w:vAlign w:val="center"/>
          </w:tcPr>
          <w:p>
            <w:pPr>
              <w:jc w:val="center"/>
            </w:pPr>
            <w:r>
              <w:rPr>
                <w:color w:val="000000"/>
                <w:sz w:val="24"/>
              </w:rPr>
              <w:t>111821370</w:t>
            </w:r>
          </w:p>
        </w:tc>
        <w:tc>
          <w:tcPr>
            <w:vAlign w:val="center"/>
          </w:tcPr>
          <w:p>
            <w:pPr>
              <w:jc w:val="center"/>
            </w:pPr>
            <w:r>
              <w:rPr>
                <w:color w:val="000000"/>
                <w:sz w:val="24"/>
              </w:rPr>
              <w:t>18渤海银行CD370</w:t>
            </w:r>
          </w:p>
        </w:tc>
        <w:tc>
          <w:tcPr>
            <w:vAlign w:val="center"/>
          </w:tcPr>
          <w:p>
            <w:pPr>
              <w:jc w:val="right"/>
            </w:pPr>
            <w:r>
              <w:rPr>
                <w:color w:val="000000"/>
                <w:sz w:val="24"/>
              </w:rPr>
              <w:t>3,400,000</w:t>
            </w:r>
          </w:p>
        </w:tc>
        <w:tc>
          <w:tcPr>
            <w:vAlign w:val="center"/>
          </w:tcPr>
          <w:p>
            <w:pPr>
              <w:jc w:val="right"/>
            </w:pPr>
            <w:r>
              <w:rPr>
                <w:color w:val="000000"/>
                <w:sz w:val="24"/>
              </w:rPr>
              <w:t>338,057,961.14</w:t>
            </w:r>
          </w:p>
        </w:tc>
        <w:tc>
          <w:tcPr>
            <w:vAlign w:val="center"/>
          </w:tcPr>
          <w:p>
            <w:pPr>
              <w:jc w:val="right"/>
            </w:pPr>
            <w:r>
              <w:rPr>
                <w:color w:val="000000"/>
                <w:sz w:val="24"/>
              </w:rPr>
              <w:t>0.87</w:t>
            </w:r>
          </w:p>
        </w:tc>
      </w:tr>
      <w:tr>
        <w:tc>
          <w:tcPr>
            <w:vAlign w:val="center"/>
          </w:tcPr>
          <w:p>
            <w:pPr>
              <w:jc w:val="center"/>
            </w:pPr>
            <w:r>
              <w:rPr>
                <w:color w:val="000000"/>
                <w:sz w:val="24"/>
              </w:rPr>
              <w:t>7</w:t>
            </w:r>
          </w:p>
        </w:tc>
        <w:tc>
          <w:tcPr>
            <w:vAlign w:val="center"/>
          </w:tcPr>
          <w:p>
            <w:pPr>
              <w:jc w:val="center"/>
            </w:pPr>
            <w:r>
              <w:rPr>
                <w:color w:val="000000"/>
                <w:sz w:val="24"/>
              </w:rPr>
              <w:t>071800041</w:t>
            </w:r>
          </w:p>
        </w:tc>
        <w:tc>
          <w:tcPr>
            <w:vAlign w:val="center"/>
          </w:tcPr>
          <w:p>
            <w:pPr>
              <w:jc w:val="center"/>
            </w:pPr>
            <w:r>
              <w:rPr>
                <w:color w:val="000000"/>
                <w:sz w:val="24"/>
              </w:rPr>
              <w:t>18国泰君安CP005</w:t>
            </w:r>
          </w:p>
        </w:tc>
        <w:tc>
          <w:tcPr>
            <w:vAlign w:val="center"/>
          </w:tcPr>
          <w:p>
            <w:pPr>
              <w:jc w:val="right"/>
            </w:pPr>
            <w:r>
              <w:rPr>
                <w:color w:val="000000"/>
                <w:sz w:val="24"/>
              </w:rPr>
              <w:t>3,000,000</w:t>
            </w:r>
          </w:p>
        </w:tc>
        <w:tc>
          <w:tcPr>
            <w:vAlign w:val="center"/>
          </w:tcPr>
          <w:p>
            <w:pPr>
              <w:jc w:val="right"/>
            </w:pPr>
            <w:r>
              <w:rPr>
                <w:color w:val="000000"/>
                <w:sz w:val="24"/>
              </w:rPr>
              <w:t>300,000,023.37</w:t>
            </w:r>
          </w:p>
        </w:tc>
        <w:tc>
          <w:tcPr>
            <w:vAlign w:val="center"/>
          </w:tcPr>
          <w:p>
            <w:pPr>
              <w:jc w:val="right"/>
            </w:pPr>
            <w:r>
              <w:rPr>
                <w:color w:val="000000"/>
                <w:sz w:val="24"/>
              </w:rPr>
              <w:t>0.78</w:t>
            </w:r>
          </w:p>
        </w:tc>
      </w:tr>
      <w:tr>
        <w:tc>
          <w:tcPr>
            <w:vAlign w:val="center"/>
          </w:tcPr>
          <w:p>
            <w:pPr>
              <w:jc w:val="center"/>
            </w:pPr>
            <w:r>
              <w:rPr>
                <w:color w:val="000000"/>
                <w:sz w:val="24"/>
              </w:rPr>
              <w:t>8</w:t>
            </w:r>
          </w:p>
        </w:tc>
        <w:tc>
          <w:tcPr>
            <w:vAlign w:val="center"/>
          </w:tcPr>
          <w:p>
            <w:pPr>
              <w:jc w:val="center"/>
            </w:pPr>
            <w:r>
              <w:rPr>
                <w:color w:val="000000"/>
                <w:sz w:val="24"/>
              </w:rPr>
              <w:t>111819430</w:t>
            </w:r>
          </w:p>
        </w:tc>
        <w:tc>
          <w:tcPr>
            <w:vAlign w:val="center"/>
          </w:tcPr>
          <w:p>
            <w:pPr>
              <w:jc w:val="center"/>
            </w:pPr>
            <w:r>
              <w:rPr>
                <w:color w:val="000000"/>
                <w:sz w:val="24"/>
              </w:rPr>
              <w:t>18恒丰银行CD430</w:t>
            </w:r>
          </w:p>
        </w:tc>
        <w:tc>
          <w:tcPr>
            <w:vAlign w:val="center"/>
          </w:tcPr>
          <w:p>
            <w:pPr>
              <w:jc w:val="right"/>
            </w:pPr>
            <w:r>
              <w:rPr>
                <w:color w:val="000000"/>
                <w:sz w:val="24"/>
              </w:rPr>
              <w:t>3,000,000</w:t>
            </w:r>
          </w:p>
        </w:tc>
        <w:tc>
          <w:tcPr>
            <w:vAlign w:val="center"/>
          </w:tcPr>
          <w:p>
            <w:pPr>
              <w:jc w:val="right"/>
            </w:pPr>
            <w:r>
              <w:rPr>
                <w:color w:val="000000"/>
                <w:sz w:val="24"/>
              </w:rPr>
              <w:t>299,256,045.98</w:t>
            </w:r>
          </w:p>
        </w:tc>
        <w:tc>
          <w:tcPr>
            <w:vAlign w:val="center"/>
          </w:tcPr>
          <w:p>
            <w:pPr>
              <w:jc w:val="right"/>
            </w:pPr>
            <w:r>
              <w:rPr>
                <w:color w:val="000000"/>
                <w:sz w:val="24"/>
              </w:rPr>
              <w:t>0.77</w:t>
            </w:r>
          </w:p>
        </w:tc>
      </w:tr>
      <w:tr>
        <w:tc>
          <w:tcPr>
            <w:vAlign w:val="center"/>
          </w:tcPr>
          <w:p>
            <w:pPr>
              <w:jc w:val="center"/>
            </w:pPr>
            <w:r>
              <w:rPr>
                <w:color w:val="000000"/>
                <w:sz w:val="24"/>
              </w:rPr>
              <w:t>9</w:t>
            </w:r>
          </w:p>
        </w:tc>
        <w:tc>
          <w:tcPr>
            <w:vAlign w:val="center"/>
          </w:tcPr>
          <w:p>
            <w:pPr>
              <w:jc w:val="center"/>
            </w:pPr>
            <w:r>
              <w:rPr>
                <w:color w:val="000000"/>
                <w:sz w:val="24"/>
              </w:rPr>
              <w:t>111821355</w:t>
            </w:r>
          </w:p>
        </w:tc>
        <w:tc>
          <w:tcPr>
            <w:vAlign w:val="center"/>
          </w:tcPr>
          <w:p>
            <w:pPr>
              <w:jc w:val="center"/>
            </w:pPr>
            <w:r>
              <w:rPr>
                <w:color w:val="000000"/>
                <w:sz w:val="24"/>
              </w:rPr>
              <w:t>18渤海银行CD355</w:t>
            </w:r>
          </w:p>
        </w:tc>
        <w:tc>
          <w:tcPr>
            <w:vAlign w:val="center"/>
          </w:tcPr>
          <w:p>
            <w:pPr>
              <w:jc w:val="right"/>
            </w:pPr>
            <w:r>
              <w:rPr>
                <w:color w:val="000000"/>
                <w:sz w:val="24"/>
              </w:rPr>
              <w:t>3,000,000</w:t>
            </w:r>
          </w:p>
        </w:tc>
        <w:tc>
          <w:tcPr>
            <w:vAlign w:val="center"/>
          </w:tcPr>
          <w:p>
            <w:pPr>
              <w:jc w:val="right"/>
            </w:pPr>
            <w:r>
              <w:rPr>
                <w:color w:val="000000"/>
                <w:sz w:val="24"/>
              </w:rPr>
              <w:t>298,514,558.31</w:t>
            </w:r>
          </w:p>
        </w:tc>
        <w:tc>
          <w:tcPr>
            <w:vAlign w:val="center"/>
          </w:tcPr>
          <w:p>
            <w:pPr>
              <w:jc w:val="right"/>
            </w:pPr>
            <w:r>
              <w:rPr>
                <w:color w:val="000000"/>
                <w:sz w:val="24"/>
              </w:rPr>
              <w:t>0.77</w:t>
            </w:r>
          </w:p>
        </w:tc>
      </w:tr>
      <w:tr>
        <w:tc>
          <w:tcPr>
            <w:vAlign w:val="center"/>
          </w:tcPr>
          <w:p>
            <w:pPr>
              <w:jc w:val="center"/>
            </w:pPr>
            <w:r>
              <w:rPr>
                <w:color w:val="000000"/>
                <w:sz w:val="24"/>
              </w:rPr>
              <w:t>10</w:t>
            </w:r>
          </w:p>
        </w:tc>
        <w:tc>
          <w:tcPr>
            <w:vAlign w:val="center"/>
          </w:tcPr>
          <w:p>
            <w:pPr>
              <w:jc w:val="center"/>
            </w:pPr>
            <w:r>
              <w:rPr>
                <w:color w:val="000000"/>
                <w:sz w:val="24"/>
              </w:rPr>
              <w:t>111821356</w:t>
            </w:r>
          </w:p>
        </w:tc>
        <w:tc>
          <w:tcPr>
            <w:vAlign w:val="center"/>
          </w:tcPr>
          <w:p>
            <w:pPr>
              <w:jc w:val="center"/>
            </w:pPr>
            <w:r>
              <w:rPr>
                <w:color w:val="000000"/>
                <w:sz w:val="24"/>
              </w:rPr>
              <w:t>18渤海银行CD356</w:t>
            </w:r>
          </w:p>
        </w:tc>
        <w:tc>
          <w:tcPr>
            <w:vAlign w:val="center"/>
          </w:tcPr>
          <w:p>
            <w:pPr>
              <w:jc w:val="right"/>
            </w:pPr>
            <w:r>
              <w:rPr>
                <w:color w:val="000000"/>
                <w:sz w:val="24"/>
              </w:rPr>
              <w:t>3,000,000</w:t>
            </w:r>
          </w:p>
        </w:tc>
        <w:tc>
          <w:tcPr>
            <w:vAlign w:val="center"/>
          </w:tcPr>
          <w:p>
            <w:pPr>
              <w:jc w:val="right"/>
            </w:pPr>
            <w:r>
              <w:rPr>
                <w:color w:val="000000"/>
                <w:sz w:val="24"/>
              </w:rPr>
              <w:t>298,496,602.83</w:t>
            </w:r>
          </w:p>
        </w:tc>
        <w:tc>
          <w:tcPr>
            <w:vAlign w:val="center"/>
          </w:tcPr>
          <w:p>
            <w:pPr>
              <w:jc w:val="right"/>
            </w:pPr>
            <w:r>
              <w:rPr>
                <w:color w:val="000000"/>
                <w:sz w:val="24"/>
              </w:rPr>
              <w:t>0.77</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0.1065%</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-0.0442%</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0.0520%</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本基金本报告期内未存在正偏离度的绝对值达到0.50%情况。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type="dxa" w:w="8868"/>
        <w:jc w:val="center"/>
        <w:tblCellMar>
          <w:top w:type="dxa" w:w="57"/>
          <w:bottom w:type="dxa" w:w="57"/>
        </w:tblCellMar>
        <w:tblLook w:val="04A0"/>
      </w:tblPr>
      <w:tblGrid>
        <w:gridCol w:w="1465"/>
        <w:gridCol w:w="1464"/>
        <w:gridCol w:w="1464"/>
        <w:gridCol w:w="1567"/>
        <w:gridCol w:w="1567"/>
        <w:gridCol w:w="1775"/>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156288</w:t>
            </w:r>
          </w:p>
        </w:tc>
        <w:tc>
          <w:tcPr>
            <w:vAlign w:val="center"/>
          </w:tcPr>
          <w:p>
            <w:pPr>
              <w:jc w:val="center"/>
            </w:pPr>
            <w:r>
              <w:rPr>
                <w:color w:val="000000"/>
                <w:sz w:val="24"/>
              </w:rPr>
              <w:t>宁远07A1</w:t>
            </w:r>
          </w:p>
        </w:tc>
        <w:tc>
          <w:tcPr>
            <w:vAlign w:val="center"/>
          </w:tcPr>
          <w:p>
            <w:pPr>
              <w:jc w:val="right"/>
            </w:pPr>
            <w:r>
              <w:rPr>
                <w:color w:val="000000"/>
                <w:sz w:val="24"/>
              </w:rPr>
              <w:t>1,000,000</w:t>
            </w:r>
          </w:p>
        </w:tc>
        <w:tc>
          <w:tcPr>
            <w:vAlign w:val="center"/>
          </w:tcPr>
          <w:p>
            <w:pPr>
              <w:jc w:val="right"/>
            </w:pPr>
            <w:r>
              <w:rPr>
                <w:color w:val="000000"/>
                <w:sz w:val="24"/>
              </w:rPr>
              <w:t>100,000,000.00</w:t>
            </w:r>
          </w:p>
        </w:tc>
        <w:tc>
          <w:tcPr>
            <w:vAlign w:val="center"/>
          </w:tcPr>
          <w:p>
            <w:pPr>
              <w:jc w:val="right"/>
            </w:pPr>
            <w:r>
              <w:rPr>
                <w:color w:val="000000"/>
                <w:sz w:val="24"/>
              </w:rPr>
              <w:t>0.26</w:t>
            </w:r>
          </w:p>
        </w:tc>
      </w:tr>
      <w:tr>
        <w:tc>
          <w:tcPr>
            <w:vAlign w:val="center"/>
          </w:tcPr>
          <w:p>
            <w:pPr>
              <w:jc w:val="center"/>
            </w:pPr>
            <w:r>
              <w:rPr>
                <w:color w:val="000000"/>
                <w:sz w:val="24"/>
              </w:rPr>
              <w:t>2</w:t>
            </w:r>
          </w:p>
        </w:tc>
        <w:tc>
          <w:tcPr>
            <w:vAlign w:val="center"/>
          </w:tcPr>
          <w:p>
            <w:pPr>
              <w:jc w:val="center"/>
            </w:pPr>
            <w:r>
              <w:rPr>
                <w:color w:val="000000"/>
                <w:sz w:val="24"/>
              </w:rPr>
              <w:t>149553</w:t>
            </w:r>
          </w:p>
        </w:tc>
        <w:tc>
          <w:tcPr>
            <w:vAlign w:val="center"/>
          </w:tcPr>
          <w:p>
            <w:pPr>
              <w:jc w:val="center"/>
            </w:pPr>
            <w:r>
              <w:rPr>
                <w:color w:val="000000"/>
                <w:sz w:val="24"/>
              </w:rPr>
              <w:t>宁远04A1</w:t>
            </w:r>
          </w:p>
        </w:tc>
        <w:tc>
          <w:tcPr>
            <w:vAlign w:val="center"/>
          </w:tcPr>
          <w:p>
            <w:pPr>
              <w:jc w:val="right"/>
            </w:pPr>
            <w:r>
              <w:rPr>
                <w:color w:val="000000"/>
                <w:sz w:val="24"/>
              </w:rPr>
              <w:t>500,000</w:t>
            </w:r>
          </w:p>
        </w:tc>
        <w:tc>
          <w:tcPr>
            <w:vAlign w:val="center"/>
          </w:tcPr>
          <w:p>
            <w:pPr>
              <w:jc w:val="right"/>
            </w:pPr>
            <w:r>
              <w:rPr>
                <w:color w:val="000000"/>
                <w:sz w:val="24"/>
              </w:rPr>
              <w:t>50,000,000.00</w:t>
            </w:r>
          </w:p>
        </w:tc>
        <w:tc>
          <w:tcPr>
            <w:vAlign w:val="center"/>
          </w:tcPr>
          <w:p>
            <w:pPr>
              <w:jc w:val="right"/>
            </w:pPr>
            <w:r>
              <w:rPr>
                <w:color w:val="000000"/>
                <w:sz w:val="24"/>
              </w:rPr>
              <w:t>0.13</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0E4C40">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P="00930856" w:rsidR="00D40363" w:rsidRDefault="00D40363" w:rsidRPr="000E4C40">
      <w:pPr>
        <w:spacing w:before="29" w:line="288" w:lineRule="auto"/>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0E4C40">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type="dxa" w:w="8868"/>
        <w:jc w:val="center"/>
        <w:tblInd w:type="dxa" w:w="17"/>
        <w:tblLayout w:type="fixed"/>
        <w:tblLook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80,907,357.13</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5,046,696.76</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85,954,053.89</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0E4C40">
      <w:pPr>
        <w:spacing w:before="29" w:line="288" w:lineRule="auto"/>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2304D5">
        <w:rPr>
          <w:color w:val="000000"/>
          <w:kern w:val="0"/>
          <w:sz w:val="24"/>
        </w:rPr>
        <w:t>5.9.4</w:t>
      </w:r>
      <w:r w:rsidR="00DE7C60" w:rsidRPr="000E4C40">
        <w:rPr>
          <w:rFonts w:hAnsi="宋体"/>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r w:rsidR="000C469F" w:rsidRPr="000E4C40">
        <w:rPr>
          <w:color w:val="000000"/>
          <w:sz w:val="24"/>
        </w:rPr>
        <w:t/>
      </w:r>
      <w:proofErr w:type="spell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交银活期通货币A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00327FB0" w:rsidRPr="000E4C40">
              <w:rPr>
                <w:sz w:val="24"/>
              </w:rPr>
              <w:t/>
            </w:r>
            <w:r w:rsidR="000F78F3">
              <w:rPr>
                <w:sz w:val="24"/>
              </w:rPr>
              <w:t/>
            </w:r>
            <w:r w:rsidR="000F78F3">
              <w:rPr>
                <w:rFonts w:hint="eastAsia"/>
                <w:sz w:val="24"/>
              </w:rPr>
              <w:t/>
            </w:r>
            <w:r w:rsidRPr="000E4C40">
              <w:rPr>
                <w:sz w:val="24"/>
              </w:rPr>
              <w:t>交银活期通货币E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24,501,033,235.44</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6,189,733,803.17</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Pr="000E4C40">
              <w:rPr>
                <w:color w:val="000000"/>
                <w:kern w:val="0"/>
                <w:sz w:val="24"/>
              </w:rPr>
              <w:lastRenderedPageBreak/>
              <w:t/>
            </w:r>
            <w:r w:rsidR="00327FB0" w:rsidRPr="000E4C40">
              <w:rPr>
                <w:color w:val="000000"/>
                <w:kern w:val="0"/>
                <w:sz w:val="24"/>
              </w:rPr>
              <w:t/>
            </w:r>
            <w:r w:rsidRPr="000E4C40">
              <w:rPr>
                <w:color w:val="000000"/>
                <w:kern w:val="0"/>
                <w:sz w:val="24"/>
              </w:rPr>
              <w:t/>
            </w:r>
            <w:proofErr w:type="spellEnd"/>
            <w:r w:rsidRPr="000E4C40">
              <w:rPr>
                <w:color w:val="000000"/>
                <w:kern w:val="0"/>
                <w:sz w:val="24"/>
              </w:rPr>
              <w:t>21,545,309,016.57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lastRenderedPageBreak/>
              <w:t/>
            </w:r>
            <w:r w:rsidRPr="000E4C40">
              <w:rPr>
                <w:color w:val="000000"/>
                <w:kern w:val="0"/>
                <w:sz w:val="24"/>
              </w:rPr>
              <w:lastRenderedPageBreak/>
              <w:t/>
            </w:r>
            <w:r w:rsidR="00327FB0" w:rsidRPr="000E4C40">
              <w:rPr>
                <w:color w:val="000000"/>
                <w:kern w:val="0"/>
                <w:sz w:val="24"/>
              </w:rPr>
              <w:t/>
            </w:r>
            <w:r w:rsidR="000F78F3">
              <w:rPr>
                <w:rFonts w:hint="eastAsia"/>
                <w:color w:val="000000"/>
                <w:kern w:val="0"/>
                <w:sz w:val="24"/>
              </w:rPr>
              <w:t/>
            </w:r>
            <w:r w:rsidRPr="000E4C40">
              <w:rPr>
                <w:color w:val="000000"/>
                <w:kern w:val="0"/>
                <w:sz w:val="24"/>
              </w:rPr>
              <w:t>26,539,728,054.18</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24,649,270,201.31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15,428,037,242.67</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21,397,072,050.70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17,301,424,614.68</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r w:rsidR="00AA5B03" w:rsidRPr="000E4C40">
        <w:rPr>
          <w:color w:val="000000"/>
          <w:sz w:val="24"/>
        </w:rPr>
        <w:t/>
      </w:r>
      <w:proofErr w:type="spellEnd"/>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Lines="100"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
      </w:r>
      <w:proofErr w:type="spellStart"/>
      <w:r>
        <w:rPr>
          <w:rFonts w:asciiTheme="minorEastAsia" w:cs="Arial" w:eastAsiaTheme="minorEastAsia" w:hAnsiTheme="minorEastAsia" w:hint="eastAsia"/>
          <w:color w:themeColor="text1" w:val="000000"/>
          <w:kern w:val="0"/>
          <w:sz w:val="24"/>
          <w:szCs w:val="24"/>
        </w:rPr>
        <w:t/>
      </w:r>
      <w:proofErr w:type="spellEnd"/>
      <w:r>
        <w:rPr>
          <w:rFonts w:asciiTheme="minorEastAsia" w:cs="Arial" w:eastAsiaTheme="minorEastAsia" w:hAnsiTheme="minorEastAsia" w:hint="eastAsia"/>
          <w:color w:themeColor="text1" w:val="000000"/>
          <w:kern w:val="0"/>
          <w:sz w:val="24"/>
          <w:szCs w:val="24"/>
        </w:rPr>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hint="eastAsia"/>
                <w:color w:val="000000"/>
                <w:kern w:val="0"/>
                <w:szCs w:val="21"/>
              </w:rPr>
              <w:lastRenderedPageBreak/>
              <w:t/>
            </w:r>
            <w:proofErr w:type="spellStart"/>
            <w:r>
              <w:rPr>
                <w:rFonts w:ascii="宋体" w:hAnsi="宋体" w:hint="eastAsia"/>
                <w:color w:val="000000"/>
                <w:kern w:val="0"/>
                <w:szCs w:val="21"/>
              </w:rPr>
              <w:t/>
            </w:r>
            <w:proofErr w:type="spellEnd"/>
            <w:r>
              <w:rPr>
                <w:rFonts w:ascii="宋体" w:hAnsi="宋体" w:hint="eastAsia"/>
                <w:color w:val="000000"/>
                <w:kern w:val="0"/>
                <w:szCs w:val="21"/>
              </w:rPr>
              <w:t/>
            </w:r>
            <w:proofErr w:type="spellStart"/>
            <w:r>
              <w:rPr>
                <w:rFonts w:ascii="宋体" w:hAnsi="宋体" w:hint="eastAsia"/>
                <w:color w:val="000000"/>
                <w:kern w:val="0"/>
                <w:szCs w:val="21"/>
              </w:rPr>
              <w:t/>
            </w:r>
            <w:proofErr w:type="spellEnd"/>
            <w:r>
              <w:rPr>
                <w:rFonts w:ascii="宋体" w:hAnsi="宋体" w:hint="eastAsia"/>
                <w:color w:val="000000"/>
                <w:kern w:val="0"/>
                <w:szCs w:val="21"/>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2,658,760,677.90</w:t>
            </w:r>
          </w:p>
        </w:tc>
        <w:tc>
          <w:tcPr>
            <w:vAlign w:val="center"/>
          </w:tcPr>
          <w:p>
            <w:pPr>
              <w:jc w:val="center"/>
            </w:pPr>
            <w:r>
              <w:rPr>
                <w:rFonts w:ascii="宋体" w:hAnsi="宋体" w:hint="eastAsia"/>
                <w:color w:val="000000"/>
                <w:kern w:val="0"/>
                <w:szCs w:val="21"/>
              </w:rPr>
              <w:t>6,722,142,003.83</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9,380,902,681.73</w:t>
            </w:r>
          </w:p>
        </w:tc>
        <w:tc>
          <w:tcPr>
            <w:vAlign w:val="center"/>
          </w:tcPr>
          <w:p>
            <w:pPr>
              <w:jc w:val="center"/>
            </w:pPr>
            <w:r>
              <w:rPr>
                <w:rFonts w:ascii="宋体" w:hAnsi="宋体" w:hint="eastAsia"/>
                <w:color w:val="000000"/>
                <w:kern w:val="0"/>
                <w:szCs w:val="21"/>
              </w:rPr>
              <w:t>24.24%</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roofErr w:type="spellStart"/>
            <w:r>
              <w:rPr>
                <w:rFonts w:ascii="宋体" w:hAnsi="宋体" w:hint="eastAsia"/>
                <w:kern w:val="0"/>
                <w:szCs w:val="21"/>
              </w:rPr>
              <w:t/>
            </w:r>
            <w:proofErr w:type="spellEnd"/>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Lines="100"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1、中国证监会准予交银施罗德活期通货币市场基金募集注册的文件； </w:t>
      </w:r>
    </w:p>
    <w:p>
      <w:pPr>
        <w:spacing w:before="29" w:line="288" w:lineRule="auto"/>
        <w:ind w:firstLine="480" w:firstLineChars="200"/>
        <w:rPr>
          <w:color w:val="000000"/>
          <w:sz w:val="24"/>
        </w:rPr>
      </w:pPr>
      <w:r>
        <w:rPr>
          <w:color w:val="000000"/>
          <w:sz w:val="24"/>
        </w:rPr>
        <w:t xml:space="preserve">2、《交银施罗德活期通货币市场基金基金合同》； </w:t>
      </w:r>
    </w:p>
    <w:p>
      <w:pPr>
        <w:spacing w:before="29" w:line="288" w:lineRule="auto"/>
        <w:ind w:firstLine="480" w:firstLineChars="200"/>
        <w:rPr>
          <w:color w:val="000000"/>
          <w:sz w:val="24"/>
        </w:rPr>
      </w:pPr>
      <w:r>
        <w:rPr>
          <w:color w:val="000000"/>
          <w:sz w:val="24"/>
        </w:rPr>
        <w:t xml:space="preserve">3、《交银施罗德活期通货币市场基金招募说明书》； </w:t>
      </w:r>
    </w:p>
    <w:p>
      <w:pPr>
        <w:spacing w:before="29" w:line="288" w:lineRule="auto"/>
        <w:ind w:firstLine="480" w:firstLineChars="200"/>
        <w:rPr>
          <w:color w:val="000000"/>
          <w:sz w:val="24"/>
        </w:rPr>
      </w:pPr>
      <w:r>
        <w:rPr>
          <w:color w:val="000000"/>
          <w:sz w:val="24"/>
        </w:rPr>
        <w:t xml:space="preserve">4、《交银施罗德活期通货币市场基金托管协议》； </w:t>
      </w:r>
    </w:p>
    <w:p>
      <w:pPr>
        <w:spacing w:before="29" w:line="288" w:lineRule="auto"/>
        <w:ind w:firstLine="480" w:firstLineChars="200"/>
        <w:rPr>
          <w:color w:val="000000"/>
          <w:sz w:val="24"/>
        </w:rPr>
      </w:pPr>
      <w:r>
        <w:rPr>
          <w:color w:val="000000"/>
          <w:sz w:val="24"/>
        </w:rPr>
        <w:t xml:space="preserve">5、关于申请募集注册交银施罗德活期通货币市场基金的法律意见书；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8、报告期内交银施罗德活期通货币市场基金在指定报刊上各项公告的原稿。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1D0DB0" w:rsidR="00D1705E" w:rsidRDefault="00D1705E" w:rsidRPr="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41EB4">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41EB4">
      <w:rPr>
        <w:noProof/>
        <w:kern w:val="0"/>
        <w:szCs w:val="21"/>
      </w:rPr>
      <w:t>23</w:t>
    </w:r>
    <w:r w:rsidR="00457CD3">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6245FF" w:rsidRDefault="006245FF">
      <w:r>
        <w:separator/>
      </w:r>
    </w:p>
  </w:footnote>
  <w:footnote w:id="0" w:type="continuationSeparator">
    <w:p w:rsidR="006245FF" w:rsidRDefault="006245FF">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8379E2" w:rsidR="00D1705E" w:rsidRDefault="00841EB4" w:rsidRPr="00841EB4">
    <w:pPr>
      <w:pStyle w:val="a4"/>
      <w:pBdr>
        <w:bottom w:color="auto" w:space="0" w:sz="6" w:val="single"/>
      </w:pBdr>
      <w:jc w:val="right"/>
      <w:rPr>
        <w:sz w:val="24"/>
        <w:szCs w:val="24"/>
      </w:rPr>
    </w:pPr>
    <w:r w:rsidRPr="003E676C">
      <w:rPr>
        <w:sz w:val="24"/>
        <w:szCs w:val="24"/>
      </w:rPr>
      <w:t/>
    </w:r>
    <w:proofErr w:type="spellStart"/>
    <w:r w:rsidRPr="003E676C">
      <w:rPr>
        <w:sz w:val="24"/>
        <w:szCs w:val="24"/>
      </w:rPr>
      <w:t/>
    </w:r>
    <w:proofErr w:type="spellEnd"/>
    <w:r w:rsidRPr="003E676C">
      <w:rPr>
        <w:sz w:val="24"/>
        <w:szCs w:val="24"/>
      </w:rPr>
      <w:t>交银施罗德活期通货币市场基金</w:t>
    </w:r>
    <w:proofErr w:type="spellStart"/>
    <w:r w:rsidRPr="003E676C">
      <w:rPr>
        <w:sz w:val="24"/>
        <w:szCs w:val="24"/>
      </w:rPr>
      <w:t/>
    </w:r>
    <w:proofErr w:type="spellEnd"/>
    <w:r w:rsidRPr="003E676C">
      <w:rPr>
        <w:sz w:val="24"/>
        <w:szCs w:val="24"/>
      </w:rPr>
      <w:t>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bordersDoNotSurroundHeader/>
  <w:bordersDoNotSurroundFooter/>
  <w:proofState w:spelling="clean"/>
  <w:stylePaneFormatFilter w:val="3F01"/>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8194" v:ext="edit"/>
    <o:shapelayout v:ext="edit">
      <o:idmap data="1" v:ext="edit"/>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Plain Text" w:uiPriority="99"/>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18"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2A1109-F435-45F1-BF4E-42ABB0D9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23</Pages>
  <Words>3593</Words>
  <Characters>20485</Characters>
  <Application>Microsoft Office Word</Application>
  <DocSecurity>0</DocSecurity>
  <Lines>170</Lines>
  <Paragraphs>48</Paragraphs>
  <ScaleCrop>false</ScaleCrop>
  <Company>jysld</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Administrator</cp:lastModifiedBy>
  <cp:lastPrinted>2009-01-22T10:11:00Z</cp:lastPrinted>
  <dcterms:modified xsi:type="dcterms:W3CDTF">2018-03-30T07:36:00Z</dcterms:modified>
  <cp:revision>314</cp:revision>
</cp:coreProperties>
</file>