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交银施罗德活期通货币市场基金</w:t>
      </w: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2018年第4季度报告</w:t>
      </w:r>
    </w:p>
    <w:p w:rsidP="00281564" w:rsidR="002B45A4" w:rsidRDefault="00D87D00"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2018年12月31日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
      </w:r>
      <w:proofErr w:type="spellStart"/>
      <w:r w:rsidRPr="001E1B20">
        <w:rPr>
          <w:b/>
          <w:color w:val="000000"/>
          <w:sz w:val="24"/>
        </w:rPr>
        <w:t/>
      </w:r>
      <w:proofErr w:type="spellEnd"/>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
      </w:r>
      <w:proofErr w:type="spellStart"/>
      <w:r w:rsidRPr="001E1B20">
        <w:rPr>
          <w:b/>
          <w:color w:val="000000"/>
          <w:sz w:val="24"/>
        </w:rPr>
        <w:t/>
      </w:r>
      <w:proofErr w:type="spellEnd"/>
      <w:r w:rsidRPr="001E1B20">
        <w:rPr>
          <w:b/>
          <w:color w:val="000000"/>
          <w:sz w:val="24"/>
        </w:rPr>
        <w:t>中信建投证券股份有限公司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proofErr w:type="spellStart"/>
      <w:r w:rsidR="00EF56FA" w:rsidRPr="001E1B20">
        <w:rPr>
          <w:b/>
          <w:color w:val="000000"/>
          <w:sz w:val="24"/>
        </w:rPr>
        <w:t/>
      </w:r>
      <w:r w:rsidR="00D87D00" w:rsidRPr="001E1B20">
        <w:rPr>
          <w:b/>
          <w:color w:val="000000"/>
          <w:sz w:val="24"/>
        </w:rPr>
        <w:t/>
      </w:r>
      <w:proofErr w:type="spellEnd"/>
      <w:r w:rsidR="00EF56FA" w:rsidRPr="001E1B20">
        <w:rPr>
          <w:b/>
          <w:color w:val="000000"/>
          <w:sz w:val="24"/>
        </w:rPr>
        <w:t>二〇一九年一月二十一日</w:t>
      </w:r>
    </w:p>
    <w:p w:rsidP="00841EB4" w:rsidR="00902E3F" w:rsidRDefault="00902E3F" w:rsidRPr="000E4C40">
      <w:pPr>
        <w:pStyle w:val="1"/>
        <w:spacing w:afterLines="100"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基金托管人中信建投证券股份有限公司根据本基金合同规定，于2019年1月18日复核了本报告中的财务指标、净值表现和投资组合报告等内容，保证复核内容不存在虚假记载、误导性陈述或者重大遗漏。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本报告期自2018年10月1日起至12月31日止。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交银活期通货币</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003042</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2016年7月27日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38,698,496,665.38</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活期存款利率（税后）</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中信建投证券股份有限公司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交银活期通货币A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交银活期通货币E</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003042</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003043</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004702DF" w:rsidRPr="000E4C40">
              <w:rPr>
                <w:color w:val="000000"/>
                <w:kern w:val="0"/>
                <w:sz w:val="24"/>
              </w:rPr>
              <w:t/>
            </w:r>
            <w:r w:rsidRPr="000E4C40">
              <w:rPr>
                <w:sz w:val="24"/>
              </w:rPr>
              <w:t/>
            </w:r>
            <w:r w:rsidR="007B082A" w:rsidRPr="000E4C40">
              <w:rPr>
                <w:sz w:val="24"/>
              </w:rPr>
              <w:t/>
            </w:r>
            <w:r w:rsidRPr="000E4C40">
              <w:rPr>
                <w:sz w:val="24"/>
              </w:rPr>
              <w:t/>
            </w:r>
            <w:proofErr w:type="spellEnd"/>
            <w:r w:rsidRPr="000E4C40">
              <w:rPr>
                <w:sz w:val="24"/>
              </w:rPr>
              <w:t>21,397,072,050.70</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17,301,424,614.68</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w:t>
            </w:r>
            <w:proofErr w:type="spellStart"/>
            <w:r w:rsidRPr="000E4C40">
              <w:rPr>
                <w:color w:val="000000"/>
                <w:sz w:val="24"/>
              </w:rPr>
              <w:t/>
            </w:r>
            <w:proofErr w:type="spellEnd"/>
            <w:r w:rsidRPr="000E4C40">
              <w:rPr>
                <w:color w:val="000000"/>
                <w:sz w:val="24"/>
              </w:rPr>
              <w:t>2018年10月1日-</w:t>
            </w:r>
            <w:proofErr w:type="spellStart"/>
            <w:r w:rsidRPr="000E4C40">
              <w:rPr>
                <w:color w:val="000000"/>
                <w:sz w:val="24"/>
              </w:rPr>
              <w:t/>
            </w:r>
            <w:proofErr w:type="spellEnd"/>
            <w:r w:rsidRPr="000E4C40">
              <w:rPr>
                <w:color w:val="000000"/>
                <w:sz w:val="24"/>
              </w:rPr>
              <w:t>2018年12月31日)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proofErr w:type="spellStart"/>
            <w:r w:rsidRPr="000E4C40">
              <w:rPr>
                <w:color w:val="000000"/>
                <w:kern w:val="0"/>
                <w:sz w:val="24"/>
              </w:rPr>
              <w:t/>
            </w:r>
            <w:r w:rsidRPr="000E4C40">
              <w:rPr>
                <w:sz w:val="24"/>
              </w:rPr>
              <w:t/>
            </w:r>
            <w:proofErr w:type="spellEnd"/>
            <w:r w:rsidRPr="000E4C40">
              <w:rPr>
                <w:sz w:val="24"/>
              </w:rPr>
              <w:t>交银活期通货币A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交银活期通货币E</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155,710,553.63</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116,098,881.80</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155,710,553.63</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116,098,881.80</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21,397,072,050.70</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17,301,424,614.68</w:t>
            </w:r>
          </w:p>
        </w:tc>
      </w:tr>
    </w:tbl>
    <w:p>
      <w:pPr>
        <w:autoSpaceDE w:val="0"/>
        <w:autoSpaceDN w:val="0"/>
        <w:adjustRightInd w:val="0"/>
        <w:spacing w:before="29" w:line="288" w:lineRule="auto"/>
        <w:jc w:val="left"/>
        <w:rPr>
          <w:color w:val="000000"/>
          <w:sz w:val="24"/>
        </w:rPr>
      </w:pPr>
      <w:r>
        <w:rPr>
          <w:color w:val="000000"/>
          <w:sz w:val="24"/>
        </w:rPr>
        <w:t>注：1、本基金实行销售服务费分类收费方式，分设两类基金份额：A类基金份额和E类基金份额。A类基金份额与E类基金份额的管理费、托管费相同，A类基金份额按照0.25%的年费率计提销售服务费，E类基金份额按照0.01%的年费率计提销售服务费。</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w:r>
      <w:proofErr w:type="spellStart"/>
      <w:r w:rsidRPr="000E4C40">
        <w:rPr>
          <w:color w:val="000000"/>
          <w:sz w:val="24"/>
        </w:rPr>
        <w:t/>
      </w:r>
      <w:proofErr w:type="spellEnd"/>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本报告期基金份额净值收益率及其与同期业绩比较基准收益率的比较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proofErr w:type="spellStart"/>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
      </w:r>
      <w:proofErr w:type="spellEnd"/>
      <w:r w:rsidR="00834F7F" w:rsidRPr="000E4C40">
        <w:rPr>
          <w:rFonts w:ascii="Times New Roman" w:hAnsi="Times New Roman"/>
          <w:b/>
          <w:color w:val="auto"/>
        </w:rPr>
        <w:t>交银活期通货币A</w:t>
      </w:r>
      <w:r w:rsidR="00834F7F" w:rsidRPr="000E4C40">
        <w:rPr>
          <w:rFonts w:ascii="Times New Roman"/>
          <w:b/>
          <w:color w:val="auto"/>
        </w:rPr>
        <w:t>：</w:t>
      </w:r>
    </w:p>
    <w:tbl>
      <w:tblPr>
        <w:tblStyle w:val="aa"/>
        <w:tblW w:type="dxa" w:w="8868"/>
        <w:jc w:val="center"/>
        <w:tblLayout w:type="fixed"/>
        <w:tblCellMar>
          <w:top w:type="dxa" w:w="57"/>
          <w:bottom w:type="dxa" w:w="57"/>
        </w:tblCellMar>
        <w:tblLook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roofErr w:type="spellStart"/>
            <w:r w:rsidR="00636B17" w:rsidRPr="000E4C40">
              <w:rPr>
                <w:rFonts w:ascii="Times New Roman" w:hAnsi="Times New Roman"/>
                <w:color w:val="000000"/>
                <w:szCs w:val="24"/>
              </w:rPr>
              <w:t/>
            </w:r>
            <w:proofErr w:type="spellEnd"/>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0.6892%</w:t>
            </w:r>
          </w:p>
        </w:tc>
        <w:tc>
          <w:tcPr>
            <w:vAlign w:val="center"/>
          </w:tcPr>
          <w:p>
            <w:pPr>
              <w:jc w:val="center"/>
            </w:pPr>
            <w:r>
              <w:rPr>
                <w:rFonts w:ascii="Times New Roman" w:hAnsi="Times New Roman"/>
                <w:color w:val="000000"/>
              </w:rPr>
              <w:t>0.0005%</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0.6010%</w:t>
            </w:r>
          </w:p>
        </w:tc>
        <w:tc>
          <w:tcPr>
            <w:vAlign w:val="center"/>
          </w:tcPr>
          <w:p>
            <w:pPr>
              <w:jc w:val="center"/>
            </w:pPr>
            <w:r>
              <w:rPr>
                <w:rFonts w:ascii="Times New Roman" w:hAnsi="Times New Roman"/>
                <w:color w:val="000000"/>
              </w:rPr>
              <w:t>0.0005%</w:t>
            </w:r>
          </w:p>
        </w:tc>
      </w:tr>
    </w:tbl>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r w:rsidR="00ED5511" w:rsidRPr="000E4C40">
        <w:rPr>
          <w:color w:val="000000"/>
          <w:sz w:val="24"/>
        </w:rPr>
        <w:t/>
      </w:r>
      <w:r w:rsidRPr="000E4C40">
        <w:rPr>
          <w:color w:val="000000"/>
          <w:sz w:val="24"/>
        </w:rPr>
        <w:t>注：本基金收益分配按日结转份额。</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交银活期通货币E</w:t>
      </w:r>
      <w:r w:rsidR="000B2044" w:rsidRPr="000E4C40">
        <w:rPr>
          <w:rFonts w:ascii="Times New Roman"/>
          <w:b/>
          <w:color w:val="auto"/>
        </w:rPr>
        <w:t>：</w:t>
      </w:r>
    </w:p>
    <w:tbl>
      <w:tblPr>
        <w:tblStyle w:val="aa"/>
        <w:tblW w:type="dxa" w:w="8868"/>
        <w:jc w:val="center"/>
        <w:tblLayout w:type="fixed"/>
        <w:tblCellMar>
          <w:top w:type="dxa" w:w="57"/>
          <w:bottom w:type="dxa" w:w="57"/>
        </w:tblCellMar>
        <w:tblLook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roofErr w:type="spellStart"/>
            <w:r w:rsidRPr="000E4C40">
              <w:rPr>
                <w:rFonts w:ascii="Times New Roman" w:hAnsi="Times New Roman"/>
                <w:color w:val="000000"/>
                <w:szCs w:val="24"/>
              </w:rPr>
              <w:t/>
            </w:r>
            <w:proofErr w:type="spellEnd"/>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0.7503%</w:t>
            </w:r>
          </w:p>
        </w:tc>
        <w:tc>
          <w:tcPr>
            <w:vAlign w:val="center"/>
          </w:tcPr>
          <w:p>
            <w:pPr>
              <w:jc w:val="center"/>
            </w:pPr>
            <w:r>
              <w:rPr>
                <w:rFonts w:ascii="Times New Roman" w:hAnsi="Times New Roman"/>
                <w:color w:val="000000"/>
              </w:rPr>
              <w:t>0.0005%</w:t>
            </w:r>
          </w:p>
        </w:tc>
        <w:tc>
          <w:tcPr>
            <w:vAlign w:val="center"/>
          </w:tcPr>
          <w:p>
            <w:pPr>
              <w:jc w:val="center"/>
            </w:pPr>
            <w:r>
              <w:rPr>
                <w:rFonts w:ascii="Times New Roman" w:hAnsi="Times New Roman"/>
                <w:color w:val="000000"/>
              </w:rPr>
              <w:t>0.0882%</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0.6621%</w:t>
            </w:r>
          </w:p>
        </w:tc>
        <w:tc>
          <w:tcPr>
            <w:vAlign w:val="center"/>
          </w:tcPr>
          <w:p>
            <w:pPr>
              <w:jc w:val="center"/>
            </w:pPr>
            <w:r>
              <w:rPr>
                <w:rFonts w:ascii="Times New Roman" w:hAnsi="Times New Roman"/>
                <w:color w:val="000000"/>
              </w:rPr>
              <w:t>0.0005%</w:t>
            </w:r>
          </w:p>
        </w:tc>
      </w:tr>
    </w:tbl>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r w:rsidR="00327FB0" w:rsidRPr="000E4C40">
        <w:rPr>
          <w:color w:val="000000"/>
          <w:sz w:val="24"/>
        </w:rPr>
        <w:t/>
      </w:r>
      <w:r w:rsidR="000F78F3">
        <w:rPr>
          <w:rFonts w:hint="eastAsia"/>
          <w:color w:val="000000"/>
          <w:sz w:val="24"/>
        </w:rPr>
        <w:t/>
      </w:r>
      <w:r w:rsidRPr="000E4C40">
        <w:rPr>
          <w:color w:val="000000"/>
          <w:sz w:val="24"/>
        </w:rPr>
        <w:t>注：本基金收益分配按日结转份额。</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
      </w:r>
      <w:proofErr w:type="spellStart"/>
      <w:r w:rsidR="00A21753" w:rsidRPr="00D8505A">
        <w:rPr>
          <w:rFonts w:hint="eastAsia"/>
          <w:b/>
          <w:color w:val="000000"/>
          <w:kern w:val="0"/>
          <w:sz w:val="24"/>
        </w:rPr>
        <w:t/>
      </w:r>
      <w:proofErr w:type="spellEnd"/>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
      </w:r>
      <w:proofErr w:type="spellStart"/>
      <w:r w:rsidRPr="000E4C40">
        <w:rPr>
          <w:sz w:val="24"/>
        </w:rPr>
        <w:t/>
      </w:r>
      <w:proofErr w:type="spellEnd"/>
      <w:r w:rsidRPr="000E4C40">
        <w:rPr>
          <w:sz w:val="24"/>
        </w:rPr>
        <w:t>交银施罗德活期通货币市场基金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
      </w:r>
      <w:proofErr w:type="spellStart"/>
      <w:r w:rsidR="00D87D00" w:rsidRPr="000E4C40">
        <w:rPr>
          <w:color w:val="000000"/>
          <w:kern w:val="0"/>
          <w:sz w:val="24"/>
        </w:rPr>
        <w:t/>
      </w:r>
      <w:proofErr w:type="spellEnd"/>
      <w:r w:rsidR="00D87D00" w:rsidRPr="000E4C40">
        <w:rPr>
          <w:color w:val="000000"/>
          <w:kern w:val="0"/>
          <w:sz w:val="24"/>
        </w:rPr>
        <w:t>2016年7月27日</w:t>
      </w:r>
      <w:r w:rsidR="00A7219D" w:rsidRPr="000E4C40">
        <w:rPr>
          <w:rFonts w:hAnsi="宋体"/>
          <w:color w:val="000000"/>
          <w:kern w:val="0"/>
          <w:sz w:val="24"/>
        </w:rPr>
        <w:t>至</w:t>
      </w:r>
      <w:r w:rsidR="00A7219D" w:rsidRPr="000E4C40">
        <w:rPr>
          <w:color w:val="000000"/>
          <w:kern w:val="0"/>
          <w:sz w:val="24"/>
        </w:rPr>
        <w:t/>
      </w:r>
      <w:proofErr w:type="spellStart"/>
      <w:r w:rsidR="00A7219D" w:rsidRPr="000E4C40">
        <w:rPr>
          <w:color w:val="000000"/>
          <w:kern w:val="0"/>
          <w:sz w:val="24"/>
        </w:rPr>
        <w:t/>
      </w:r>
      <w:proofErr w:type="spellEnd"/>
      <w:r w:rsidR="00A7219D" w:rsidRPr="000E4C40">
        <w:rPr>
          <w:color w:val="000000"/>
          <w:kern w:val="0"/>
          <w:sz w:val="24"/>
        </w:rPr>
        <w:t>2018年12月31日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交银活期通货币A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注：本基金建仓期为自基金合同生效日起的6个月。截至建仓期结束，本基金各项资产配置比例符合基金合同及招募说明书有关投资比例的约定。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交银活期通货币E</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r w:rsidR="000F78F3">
        <w:rPr>
          <w:color w:val="000000"/>
          <w:sz w:val="24"/>
        </w:rPr>
        <w:t/>
      </w:r>
      <w:r w:rsidR="000F78F3">
        <w:rPr>
          <w:rFonts w:hint="eastAsia"/>
          <w:color w:val="000000"/>
          <w:sz w:val="24"/>
        </w:rPr>
        <w:t/>
      </w:r>
      <w:r w:rsidRPr="000E4C40">
        <w:rPr>
          <w:color w:val="000000"/>
          <w:sz w:val="24"/>
        </w:rPr>
        <w:t>注：本基金建仓期为自基金合同生效日起的6个月。截至建仓期结束，本基金各项资产配置比例符合基金合同及招募说明书有关投资比例的约定。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任本基金的基金经理期限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连端清</w:t>
            </w:r>
          </w:p>
        </w:tc>
        <w:tc>
          <w:tcPr>
            <w:vAlign w:val="center"/>
          </w:tcPr>
          <w:p>
            <w:pPr>
              <w:jc w:val="center"/>
            </w:pPr>
            <w:r>
              <w:rPr>
                <w:color w:val="000000"/>
                <w:sz w:val="24"/>
              </w:rPr>
              <w:t>交银货币、交银理财60天债券、交银丰盈收益债券、交银现金宝货币、交银丰润收益债券、交银活期通货币、交银天利宝货币、交银裕盈纯债债券、交银裕利纯债债券、交银裕隆纯债债券、交银天鑫宝货币、交银天益宝货币、交银境尚收益债券、交银天运宝货币的基金经理</w:t>
            </w:r>
          </w:p>
        </w:tc>
        <w:tc>
          <w:tcPr>
            <w:vAlign w:val="center"/>
          </w:tcPr>
          <w:p>
            <w:pPr>
              <w:jc w:val="center"/>
            </w:pPr>
            <w:r>
              <w:rPr>
                <w:color w:val="000000"/>
                <w:sz w:val="24"/>
              </w:rPr>
              <w:t>2016-07-27</w:t>
            </w:r>
          </w:p>
        </w:tc>
        <w:tc>
          <w:tcPr>
            <w:vAlign w:val="center"/>
          </w:tcPr>
          <w:p>
            <w:pPr>
              <w:jc w:val="center"/>
            </w:pPr>
            <w:r>
              <w:rPr>
                <w:color w:val="000000"/>
                <w:sz w:val="24"/>
              </w:rPr>
              <w:t>-</w:t>
            </w:r>
          </w:p>
        </w:tc>
        <w:tc>
          <w:tcPr>
            <w:vAlign w:val="center"/>
          </w:tcPr>
          <w:p>
            <w:pPr>
              <w:jc w:val="center"/>
            </w:pPr>
            <w:r>
              <w:rPr>
                <w:color w:val="000000"/>
                <w:sz w:val="24"/>
              </w:rPr>
              <w:t>5年</w:t>
            </w:r>
          </w:p>
        </w:tc>
        <w:tc>
          <w:tcPr>
            <w:vAlign w:val="center"/>
          </w:tcPr>
          <w:p>
            <w:pPr>
              <w:jc w:val="both"/>
            </w:pPr>
            <w:r>
              <w:rPr>
                <w:color w:val="000000"/>
                <w:sz w:val="24"/>
              </w:rPr>
              <w:t>连端清先生，复旦大学经济学博士。历任交通银行总行金融市场部、湘财证券研究所研究员、中航信托资产管理部投资经理。2015年加入交银施罗德基金管理有限公司。2017年3月31日至2018年8月23日担任交银施罗德裕兴纯债债券型证券投资基金的基金经理。</w:t>
            </w:r>
          </w:p>
        </w:tc>
      </w:tr>
      <w:tr>
        <w:tc>
          <w:tcPr>
            <w:vAlign w:val="center"/>
          </w:tcPr>
          <w:p>
            <w:pPr>
              <w:jc w:val="center"/>
            </w:pPr>
            <w:r>
              <w:rPr>
                <w:color w:val="000000"/>
                <w:sz w:val="24"/>
              </w:rPr>
              <w:t>黄莹洁</w:t>
            </w:r>
          </w:p>
        </w:tc>
        <w:tc>
          <w:tcPr>
            <w:vAlign w:val="center"/>
          </w:tcPr>
          <w:p>
            <w:pPr>
              <w:jc w:val="center"/>
            </w:pPr>
            <w:r>
              <w:rPr>
                <w:color w:val="000000"/>
                <w:sz w:val="24"/>
              </w:rPr>
              <w:t>交银货币、交银理财21天债券、交银现金宝货币、交银丰享收益债券、交银裕通纯债债券、交银活期通货币、交银天利宝货币、交银裕隆纯债债券、交银天鑫宝货币、交银天益宝货币、交银境尚收益债券的基金经理</w:t>
            </w:r>
          </w:p>
        </w:tc>
        <w:tc>
          <w:tcPr>
            <w:vAlign w:val="center"/>
          </w:tcPr>
          <w:p>
            <w:pPr>
              <w:jc w:val="center"/>
            </w:pPr>
            <w:r>
              <w:rPr>
                <w:color w:val="000000"/>
                <w:sz w:val="24"/>
              </w:rPr>
              <w:t>2016-07-27</w:t>
            </w:r>
          </w:p>
        </w:tc>
        <w:tc>
          <w:tcPr>
            <w:vAlign w:val="center"/>
          </w:tcPr>
          <w:p>
            <w:pPr>
              <w:jc w:val="center"/>
            </w:pPr>
            <w:r>
              <w:rPr>
                <w:color w:val="000000"/>
                <w:sz w:val="24"/>
              </w:rPr>
              <w:t>-</w:t>
            </w:r>
          </w:p>
        </w:tc>
        <w:tc>
          <w:tcPr>
            <w:vAlign w:val="center"/>
          </w:tcPr>
          <w:p>
            <w:pPr>
              <w:jc w:val="center"/>
            </w:pPr>
            <w:r>
              <w:rPr>
                <w:color w:val="000000"/>
                <w:sz w:val="24"/>
              </w:rPr>
              <w:t>10年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w:t>
            </w:r>
          </w:p>
        </w:tc>
      </w:tr>
    </w:tbl>
    <w:p>
      <w:pPr>
        <w:autoSpaceDE w:val="0"/>
        <w:autoSpaceDN w:val="0"/>
        <w:adjustRightInd w:val="0"/>
        <w:spacing w:before="29" w:line="288" w:lineRule="auto"/>
        <w:jc w:val="left"/>
        <w:rPr>
          <w:color w:val="000000"/>
          <w:sz w:val="24"/>
        </w:rPr>
      </w:pPr>
      <w:r>
        <w:rPr>
          <w:color w:val="000000"/>
          <w:sz w:val="24"/>
        </w:rPr>
        <w:t>注：1、本表所列基金经理（助理）任职日期和离职日期均以基金合同生效日或公司作出决定并公告(如适用)之日为准；</w:t>
      </w:r>
    </w:p>
    <w:p>
      <w:pPr>
        <w:autoSpaceDE w:val="0"/>
        <w:autoSpaceDN w:val="0"/>
        <w:adjustRightInd w:val="0"/>
        <w:spacing w:before="29" w:line="288" w:lineRule="auto"/>
        <w:jc w:val="left"/>
        <w:rPr>
          <w:color w:val="000000"/>
          <w:sz w:val="24"/>
        </w:rPr>
      </w:pPr>
      <w:r>
        <w:rPr>
          <w:color w:val="000000"/>
          <w:sz w:val="24"/>
        </w:rPr>
        <w:t xml:space="preserve">2、本表所列基金经理（助理）证券从业年限中的“证券从业”的含义遵从中国证券业协会《证券业从业人员资格管理办法》的相关规定； </w:t>
      </w:r>
    </w:p>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3、基金经理（或基金经理小组）期后变动（如有）敬请关注基金管理人发布的相关公告。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2018年四季度，国内经济继续放缓，且下行压力加大。国内制造业景气度持续减弱且在十二月已降至荣枯线以下。十二月中采制造业PMI仅49.40%，分项数据显示供需正在全面下滑。四季度固定资产投资有所企稳回升，基建FAI同比增速触底企稳，且制造业FAI与房地产FAI同比增速依然相对较高。2018年12月1日中美元首会晤，中美双方暂停升级贸易限制措施，并将在90天内就具体经贸问题进行磋商。今年爆发的中美贸易战似乎出现了缓和的希望，但贸易战造成的负面影响短期内难以消除。十一月出口同比增速大幅下滑至5.40%。经济趋冷，CPI冲高后呈回落之势，PPI则在持续下行。货币政策上，四季度央行维持中性偏松的货币政策。尽管十月下旬至十二月上旬央行在公开市场上持续进行回笼资金操作，但随着跨年临近央行在十二月中旬重启逆回购操作投放资金，精心呵护货币市场平稳跨年。</w:t>
      </w:r>
    </w:p>
    <w:p>
      <w:pPr>
        <w:spacing w:before="29" w:line="288" w:lineRule="auto"/>
        <w:ind w:firstLine="480" w:firstLineChars="200"/>
        <w:rPr>
          <w:color w:val="000000"/>
          <w:sz w:val="24"/>
        </w:rPr>
      </w:pPr>
      <w:r>
        <w:rPr>
          <w:color w:val="000000"/>
          <w:sz w:val="24"/>
        </w:rPr>
        <w:t>资金面上，尽管受银行跨年考核指标等因素影响，十二月最后一周货币市场跨年资金曾一度比较紧张，但隔夜资金依然宽松，四季度货币市场流动性整体上保持宽裕格局。十二月底银行间市场R001较九月底下降17个BP以上。四季度受跨年等因素影响，同业存单利率回升。十二月下旬跨年资金紧张时，股份制行三个月同业存单利率曾一度涨至3.50%左右。由于经济下行压力加大，叠加流动性宽松，四季度债市上涨迅猛，十二月底十年期国开债YTM较九月底下降55个BP以上。十二月底三年期与五年期AAA中票YTM较九月底分别下降35个BP与41个BP以上，且中低评级信用债表现更好。</w:t>
      </w:r>
    </w:p>
    <w:p>
      <w:pPr>
        <w:spacing w:before="29" w:line="288" w:lineRule="auto"/>
        <w:ind w:firstLine="480" w:firstLineChars="200"/>
        <w:rPr>
          <w:color w:val="000000"/>
          <w:sz w:val="24"/>
        </w:rPr>
      </w:pPr>
      <w:r>
        <w:rPr>
          <w:color w:val="000000"/>
          <w:sz w:val="24"/>
        </w:rPr>
        <w:t>基金操作方面，报告期内本基金提升流动性以期满足基金份额持有人潜在跨年赎回需求，同时控制信用风险，根据市场情况择机调整组合杠杆与久期。在资产配置上，择机配置高评级存单、存款与短融等投资品种，根据市场趋势灵活调整各货币品种配置比例，为持有人创造了稳健的回报。</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展望2019年一季度，中美重启贸易磋商预示着中美贸易谈判有望朝着向好的方向进展。但是受“抢出口”造成的滞后效应等影响，2019年一季度国内经济可能承受较大压力。同时，中央经济政策托底工作进一步增强，十二月中央经济工作会议提出要加大积极财政政策力度，解决好民企融资问题，加快经济体制改革等措施。预计2019年一季度经济放缓的压力可能进一步加大，央行短期内仍可能坚持中性偏松的货币政策。我们将密切关注一季度中美贸易谈判的进展与政府经济政策动态。组合管理方面，本基金将紧密跟踪研判宏观经济走势、央行货币政策操作与监管政策动态，保持组合较好的流动性，同时把握市场机会，严格控制信用风险，努力为投资者创造稳健的回报。</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
      </w:r>
      <w:proofErr w:type="spellStart"/>
      <w:r w:rsidRPr="000E4C40">
        <w:rPr>
          <w:color w:val="000000"/>
          <w:sz w:val="24"/>
        </w:rPr>
        <w:t/>
      </w:r>
      <w:proofErr w:type="spellEnd"/>
      <w:r w:rsidRPr="000E4C40">
        <w:rPr>
          <w:color w:val="000000"/>
          <w:sz w:val="24"/>
        </w:rPr>
        <w:t>本基金（各类）份额净值及业绩表现请见“3.1 主要财务指标” 及“3.2.1本报告期基金份额净值增长率及其与同期业绩比较基准收益率的比较”部分披露。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r w:rsidR="00744E84" w:rsidRPr="000E4C40">
              <w:rPr>
                <w:rFonts w:hAnsi="宋体"/>
                <w:color w:val="000000"/>
                <w:kern w:val="0"/>
                <w:sz w:val="24"/>
              </w:rPr>
              <w:t>（元）</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28,123,187,402.38</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71.89</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27,973,187,402.38</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71.51</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150,000,000.00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0.38</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2,573,995,180.99</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6.58</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8,336,787,556.84</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21.31</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lastRenderedPageBreak/>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85,954,053.89</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0.22</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39,119,924,194.10</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3.72</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金额</w:t>
            </w:r>
            <w:r w:rsidR="00410A6D" w:rsidRPr="000E4C40">
              <w:rPr>
                <w:rFonts w:hAnsi="宋体"/>
                <w:color w:val="000000"/>
                <w:kern w:val="0"/>
                <w:sz w:val="24"/>
              </w:rPr>
              <w:t>（元）</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400,036,079.95</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1.03</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r w:rsidRPr="000E4C40">
        <w:rPr>
          <w:color w:val="000000"/>
          <w:sz w:val="24"/>
        </w:rPr>
        <w:t/>
      </w:r>
      <w:proofErr w:type="spellEnd"/>
      <w:r w:rsidRPr="000E4C40">
        <w:rPr>
          <w:color w:val="000000"/>
          <w:sz w:val="24"/>
        </w:rPr>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本基金本报告期内债券正回购的资金余额未超过资产净值的20%。</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80</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proofErr w:type="spellEnd"/>
            <w:r w:rsidRPr="000E4C40">
              <w:rPr>
                <w:color w:val="000000"/>
                <w:sz w:val="24"/>
              </w:rPr>
              <w:t>87</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51</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本基金本报告期内投资组合平均剩余期限未超过120天。</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val="0000"/>
      </w:tblPr>
      <w:tblGrid>
        <w:gridCol w:w="829"/>
        <w:gridCol w:w="3240"/>
        <w:gridCol w:w="2447"/>
        <w:gridCol w:w="2352"/>
      </w:tblGrid>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16.59</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1.03</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20.13</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45.76</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r w:rsidRPr="000E4C40">
              <w:rPr>
                <w:color w:val="000000"/>
                <w:sz w:val="24"/>
              </w:rPr>
              <w:lastRenderedPageBreak/>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0.26</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18.13</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8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35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CE25BB">
        <w:trPr>
          <w:jc w:val="center"/>
        </w:trPr>
        <w:tc>
          <w:tcPr>
            <w:tcW w:type="dxa" w:w="4202"/>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rFonts w:hAnsi="宋体"/>
                <w:color w:val="000000"/>
                <w:sz w:val="24"/>
              </w:rPr>
              <w:t>合计</w:t>
            </w:r>
          </w:p>
        </w:tc>
        <w:tc>
          <w:tcPr>
            <w:tcW w:type="dxa" w:w="25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proofErr w:type="spellStart"/>
            <w:r w:rsidRPr="000E4C40">
              <w:rPr>
                <w:color w:val="000000"/>
                <w:sz w:val="24"/>
              </w:rPr>
              <w:t/>
            </w:r>
            <w:proofErr w:type="spellEnd"/>
            <w:r w:rsidRPr="000E4C40">
              <w:rPr>
                <w:color w:val="000000"/>
                <w:sz w:val="24"/>
              </w:rPr>
              <w:t>100.87</w:t>
            </w:r>
          </w:p>
        </w:tc>
        <w:tc>
          <w:tcPr>
            <w:tcW w:type="dxa" w:w="243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
            </w:r>
            <w:proofErr w:type="spellStart"/>
            <w:r w:rsidRPr="000E4C40">
              <w:rPr>
                <w:color w:val="000000"/>
                <w:sz w:val="24"/>
              </w:rPr>
              <w:t/>
            </w:r>
            <w:proofErr w:type="spellEnd"/>
            <w:r w:rsidRPr="000E4C40">
              <w:rPr>
                <w:color w:val="000000"/>
                <w:sz w:val="24"/>
              </w:rPr>
              <w:t>1.03</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roofErr w:type="spellStart"/>
            <w:r w:rsidR="006214E4" w:rsidRPr="000E4C40">
              <w:rPr>
                <w:color w:val="000000"/>
                <w:sz w:val="24"/>
              </w:rPr>
              <w:t/>
            </w:r>
            <w:proofErr w:type="spellEnd"/>
            <w:r w:rsidR="006214E4" w:rsidRPr="000E4C40">
              <w:rPr>
                <w:color w:val="000000"/>
                <w:sz w:val="24"/>
              </w:rPr>
              <w:t/>
            </w:r>
          </w:p>
        </w:tc>
        <w:tc>
          <w:tcPr>
            <w:tcW w:type="dxa" w:w="3097"/>
            <w:vAlign w:val="center"/>
          </w:tcPr>
          <w:p w:rsidP="00281564" w:rsidR="007521F9" w:rsidRDefault="003D21F4" w:rsidRPr="000E4C40">
            <w:pPr>
              <w:spacing w:before="29" w:line="288" w:lineRule="auto"/>
              <w:ind w:left="17"/>
              <w:jc w:val="center"/>
              <w:rPr>
                <w:color w:val="000000"/>
                <w:sz w:val="24"/>
              </w:rPr>
            </w:pPr>
            <w:r w:rsidRPr="000E4C40">
              <w:rPr>
                <w:rFonts w:hAnsi="宋体"/>
                <w:sz w:val="24"/>
              </w:rPr>
              <w:t>摊余成本（元）</w:t>
            </w:r>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1,694,946,646.36</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4.38</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445,668,038.93</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1.15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445,668,038.93</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1.15</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r w:rsidR="00BC0205" w:rsidRPr="000E4C40">
              <w:rPr>
                <w:rFonts w:hAnsi="宋体"/>
                <w:color w:val="000000"/>
                <w:sz w:val="24"/>
              </w:rPr>
              <w:t>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2,872,869,498.87</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7.42</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w:t>
            </w:r>
          </w:p>
        </w:tc>
      </w:tr>
      <w:tr w:rsidR="00F41AA6" w:rsidRPr="000E4C40" w:rsidTr="0006711A">
        <w:trPr>
          <w:jc w:val="center"/>
        </w:trPr>
        <w:tc>
          <w:tcPr>
            <w:tcW w:type="dxa" w:w="786"/>
            <w:vAlign w:val="center"/>
          </w:tcPr>
          <w:p w:rsidP="0006711A"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06711A"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06711A"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22,959,703,218.22</w:t>
            </w:r>
          </w:p>
        </w:tc>
        <w:tc>
          <w:tcPr>
            <w:tcW w:type="dxa" w:w="1889"/>
            <w:vAlign w:val="center"/>
          </w:tcPr>
          <w:p w:rsidP="0006711A"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59.33</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27,973,187,402.38</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72.28</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5.6</w:t>
      </w:r>
      <w:r w:rsidR="00902E3F" w:rsidRPr="000E4C40">
        <w:rPr>
          <w:rFonts w:hAnsi="宋体"/>
          <w:b/>
          <w:color w:val="000000"/>
          <w:kern w:val="0"/>
          <w:sz w:val="24"/>
        </w:rPr>
        <w:t>报告期末按摊余成本占基金资产净值比例大小排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tbl>
      <w:tblPr>
        <w:tblStyle w:val="aa"/>
        <w:tblW w:type="dxa" w:w="8868"/>
        <w:jc w:val="center"/>
        <w:tblInd w:type="dxa" w:w="15"/>
        <w:tblCellMar>
          <w:top w:type="dxa" w:w="57"/>
          <w:bottom w:type="dxa" w:w="57"/>
        </w:tblCellMar>
        <w:tblLook w:val="04A0"/>
      </w:tblPr>
      <w:tblGrid>
        <w:gridCol w:w="1203"/>
        <w:gridCol w:w="1258"/>
        <w:gridCol w:w="1437"/>
        <w:gridCol w:w="1334"/>
        <w:gridCol w:w="2244"/>
        <w:gridCol w:w="1811"/>
      </w:tblGrid>
      <w:tr w:rsidR="0044671E" w:rsidRPr="000E4C40" w:rsidTr="00B13F60">
        <w:trPr>
          <w:jc w:val="center"/>
        </w:trPr>
        <w:tc>
          <w:tcPr>
            <w:tcW w:type="dxa" w:w="1187"/>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274"/>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55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23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p>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w:t>
            </w:r>
            <w:r w:rsidRPr="000E4C40">
              <w:rPr>
                <w:rFonts w:hAnsi="宋体"/>
                <w:color w:val="000000"/>
                <w:kern w:val="0"/>
                <w:sz w:val="24"/>
              </w:rPr>
              <w:t>张</w:t>
            </w:r>
            <w:r w:rsidRPr="000E4C40">
              <w:rPr>
                <w:color w:val="000000"/>
                <w:kern w:val="0"/>
                <w:sz w:val="24"/>
              </w:rPr>
              <w:t>)</w:t>
            </w:r>
          </w:p>
        </w:tc>
        <w:tc>
          <w:tcPr>
            <w:tcW w:type="dxa" w:w="2360"/>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摊余成本（元）</w:t>
            </w:r>
          </w:p>
        </w:tc>
        <w:tc>
          <w:tcPr>
            <w:tcW w:type="dxa" w:w="167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111884102</w:t>
            </w:r>
          </w:p>
        </w:tc>
        <w:tc>
          <w:tcPr>
            <w:vAlign w:val="center"/>
          </w:tcPr>
          <w:p>
            <w:pPr>
              <w:jc w:val="center"/>
            </w:pPr>
            <w:r>
              <w:rPr>
                <w:color w:val="000000"/>
                <w:sz w:val="24"/>
              </w:rPr>
              <w:t>18徽商银行CD119</w:t>
            </w:r>
          </w:p>
        </w:tc>
        <w:tc>
          <w:tcPr>
            <w:vAlign w:val="center"/>
          </w:tcPr>
          <w:p>
            <w:pPr>
              <w:jc w:val="right"/>
            </w:pPr>
            <w:r>
              <w:rPr>
                <w:color w:val="000000"/>
                <w:sz w:val="24"/>
              </w:rPr>
              <w:t>5,000,000</w:t>
            </w:r>
          </w:p>
        </w:tc>
        <w:tc>
          <w:tcPr>
            <w:vAlign w:val="center"/>
          </w:tcPr>
          <w:p>
            <w:pPr>
              <w:jc w:val="right"/>
            </w:pPr>
            <w:r>
              <w:rPr>
                <w:color w:val="000000"/>
                <w:sz w:val="24"/>
              </w:rPr>
              <w:t>497,250,632.40</w:t>
            </w:r>
          </w:p>
        </w:tc>
        <w:tc>
          <w:tcPr>
            <w:vAlign w:val="center"/>
          </w:tcPr>
          <w:p>
            <w:pPr>
              <w:jc w:val="right"/>
            </w:pPr>
            <w:r>
              <w:rPr>
                <w:color w:val="000000"/>
                <w:sz w:val="24"/>
              </w:rPr>
              <w:t>1.28</w:t>
            </w:r>
          </w:p>
        </w:tc>
      </w:tr>
      <w:tr>
        <w:tc>
          <w:tcPr>
            <w:vAlign w:val="center"/>
          </w:tcPr>
          <w:p>
            <w:pPr>
              <w:jc w:val="center"/>
            </w:pPr>
            <w:r>
              <w:rPr>
                <w:color w:val="000000"/>
                <w:sz w:val="24"/>
              </w:rPr>
              <w:t>2</w:t>
            </w:r>
          </w:p>
        </w:tc>
        <w:tc>
          <w:tcPr>
            <w:vAlign w:val="center"/>
          </w:tcPr>
          <w:p>
            <w:pPr>
              <w:jc w:val="center"/>
            </w:pPr>
            <w:r>
              <w:rPr>
                <w:color w:val="000000"/>
                <w:sz w:val="24"/>
              </w:rPr>
              <w:t>111819365</w:t>
            </w:r>
          </w:p>
        </w:tc>
        <w:tc>
          <w:tcPr>
            <w:vAlign w:val="center"/>
          </w:tcPr>
          <w:p>
            <w:pPr>
              <w:jc w:val="center"/>
            </w:pPr>
            <w:r>
              <w:rPr>
                <w:color w:val="000000"/>
                <w:sz w:val="24"/>
              </w:rPr>
              <w:t>18恒丰银行CD365</w:t>
            </w:r>
          </w:p>
        </w:tc>
        <w:tc>
          <w:tcPr>
            <w:vAlign w:val="center"/>
          </w:tcPr>
          <w:p>
            <w:pPr>
              <w:jc w:val="right"/>
            </w:pPr>
            <w:r>
              <w:rPr>
                <w:color w:val="000000"/>
                <w:sz w:val="24"/>
              </w:rPr>
              <w:t>5,000,000</w:t>
            </w:r>
          </w:p>
        </w:tc>
        <w:tc>
          <w:tcPr>
            <w:vAlign w:val="center"/>
          </w:tcPr>
          <w:p>
            <w:pPr>
              <w:jc w:val="right"/>
            </w:pPr>
            <w:r>
              <w:rPr>
                <w:color w:val="000000"/>
                <w:sz w:val="24"/>
              </w:rPr>
              <w:t>497,020,003.08</w:t>
            </w:r>
          </w:p>
        </w:tc>
        <w:tc>
          <w:tcPr>
            <w:vAlign w:val="center"/>
          </w:tcPr>
          <w:p>
            <w:pPr>
              <w:jc w:val="right"/>
            </w:pPr>
            <w:r>
              <w:rPr>
                <w:color w:val="000000"/>
                <w:sz w:val="24"/>
              </w:rPr>
              <w:t>1.28</w:t>
            </w:r>
          </w:p>
        </w:tc>
      </w:tr>
      <w:tr>
        <w:tc>
          <w:tcPr>
            <w:vAlign w:val="center"/>
          </w:tcPr>
          <w:p>
            <w:pPr>
              <w:jc w:val="center"/>
            </w:pPr>
            <w:r>
              <w:rPr>
                <w:color w:val="000000"/>
                <w:sz w:val="24"/>
              </w:rPr>
              <w:t>3</w:t>
            </w:r>
          </w:p>
        </w:tc>
        <w:tc>
          <w:tcPr>
            <w:vAlign w:val="center"/>
          </w:tcPr>
          <w:p>
            <w:pPr>
              <w:jc w:val="center"/>
            </w:pPr>
            <w:r>
              <w:rPr>
                <w:color w:val="000000"/>
                <w:sz w:val="24"/>
              </w:rPr>
              <w:t>111884273</w:t>
            </w:r>
          </w:p>
        </w:tc>
        <w:tc>
          <w:tcPr>
            <w:vAlign w:val="center"/>
          </w:tcPr>
          <w:p>
            <w:pPr>
              <w:jc w:val="center"/>
            </w:pPr>
            <w:r>
              <w:rPr>
                <w:color w:val="000000"/>
                <w:sz w:val="24"/>
              </w:rPr>
              <w:t>18锦州银行CD194</w:t>
            </w:r>
          </w:p>
        </w:tc>
        <w:tc>
          <w:tcPr>
            <w:vAlign w:val="center"/>
          </w:tcPr>
          <w:p>
            <w:pPr>
              <w:jc w:val="right"/>
            </w:pPr>
            <w:r>
              <w:rPr>
                <w:color w:val="000000"/>
                <w:sz w:val="24"/>
              </w:rPr>
              <w:t>5,000,000</w:t>
            </w:r>
          </w:p>
        </w:tc>
        <w:tc>
          <w:tcPr>
            <w:vAlign w:val="center"/>
          </w:tcPr>
          <w:p>
            <w:pPr>
              <w:jc w:val="right"/>
            </w:pPr>
            <w:r>
              <w:rPr>
                <w:color w:val="000000"/>
                <w:sz w:val="24"/>
              </w:rPr>
              <w:t>497,005,878.95</w:t>
            </w:r>
          </w:p>
        </w:tc>
        <w:tc>
          <w:tcPr>
            <w:vAlign w:val="center"/>
          </w:tcPr>
          <w:p>
            <w:pPr>
              <w:jc w:val="right"/>
            </w:pPr>
            <w:r>
              <w:rPr>
                <w:color w:val="000000"/>
                <w:sz w:val="24"/>
              </w:rPr>
              <w:t>1.28</w:t>
            </w:r>
          </w:p>
        </w:tc>
      </w:tr>
      <w:tr>
        <w:tc>
          <w:tcPr>
            <w:vAlign w:val="center"/>
          </w:tcPr>
          <w:p>
            <w:pPr>
              <w:jc w:val="center"/>
            </w:pPr>
            <w:r>
              <w:rPr>
                <w:color w:val="000000"/>
                <w:sz w:val="24"/>
              </w:rPr>
              <w:t>4</w:t>
            </w:r>
          </w:p>
        </w:tc>
        <w:tc>
          <w:tcPr>
            <w:vAlign w:val="center"/>
          </w:tcPr>
          <w:p>
            <w:pPr>
              <w:jc w:val="center"/>
            </w:pPr>
            <w:r>
              <w:rPr>
                <w:color w:val="000000"/>
                <w:sz w:val="24"/>
              </w:rPr>
              <w:t>111870084</w:t>
            </w:r>
          </w:p>
        </w:tc>
        <w:tc>
          <w:tcPr>
            <w:vAlign w:val="center"/>
          </w:tcPr>
          <w:p>
            <w:pPr>
              <w:jc w:val="center"/>
            </w:pPr>
            <w:r>
              <w:rPr>
                <w:color w:val="000000"/>
                <w:sz w:val="24"/>
              </w:rPr>
              <w:t>18晋商银行CD215</w:t>
            </w:r>
          </w:p>
        </w:tc>
        <w:tc>
          <w:tcPr>
            <w:vAlign w:val="center"/>
          </w:tcPr>
          <w:p>
            <w:pPr>
              <w:jc w:val="right"/>
            </w:pPr>
            <w:r>
              <w:rPr>
                <w:color w:val="000000"/>
                <w:sz w:val="24"/>
              </w:rPr>
              <w:t>5,000,000</w:t>
            </w:r>
          </w:p>
        </w:tc>
        <w:tc>
          <w:tcPr>
            <w:vAlign w:val="center"/>
          </w:tcPr>
          <w:p>
            <w:pPr>
              <w:jc w:val="right"/>
            </w:pPr>
            <w:r>
              <w:rPr>
                <w:color w:val="000000"/>
                <w:sz w:val="24"/>
              </w:rPr>
              <w:t>488,241,246.91</w:t>
            </w:r>
          </w:p>
        </w:tc>
        <w:tc>
          <w:tcPr>
            <w:vAlign w:val="center"/>
          </w:tcPr>
          <w:p>
            <w:pPr>
              <w:jc w:val="right"/>
            </w:pPr>
            <w:r>
              <w:rPr>
                <w:color w:val="000000"/>
                <w:sz w:val="24"/>
              </w:rPr>
              <w:t>1.26</w:t>
            </w:r>
          </w:p>
        </w:tc>
      </w:tr>
      <w:tr>
        <w:tc>
          <w:tcPr>
            <w:vAlign w:val="center"/>
          </w:tcPr>
          <w:p>
            <w:pPr>
              <w:jc w:val="center"/>
            </w:pPr>
            <w:r>
              <w:rPr>
                <w:color w:val="000000"/>
                <w:sz w:val="24"/>
              </w:rPr>
              <w:t>5</w:t>
            </w:r>
          </w:p>
        </w:tc>
        <w:tc>
          <w:tcPr>
            <w:vAlign w:val="center"/>
          </w:tcPr>
          <w:p>
            <w:pPr>
              <w:jc w:val="center"/>
            </w:pPr>
            <w:r>
              <w:rPr>
                <w:color w:val="000000"/>
                <w:sz w:val="24"/>
              </w:rPr>
              <w:t>111870700</w:t>
            </w:r>
          </w:p>
        </w:tc>
        <w:tc>
          <w:tcPr>
            <w:vAlign w:val="center"/>
          </w:tcPr>
          <w:p>
            <w:pPr>
              <w:jc w:val="center"/>
            </w:pPr>
            <w:r>
              <w:rPr>
                <w:color w:val="000000"/>
                <w:sz w:val="24"/>
              </w:rPr>
              <w:t>18东亚银行CD050</w:t>
            </w:r>
          </w:p>
        </w:tc>
        <w:tc>
          <w:tcPr>
            <w:vAlign w:val="center"/>
          </w:tcPr>
          <w:p>
            <w:pPr>
              <w:jc w:val="right"/>
            </w:pPr>
            <w:r>
              <w:rPr>
                <w:color w:val="000000"/>
                <w:sz w:val="24"/>
              </w:rPr>
              <w:t>4,000,000</w:t>
            </w:r>
          </w:p>
        </w:tc>
        <w:tc>
          <w:tcPr>
            <w:vAlign w:val="center"/>
          </w:tcPr>
          <w:p>
            <w:pPr>
              <w:jc w:val="right"/>
            </w:pPr>
            <w:r>
              <w:rPr>
                <w:color w:val="000000"/>
                <w:sz w:val="24"/>
              </w:rPr>
              <w:t>397,726,068.68</w:t>
            </w:r>
          </w:p>
        </w:tc>
        <w:tc>
          <w:tcPr>
            <w:vAlign w:val="center"/>
          </w:tcPr>
          <w:p>
            <w:pPr>
              <w:jc w:val="right"/>
            </w:pPr>
            <w:r>
              <w:rPr>
                <w:color w:val="000000"/>
                <w:sz w:val="24"/>
              </w:rPr>
              <w:t>1.03</w:t>
            </w:r>
          </w:p>
        </w:tc>
      </w:tr>
      <w:tr>
        <w:tc>
          <w:tcPr>
            <w:vAlign w:val="center"/>
          </w:tcPr>
          <w:p>
            <w:pPr>
              <w:jc w:val="center"/>
            </w:pPr>
            <w:r>
              <w:rPr>
                <w:color w:val="000000"/>
                <w:sz w:val="24"/>
              </w:rPr>
              <w:t>6</w:t>
            </w:r>
          </w:p>
        </w:tc>
        <w:tc>
          <w:tcPr>
            <w:vAlign w:val="center"/>
          </w:tcPr>
          <w:p>
            <w:pPr>
              <w:jc w:val="center"/>
            </w:pPr>
            <w:r>
              <w:rPr>
                <w:color w:val="000000"/>
                <w:sz w:val="24"/>
              </w:rPr>
              <w:t>111821370</w:t>
            </w:r>
          </w:p>
        </w:tc>
        <w:tc>
          <w:tcPr>
            <w:vAlign w:val="center"/>
          </w:tcPr>
          <w:p>
            <w:pPr>
              <w:jc w:val="center"/>
            </w:pPr>
            <w:r>
              <w:rPr>
                <w:color w:val="000000"/>
                <w:sz w:val="24"/>
              </w:rPr>
              <w:t>18渤海银行CD370</w:t>
            </w:r>
          </w:p>
        </w:tc>
        <w:tc>
          <w:tcPr>
            <w:vAlign w:val="center"/>
          </w:tcPr>
          <w:p>
            <w:pPr>
              <w:jc w:val="right"/>
            </w:pPr>
            <w:r>
              <w:rPr>
                <w:color w:val="000000"/>
                <w:sz w:val="24"/>
              </w:rPr>
              <w:t>3,400,000</w:t>
            </w:r>
          </w:p>
        </w:tc>
        <w:tc>
          <w:tcPr>
            <w:vAlign w:val="center"/>
          </w:tcPr>
          <w:p>
            <w:pPr>
              <w:jc w:val="right"/>
            </w:pPr>
            <w:r>
              <w:rPr>
                <w:color w:val="000000"/>
                <w:sz w:val="24"/>
              </w:rPr>
              <w:t>338,057,961.14</w:t>
            </w:r>
          </w:p>
        </w:tc>
        <w:tc>
          <w:tcPr>
            <w:vAlign w:val="center"/>
          </w:tcPr>
          <w:p>
            <w:pPr>
              <w:jc w:val="right"/>
            </w:pPr>
            <w:r>
              <w:rPr>
                <w:color w:val="000000"/>
                <w:sz w:val="24"/>
              </w:rPr>
              <w:t>0.87</w:t>
            </w:r>
          </w:p>
        </w:tc>
      </w:tr>
      <w:tr>
        <w:tc>
          <w:tcPr>
            <w:vAlign w:val="center"/>
          </w:tcPr>
          <w:p>
            <w:pPr>
              <w:jc w:val="center"/>
            </w:pPr>
            <w:r>
              <w:rPr>
                <w:color w:val="000000"/>
                <w:sz w:val="24"/>
              </w:rPr>
              <w:t>7</w:t>
            </w:r>
          </w:p>
        </w:tc>
        <w:tc>
          <w:tcPr>
            <w:vAlign w:val="center"/>
          </w:tcPr>
          <w:p>
            <w:pPr>
              <w:jc w:val="center"/>
            </w:pPr>
            <w:r>
              <w:rPr>
                <w:color w:val="000000"/>
                <w:sz w:val="24"/>
              </w:rPr>
              <w:t>071800041</w:t>
            </w:r>
          </w:p>
        </w:tc>
        <w:tc>
          <w:tcPr>
            <w:vAlign w:val="center"/>
          </w:tcPr>
          <w:p>
            <w:pPr>
              <w:jc w:val="center"/>
            </w:pPr>
            <w:r>
              <w:rPr>
                <w:color w:val="000000"/>
                <w:sz w:val="24"/>
              </w:rPr>
              <w:t>18国泰君安CP005</w:t>
            </w:r>
          </w:p>
        </w:tc>
        <w:tc>
          <w:tcPr>
            <w:vAlign w:val="center"/>
          </w:tcPr>
          <w:p>
            <w:pPr>
              <w:jc w:val="right"/>
            </w:pPr>
            <w:r>
              <w:rPr>
                <w:color w:val="000000"/>
                <w:sz w:val="24"/>
              </w:rPr>
              <w:t>3,000,000</w:t>
            </w:r>
          </w:p>
        </w:tc>
        <w:tc>
          <w:tcPr>
            <w:vAlign w:val="center"/>
          </w:tcPr>
          <w:p>
            <w:pPr>
              <w:jc w:val="right"/>
            </w:pPr>
            <w:r>
              <w:rPr>
                <w:color w:val="000000"/>
                <w:sz w:val="24"/>
              </w:rPr>
              <w:t>300,000,023.37</w:t>
            </w:r>
          </w:p>
        </w:tc>
        <w:tc>
          <w:tcPr>
            <w:vAlign w:val="center"/>
          </w:tcPr>
          <w:p>
            <w:pPr>
              <w:jc w:val="right"/>
            </w:pPr>
            <w:r>
              <w:rPr>
                <w:color w:val="000000"/>
                <w:sz w:val="24"/>
              </w:rPr>
              <w:t>0.78</w:t>
            </w:r>
          </w:p>
        </w:tc>
      </w:tr>
      <w:tr>
        <w:tc>
          <w:tcPr>
            <w:vAlign w:val="center"/>
          </w:tcPr>
          <w:p>
            <w:pPr>
              <w:jc w:val="center"/>
            </w:pPr>
            <w:r>
              <w:rPr>
                <w:color w:val="000000"/>
                <w:sz w:val="24"/>
              </w:rPr>
              <w:t>8</w:t>
            </w:r>
          </w:p>
        </w:tc>
        <w:tc>
          <w:tcPr>
            <w:vAlign w:val="center"/>
          </w:tcPr>
          <w:p>
            <w:pPr>
              <w:jc w:val="center"/>
            </w:pPr>
            <w:r>
              <w:rPr>
                <w:color w:val="000000"/>
                <w:sz w:val="24"/>
              </w:rPr>
              <w:t>111819430</w:t>
            </w:r>
          </w:p>
        </w:tc>
        <w:tc>
          <w:tcPr>
            <w:vAlign w:val="center"/>
          </w:tcPr>
          <w:p>
            <w:pPr>
              <w:jc w:val="center"/>
            </w:pPr>
            <w:r>
              <w:rPr>
                <w:color w:val="000000"/>
                <w:sz w:val="24"/>
              </w:rPr>
              <w:t>18恒丰银行CD430</w:t>
            </w:r>
          </w:p>
        </w:tc>
        <w:tc>
          <w:tcPr>
            <w:vAlign w:val="center"/>
          </w:tcPr>
          <w:p>
            <w:pPr>
              <w:jc w:val="right"/>
            </w:pPr>
            <w:r>
              <w:rPr>
                <w:color w:val="000000"/>
                <w:sz w:val="24"/>
              </w:rPr>
              <w:t>3,000,000</w:t>
            </w:r>
          </w:p>
        </w:tc>
        <w:tc>
          <w:tcPr>
            <w:vAlign w:val="center"/>
          </w:tcPr>
          <w:p>
            <w:pPr>
              <w:jc w:val="right"/>
            </w:pPr>
            <w:r>
              <w:rPr>
                <w:color w:val="000000"/>
                <w:sz w:val="24"/>
              </w:rPr>
              <w:t>299,256,045.98</w:t>
            </w:r>
          </w:p>
        </w:tc>
        <w:tc>
          <w:tcPr>
            <w:vAlign w:val="center"/>
          </w:tcPr>
          <w:p>
            <w:pPr>
              <w:jc w:val="right"/>
            </w:pPr>
            <w:r>
              <w:rPr>
                <w:color w:val="000000"/>
                <w:sz w:val="24"/>
              </w:rPr>
              <w:t>0.77</w:t>
            </w:r>
          </w:p>
        </w:tc>
      </w:tr>
      <w:tr>
        <w:tc>
          <w:tcPr>
            <w:vAlign w:val="center"/>
          </w:tcPr>
          <w:p>
            <w:pPr>
              <w:jc w:val="center"/>
            </w:pPr>
            <w:r>
              <w:rPr>
                <w:color w:val="000000"/>
                <w:sz w:val="24"/>
              </w:rPr>
              <w:t>9</w:t>
            </w:r>
          </w:p>
        </w:tc>
        <w:tc>
          <w:tcPr>
            <w:vAlign w:val="center"/>
          </w:tcPr>
          <w:p>
            <w:pPr>
              <w:jc w:val="center"/>
            </w:pPr>
            <w:r>
              <w:rPr>
                <w:color w:val="000000"/>
                <w:sz w:val="24"/>
              </w:rPr>
              <w:t>111821355</w:t>
            </w:r>
          </w:p>
        </w:tc>
        <w:tc>
          <w:tcPr>
            <w:vAlign w:val="center"/>
          </w:tcPr>
          <w:p>
            <w:pPr>
              <w:jc w:val="center"/>
            </w:pPr>
            <w:r>
              <w:rPr>
                <w:color w:val="000000"/>
                <w:sz w:val="24"/>
              </w:rPr>
              <w:t>18渤海银行CD355</w:t>
            </w:r>
          </w:p>
        </w:tc>
        <w:tc>
          <w:tcPr>
            <w:vAlign w:val="center"/>
          </w:tcPr>
          <w:p>
            <w:pPr>
              <w:jc w:val="right"/>
            </w:pPr>
            <w:r>
              <w:rPr>
                <w:color w:val="000000"/>
                <w:sz w:val="24"/>
              </w:rPr>
              <w:t>3,000,000</w:t>
            </w:r>
          </w:p>
        </w:tc>
        <w:tc>
          <w:tcPr>
            <w:vAlign w:val="center"/>
          </w:tcPr>
          <w:p>
            <w:pPr>
              <w:jc w:val="right"/>
            </w:pPr>
            <w:r>
              <w:rPr>
                <w:color w:val="000000"/>
                <w:sz w:val="24"/>
              </w:rPr>
              <w:t>298,514,558.31</w:t>
            </w:r>
          </w:p>
        </w:tc>
        <w:tc>
          <w:tcPr>
            <w:vAlign w:val="center"/>
          </w:tcPr>
          <w:p>
            <w:pPr>
              <w:jc w:val="right"/>
            </w:pPr>
            <w:r>
              <w:rPr>
                <w:color w:val="000000"/>
                <w:sz w:val="24"/>
              </w:rPr>
              <w:t>0.77</w:t>
            </w:r>
          </w:p>
        </w:tc>
      </w:tr>
      <w:tr>
        <w:tc>
          <w:tcPr>
            <w:vAlign w:val="center"/>
          </w:tcPr>
          <w:p>
            <w:pPr>
              <w:jc w:val="center"/>
            </w:pPr>
            <w:r>
              <w:rPr>
                <w:color w:val="000000"/>
                <w:sz w:val="24"/>
              </w:rPr>
              <w:t>10</w:t>
            </w:r>
          </w:p>
        </w:tc>
        <w:tc>
          <w:tcPr>
            <w:vAlign w:val="center"/>
          </w:tcPr>
          <w:p>
            <w:pPr>
              <w:jc w:val="center"/>
            </w:pPr>
            <w:r>
              <w:rPr>
                <w:color w:val="000000"/>
                <w:sz w:val="24"/>
              </w:rPr>
              <w:t>111821356</w:t>
            </w:r>
          </w:p>
        </w:tc>
        <w:tc>
          <w:tcPr>
            <w:vAlign w:val="center"/>
          </w:tcPr>
          <w:p>
            <w:pPr>
              <w:jc w:val="center"/>
            </w:pPr>
            <w:r>
              <w:rPr>
                <w:color w:val="000000"/>
                <w:sz w:val="24"/>
              </w:rPr>
              <w:t>18渤海银行CD356</w:t>
            </w:r>
          </w:p>
        </w:tc>
        <w:tc>
          <w:tcPr>
            <w:vAlign w:val="center"/>
          </w:tcPr>
          <w:p>
            <w:pPr>
              <w:jc w:val="right"/>
            </w:pPr>
            <w:r>
              <w:rPr>
                <w:color w:val="000000"/>
                <w:sz w:val="24"/>
              </w:rPr>
              <w:t>3,000,000</w:t>
            </w:r>
          </w:p>
        </w:tc>
        <w:tc>
          <w:tcPr>
            <w:vAlign w:val="center"/>
          </w:tcPr>
          <w:p>
            <w:pPr>
              <w:jc w:val="right"/>
            </w:pPr>
            <w:r>
              <w:rPr>
                <w:color w:val="000000"/>
                <w:sz w:val="24"/>
              </w:rPr>
              <w:t>298,496,602.83</w:t>
            </w:r>
          </w:p>
        </w:tc>
        <w:tc>
          <w:tcPr>
            <w:vAlign w:val="center"/>
          </w:tcPr>
          <w:p>
            <w:pPr>
              <w:jc w:val="right"/>
            </w:pPr>
            <w:r>
              <w:rPr>
                <w:color w:val="000000"/>
                <w:sz w:val="24"/>
              </w:rPr>
              <w:t>0.77</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roofErr w:type="spellStart"/>
            <w:r w:rsidR="006D4647" w:rsidRPr="000E4C40">
              <w:rPr>
                <w:color w:val="000000"/>
                <w:kern w:val="0"/>
                <w:sz w:val="24"/>
              </w:rPr>
              <w:t/>
            </w:r>
            <w:proofErr w:type="spellEnd"/>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0.1065%</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-0.0442%</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0.0520%</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本基金本报告期内未存在负偏离度的绝对值达到0.25%情况。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本基金本报告期内未存在正偏离度的绝对值达到0.50%情况。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tbl>
      <w:tblPr>
        <w:tblStyle w:val="aa"/>
        <w:tblW w:type="dxa" w:w="8868"/>
        <w:jc w:val="center"/>
        <w:tblCellMar>
          <w:top w:type="dxa" w:w="57"/>
          <w:bottom w:type="dxa" w:w="57"/>
        </w:tblCellMar>
        <w:tblLook w:val="04A0"/>
      </w:tblPr>
      <w:tblGrid>
        <w:gridCol w:w="1465"/>
        <w:gridCol w:w="1464"/>
        <w:gridCol w:w="1464"/>
        <w:gridCol w:w="1567"/>
        <w:gridCol w:w="1567"/>
        <w:gridCol w:w="1775"/>
      </w:tblGrid>
      <w:tr w:rsidR="00BF1111" w:rsidRPr="000E4C40" w:rsidTr="00B13F60">
        <w:trPr>
          <w:jc w:val="center"/>
        </w:trPr>
        <w:tc>
          <w:tcPr>
            <w:tcW w:type="dxa" w:w="1547"/>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数量</w:t>
            </w:r>
            <w:r w:rsidRPr="000E4C40">
              <w:rPr>
                <w:color w:val="000000"/>
                <w:kern w:val="0"/>
                <w:sz w:val="24"/>
              </w:rPr>
              <w:t>(</w:t>
            </w:r>
            <w:r w:rsidRPr="000E4C40">
              <w:rPr>
                <w:rFonts w:hAnsi="宋体"/>
                <w:color w:val="000000"/>
                <w:kern w:val="0"/>
                <w:sz w:val="24"/>
              </w:rPr>
              <w:t>份</w:t>
            </w:r>
            <w:r w:rsidRPr="000E4C40">
              <w:rPr>
                <w:color w:val="000000"/>
                <w:kern w:val="0"/>
                <w:sz w:val="24"/>
              </w:rPr>
              <w:t>)</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公允价值</w:t>
            </w:r>
            <w:r w:rsidRPr="000E4C40">
              <w:rPr>
                <w:color w:val="000000"/>
                <w:kern w:val="0"/>
                <w:sz w:val="24"/>
              </w:rPr>
              <w:t>(</w:t>
            </w:r>
            <w:r w:rsidRPr="000E4C40">
              <w:rPr>
                <w:rFonts w:hAnsi="宋体"/>
                <w:color w:val="000000"/>
                <w:kern w:val="0"/>
                <w:sz w:val="24"/>
              </w:rPr>
              <w:t>元</w:t>
            </w:r>
            <w:r w:rsidRPr="000E4C40">
              <w:rPr>
                <w:color w:val="000000"/>
                <w:kern w:val="0"/>
                <w:sz w:val="24"/>
              </w:rPr>
              <w:t>)</w:t>
            </w:r>
          </w:p>
        </w:tc>
        <w:tc>
          <w:tcPr>
            <w:tcW w:type="dxa" w:w="1548"/>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156288</w:t>
            </w:r>
          </w:p>
        </w:tc>
        <w:tc>
          <w:tcPr>
            <w:vAlign w:val="center"/>
          </w:tcPr>
          <w:p>
            <w:pPr>
              <w:jc w:val="center"/>
            </w:pPr>
            <w:r>
              <w:rPr>
                <w:color w:val="000000"/>
                <w:sz w:val="24"/>
              </w:rPr>
              <w:t>宁远07A1</w:t>
            </w:r>
          </w:p>
        </w:tc>
        <w:tc>
          <w:tcPr>
            <w:vAlign w:val="center"/>
          </w:tcPr>
          <w:p>
            <w:pPr>
              <w:jc w:val="right"/>
            </w:pPr>
            <w:r>
              <w:rPr>
                <w:color w:val="000000"/>
                <w:sz w:val="24"/>
              </w:rPr>
              <w:t>1,000,000</w:t>
            </w:r>
          </w:p>
        </w:tc>
        <w:tc>
          <w:tcPr>
            <w:vAlign w:val="center"/>
          </w:tcPr>
          <w:p>
            <w:pPr>
              <w:jc w:val="right"/>
            </w:pPr>
            <w:r>
              <w:rPr>
                <w:color w:val="000000"/>
                <w:sz w:val="24"/>
              </w:rPr>
              <w:t>100,000,000.00</w:t>
            </w:r>
          </w:p>
        </w:tc>
        <w:tc>
          <w:tcPr>
            <w:vAlign w:val="center"/>
          </w:tcPr>
          <w:p>
            <w:pPr>
              <w:jc w:val="right"/>
            </w:pPr>
            <w:r>
              <w:rPr>
                <w:color w:val="000000"/>
                <w:sz w:val="24"/>
              </w:rPr>
              <w:t>0.26</w:t>
            </w:r>
          </w:p>
        </w:tc>
      </w:tr>
      <w:tr>
        <w:tc>
          <w:tcPr>
            <w:vAlign w:val="center"/>
          </w:tcPr>
          <w:p>
            <w:pPr>
              <w:jc w:val="center"/>
            </w:pPr>
            <w:r>
              <w:rPr>
                <w:color w:val="000000"/>
                <w:sz w:val="24"/>
              </w:rPr>
              <w:t>2</w:t>
            </w:r>
          </w:p>
        </w:tc>
        <w:tc>
          <w:tcPr>
            <w:vAlign w:val="center"/>
          </w:tcPr>
          <w:p>
            <w:pPr>
              <w:jc w:val="center"/>
            </w:pPr>
            <w:r>
              <w:rPr>
                <w:color w:val="000000"/>
                <w:sz w:val="24"/>
              </w:rPr>
              <w:t>149553</w:t>
            </w:r>
          </w:p>
        </w:tc>
        <w:tc>
          <w:tcPr>
            <w:vAlign w:val="center"/>
          </w:tcPr>
          <w:p>
            <w:pPr>
              <w:jc w:val="center"/>
            </w:pPr>
            <w:r>
              <w:rPr>
                <w:color w:val="000000"/>
                <w:sz w:val="24"/>
              </w:rPr>
              <w:t>宁远04A1</w:t>
            </w:r>
          </w:p>
        </w:tc>
        <w:tc>
          <w:tcPr>
            <w:vAlign w:val="center"/>
          </w:tcPr>
          <w:p>
            <w:pPr>
              <w:jc w:val="right"/>
            </w:pPr>
            <w:r>
              <w:rPr>
                <w:color w:val="000000"/>
                <w:sz w:val="24"/>
              </w:rPr>
              <w:t>500,000</w:t>
            </w:r>
          </w:p>
        </w:tc>
        <w:tc>
          <w:tcPr>
            <w:vAlign w:val="center"/>
          </w:tcPr>
          <w:p>
            <w:pPr>
              <w:jc w:val="right"/>
            </w:pPr>
            <w:r>
              <w:rPr>
                <w:color w:val="000000"/>
                <w:sz w:val="24"/>
              </w:rPr>
              <w:t>50,000,000.00</w:t>
            </w:r>
          </w:p>
        </w:tc>
        <w:tc>
          <w:tcPr>
            <w:vAlign w:val="center"/>
          </w:tcPr>
          <w:p>
            <w:pPr>
              <w:jc w:val="right"/>
            </w:pPr>
            <w:r>
              <w:rPr>
                <w:color w:val="000000"/>
                <w:sz w:val="24"/>
              </w:rPr>
              <w:t>0.13</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0E4C40">
      <w:pPr>
        <w:spacing w:before="29" w:line="288" w:lineRule="auto"/>
        <w:rPr>
          <w:sz w:val="24"/>
        </w:rPr>
      </w:pPr>
      <w:r>
        <w:rPr>
          <w:sz w:val="24"/>
        </w:rPr>
        <w:t>5.9</w:t>
      </w:r>
      <w:r w:rsidR="00902E3F" w:rsidRPr="000E4C40">
        <w:rPr>
          <w:sz w:val="24"/>
        </w:rPr>
        <w:t>.1</w:t>
      </w:r>
      <w:r w:rsidR="009D74FC" w:rsidRPr="000E4C40">
        <w:rPr>
          <w:rFonts w:hAnsi="宋体"/>
          <w:sz w:val="24"/>
        </w:rPr>
        <w:t>基金计价方法说明</w:t>
      </w:r>
    </w:p>
    <w:p w:rsidP="00930856" w:rsidR="00D40363" w:rsidRDefault="00D40363" w:rsidRPr="000E4C40">
      <w:pPr>
        <w:spacing w:before="29" w:line="288" w:lineRule="auto"/>
        <w:rPr>
          <w:color w:val="000000"/>
          <w:sz w:val="24"/>
        </w:rPr>
      </w:pPr>
      <w:r w:rsidRPr="000E4C40">
        <w:rPr>
          <w:color w:val="000000"/>
          <w:sz w:val="24"/>
        </w:rPr>
        <w:lastRenderedPageBreak/>
        <w:t/>
      </w:r>
      <w:proofErr w:type="spellStart"/>
      <w:r w:rsidRPr="000E4C40">
        <w:rPr>
          <w:color w:val="000000"/>
          <w:sz w:val="24"/>
        </w:rPr>
        <w:t/>
      </w:r>
      <w:proofErr w:type="spellEnd"/>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Pr>
          <w:bCs/>
          <w:sz w:val="24"/>
        </w:rPr>
        <w:t>5.9</w:t>
      </w:r>
      <w:r w:rsidR="00EB25E4" w:rsidRPr="000E4C40">
        <w:rPr>
          <w:bCs/>
          <w:sz w:val="24"/>
        </w:rPr>
        <w:t>.</w:t>
      </w:r>
      <w:r>
        <w:rPr>
          <w:bCs/>
          <w:sz w:val="24"/>
        </w:rPr>
        <w:t>2</w:t>
      </w:r>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0E4C40">
      <w:pPr>
        <w:spacing w:before="29" w:line="288" w:lineRule="auto"/>
        <w:rPr>
          <w:color w:val="000000"/>
          <w:kern w:val="0"/>
          <w:sz w:val="24"/>
        </w:rPr>
      </w:pPr>
      <w:r>
        <w:rPr>
          <w:color w:val="000000"/>
          <w:kern w:val="0"/>
          <w:sz w:val="24"/>
        </w:rPr>
        <w:t>5.9</w:t>
      </w:r>
      <w:r w:rsidR="009D74FC" w:rsidRPr="000E4C40">
        <w:rPr>
          <w:color w:val="000000"/>
          <w:kern w:val="0"/>
          <w:sz w:val="24"/>
        </w:rPr>
        <w:t>.</w:t>
      </w:r>
      <w:r>
        <w:rPr>
          <w:color w:val="000000"/>
          <w:kern w:val="0"/>
          <w:sz w:val="24"/>
        </w:rPr>
        <w:t>3</w:t>
      </w:r>
      <w:r w:rsidR="003B36B4" w:rsidRPr="000E4C40">
        <w:rPr>
          <w:rFonts w:hAnsi="宋体"/>
          <w:color w:val="000000"/>
          <w:kern w:val="0"/>
          <w:sz w:val="24"/>
        </w:rPr>
        <w:t>其他各项资产构成</w:t>
      </w:r>
    </w:p>
    <w:tbl>
      <w:tblPr>
        <w:tblStyle w:val="aa"/>
        <w:tblW w:type="dxa" w:w="8868"/>
        <w:jc w:val="center"/>
        <w:tblInd w:type="dxa" w:w="17"/>
        <w:tblLayout w:type="fixed"/>
        <w:tblLook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r w:rsidR="005B0F46" w:rsidRPr="000E4C40">
              <w:rPr>
                <w:rFonts w:hAnsi="宋体"/>
                <w:color w:val="000000"/>
                <w:kern w:val="0"/>
                <w:sz w:val="24"/>
              </w:rPr>
              <w:t>（元）</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80,907,357.13</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5,046,696.76</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85,954,053.89</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0E4C40">
      <w:pPr>
        <w:spacing w:before="29" w:line="288" w:lineRule="auto"/>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2304D5">
        <w:rPr>
          <w:color w:val="000000"/>
          <w:kern w:val="0"/>
          <w:sz w:val="24"/>
        </w:rPr>
        <w:t>5.9.4</w:t>
      </w:r>
      <w:r w:rsidR="00DE7C60" w:rsidRPr="000E4C40">
        <w:rPr>
          <w:rFonts w:hAnsi="宋体"/>
          <w:color w:val="000000"/>
          <w:kern w:val="0"/>
          <w:sz w:val="24"/>
        </w:rPr>
        <w:t>投资组合报告附注的其他文字描述部分</w:t>
      </w:r>
    </w:p>
    <w:p w:rsidP="00930856" w:rsidR="00452D31" w:rsidRDefault="00452D31" w:rsidRPr="000E4C40">
      <w:pPr>
        <w:spacing w:before="29" w:line="288" w:lineRule="auto"/>
        <w:rPr>
          <w:color w:val="000000"/>
          <w:sz w:val="24"/>
        </w:rPr>
      </w:pPr>
      <w:r w:rsidRPr="000E4C40">
        <w:rPr>
          <w:color w:val="000000"/>
          <w:sz w:val="24"/>
        </w:rPr>
        <w:t/>
      </w:r>
      <w:proofErr w:type="spellStart"/>
      <w:r w:rsidR="000C469F" w:rsidRPr="000E4C40">
        <w:rPr>
          <w:color w:val="000000"/>
          <w:sz w:val="24"/>
        </w:rPr>
        <w:t/>
      </w:r>
      <w:proofErr w:type="spellEnd"/>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Lines="100"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proofErr w:type="spellStart"/>
            <w:r w:rsidRPr="000E4C40">
              <w:rPr>
                <w:color w:val="000000"/>
                <w:kern w:val="0"/>
                <w:sz w:val="24"/>
              </w:rPr>
              <w:t/>
            </w:r>
            <w:r w:rsidRPr="000E4C40">
              <w:rPr>
                <w:sz w:val="24"/>
              </w:rPr>
              <w:t/>
            </w:r>
            <w:r w:rsidR="00327FB0" w:rsidRPr="000E4C40">
              <w:rPr>
                <w:sz w:val="24"/>
              </w:rPr>
              <w:t/>
            </w:r>
            <w:r w:rsidRPr="000E4C40">
              <w:rPr>
                <w:sz w:val="24"/>
              </w:rPr>
              <w:t/>
            </w:r>
            <w:proofErr w:type="spellEnd"/>
            <w:r w:rsidRPr="000E4C40">
              <w:rPr>
                <w:sz w:val="24"/>
              </w:rPr>
              <w:t>交银活期通货币A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r w:rsidRPr="000E4C40">
              <w:rPr>
                <w:sz w:val="24"/>
              </w:rPr>
              <w:t/>
            </w:r>
            <w:r w:rsidR="00327FB0" w:rsidRPr="000E4C40">
              <w:rPr>
                <w:sz w:val="24"/>
              </w:rPr>
              <w:t/>
            </w:r>
            <w:r w:rsidR="000F78F3">
              <w:rPr>
                <w:sz w:val="24"/>
              </w:rPr>
              <w:t/>
            </w:r>
            <w:r w:rsidR="000F78F3">
              <w:rPr>
                <w:rFonts w:hint="eastAsia"/>
                <w:sz w:val="24"/>
              </w:rPr>
              <w:t/>
            </w:r>
            <w:r w:rsidRPr="000E4C40">
              <w:rPr>
                <w:sz w:val="24"/>
              </w:rPr>
              <w:t>交银活期通货币E</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报告期期初基金份额总额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24,501,033,235.44</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6,189,733,803.17</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Pr="000E4C40">
              <w:rPr>
                <w:color w:val="000000"/>
                <w:kern w:val="0"/>
                <w:sz w:val="24"/>
              </w:rPr>
              <w:lastRenderedPageBreak/>
              <w:t/>
            </w:r>
            <w:r w:rsidR="00327FB0" w:rsidRPr="000E4C40">
              <w:rPr>
                <w:color w:val="000000"/>
                <w:kern w:val="0"/>
                <w:sz w:val="24"/>
              </w:rPr>
              <w:t/>
            </w:r>
            <w:r w:rsidRPr="000E4C40">
              <w:rPr>
                <w:color w:val="000000"/>
                <w:kern w:val="0"/>
                <w:sz w:val="24"/>
              </w:rPr>
              <w:t/>
            </w:r>
            <w:proofErr w:type="spellEnd"/>
            <w:r w:rsidRPr="000E4C40">
              <w:rPr>
                <w:color w:val="000000"/>
                <w:kern w:val="0"/>
                <w:sz w:val="24"/>
              </w:rPr>
              <w:t>21,545,309,016.57</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lastRenderedPageBreak/>
              <w:t/>
            </w:r>
            <w:r w:rsidRPr="000E4C40">
              <w:rPr>
                <w:color w:val="000000"/>
                <w:kern w:val="0"/>
                <w:sz w:val="24"/>
              </w:rPr>
              <w:lastRenderedPageBreak/>
              <w:t/>
            </w:r>
            <w:r w:rsidR="00327FB0" w:rsidRPr="000E4C40">
              <w:rPr>
                <w:color w:val="000000"/>
                <w:kern w:val="0"/>
                <w:sz w:val="24"/>
              </w:rPr>
              <w:t/>
            </w:r>
            <w:r w:rsidR="000F78F3">
              <w:rPr>
                <w:rFonts w:hint="eastAsia"/>
                <w:color w:val="000000"/>
                <w:kern w:val="0"/>
                <w:sz w:val="24"/>
              </w:rPr>
              <w:t/>
            </w:r>
            <w:r w:rsidRPr="000E4C40">
              <w:rPr>
                <w:color w:val="000000"/>
                <w:kern w:val="0"/>
                <w:sz w:val="24"/>
              </w:rPr>
              <w:t>26,539,728,054.18</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27FB0" w:rsidRPr="000E4C40">
              <w:rPr>
                <w:color w:val="000000"/>
                <w:kern w:val="0"/>
                <w:sz w:val="24"/>
              </w:rPr>
              <w:t/>
            </w:r>
            <w:r w:rsidRPr="000E4C40">
              <w:rPr>
                <w:color w:val="000000"/>
                <w:kern w:val="0"/>
                <w:sz w:val="24"/>
              </w:rPr>
              <w:t/>
            </w:r>
            <w:proofErr w:type="spellEnd"/>
            <w:r w:rsidRPr="000E4C40">
              <w:rPr>
                <w:color w:val="000000"/>
                <w:kern w:val="0"/>
                <w:sz w:val="24"/>
              </w:rPr>
              <w:t>24,649,270,201.31</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15,428,037,242.67</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D1ECF" w:rsidRPr="000E4C40">
              <w:rPr>
                <w:color w:val="000000"/>
                <w:kern w:val="0"/>
                <w:sz w:val="24"/>
              </w:rPr>
              <w:t/>
            </w:r>
            <w:r w:rsidRPr="000E4C40">
              <w:rPr>
                <w:color w:val="000000"/>
                <w:kern w:val="0"/>
                <w:sz w:val="24"/>
              </w:rPr>
              <w:t/>
            </w:r>
            <w:proofErr w:type="spellEnd"/>
            <w:r w:rsidRPr="000E4C40">
              <w:rPr>
                <w:color w:val="000000"/>
                <w:kern w:val="0"/>
                <w:sz w:val="24"/>
              </w:rPr>
              <w:t>21,397,072,050.70</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17,301,424,614.68</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r w:rsidR="00AA5B03" w:rsidRPr="000E4C40">
        <w:rPr>
          <w:color w:val="000000"/>
          <w:sz w:val="24"/>
        </w:rPr>
        <w:t/>
      </w:r>
      <w:proofErr w:type="spellStart"/>
      <w:r w:rsidR="00AA5B03" w:rsidRPr="000E4C40">
        <w:rPr>
          <w:color w:val="000000"/>
          <w:sz w:val="24"/>
        </w:rPr>
        <w:t/>
      </w:r>
      <w:proofErr w:type="spellEnd"/>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Lines="100" w:beforeLines="100" w:line="288" w:lineRule="auto"/>
        <w:jc w:val="center"/>
        <w:rPr>
          <w:color w:val="000000"/>
          <w:kern w:val="0"/>
          <w:sz w:val="24"/>
          <w:szCs w:val="24"/>
        </w:rPr>
      </w:pPr>
      <w:r w:rsidRPr="000E4C40">
        <w:rPr>
          <w:color w:val="000000"/>
          <w:kern w:val="0"/>
          <w:sz w:val="24"/>
          <w:szCs w:val="24"/>
        </w:rPr>
        <w:t/>
      </w:r>
      <w:proofErr w:type="spellStart"/>
      <w:r w:rsidRPr="000E4C40">
        <w:rPr>
          <w:color w:val="000000"/>
          <w:kern w:val="0"/>
          <w:sz w:val="24"/>
          <w:szCs w:val="24"/>
        </w:rPr>
        <w:t/>
      </w:r>
      <w:proofErr w:type="spellEnd"/>
      <w:r w:rsidRPr="000E4C40">
        <w:rPr>
          <w:color w:val="000000"/>
          <w:kern w:val="0"/>
          <w:sz w:val="24"/>
          <w:szCs w:val="24"/>
        </w:rPr>
        <w:t xml:space="preserve">§7  </w:t>
      </w:r>
      <w:r w:rsidRPr="000E4C40">
        <w:rPr>
          <w:rFonts w:hAnsi="宋体"/>
          <w:color w:val="000000"/>
          <w:kern w:val="0"/>
          <w:sz w:val="24"/>
          <w:szCs w:val="24"/>
        </w:rPr>
        <w:t>基金管理人运用固有资金投资本基金交易明细</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r w:rsidRPr="000E4C40">
        <w:rPr>
          <w:color w:val="000000"/>
          <w:sz w:val="24"/>
        </w:rPr>
        <w:t/>
      </w:r>
      <w:proofErr w:type="spellEnd"/>
      <w:r w:rsidRPr="000E4C40">
        <w:rPr>
          <w:color w:val="000000"/>
          <w:sz w:val="24"/>
        </w:rPr>
        <w:t>本基金管理人本报告期内未进行本基金的申购、赎回、红利再投等；本基金管理人本报告期末持有本基金份额0.00份，占本基金期末总份额的0.00%。</w:t>
      </w:r>
    </w:p>
    <w:p w:rsidP="00281564" w:rsidR="0018245B" w:rsidRDefault="0018245B" w:rsidRPr="000E4C40">
      <w:pPr>
        <w:autoSpaceDE w:val="0"/>
        <w:autoSpaceDN w:val="0"/>
        <w:adjustRightInd w:val="0"/>
        <w:spacing w:before="29" w:line="288" w:lineRule="auto"/>
        <w:jc w:val="left"/>
        <w:rPr>
          <w:color w:val="000000"/>
          <w:sz w:val="24"/>
        </w:rPr>
      </w:pPr>
    </w:p>
    <w:p w:rsidP="00841EB4" w:rsidR="003D1E1A" w:rsidRDefault="003D1E1A">
      <w:pPr>
        <w:pStyle w:val="1"/>
        <w:spacing w:afterLines="100" w:beforeLines="100" w:line="360" w:lineRule="auto"/>
        <w:jc w:val="center"/>
        <w:rPr>
          <w:rFonts w:asciiTheme="minorEastAsia" w:cs="Arial" w:eastAsiaTheme="minorEastAsia" w:hAnsiTheme="minorEastAsia"/>
          <w:color w:themeColor="text1" w:val="000000"/>
          <w:kern w:val="0"/>
          <w:sz w:val="24"/>
          <w:szCs w:val="24"/>
        </w:rPr>
      </w:pPr>
      <w:r>
        <w:rPr>
          <w:rFonts w:asciiTheme="minorEastAsia" w:cs="Arial" w:eastAsiaTheme="minorEastAsia" w:hAnsiTheme="minorEastAsia" w:hint="eastAsia"/>
          <w:color w:themeColor="text1" w:val="000000"/>
          <w:kern w:val="0"/>
          <w:sz w:val="24"/>
          <w:szCs w:val="24"/>
        </w:rPr>
        <w:t/>
      </w:r>
      <w:proofErr w:type="spellStart"/>
      <w:r>
        <w:rPr>
          <w:rFonts w:asciiTheme="minorEastAsia" w:cs="Arial" w:eastAsiaTheme="minorEastAsia" w:hAnsiTheme="minorEastAsia" w:hint="eastAsia"/>
          <w:color w:themeColor="text1" w:val="000000"/>
          <w:kern w:val="0"/>
          <w:sz w:val="24"/>
          <w:szCs w:val="24"/>
        </w:rPr>
        <w:t/>
      </w:r>
      <w:proofErr w:type="spellEnd"/>
      <w:r>
        <w:rPr>
          <w:rFonts w:asciiTheme="minorEastAsia" w:cs="Arial" w:eastAsiaTheme="minorEastAsia" w:hAnsiTheme="minorEastAsia" w:hint="eastAsia"/>
          <w:color w:themeColor="text1" w:val="000000"/>
          <w:kern w:val="0"/>
          <w:sz w:val="24"/>
          <w:szCs w:val="24"/>
        </w:rPr>
        <w:t>§8  影响投资者决策的其他重要信息</w:t>
      </w:r>
    </w:p>
    <w:p w:rsidP="003D1E1A" w:rsidR="003D1E1A" w:rsidRDefault="003D1E1A">
      <w:pPr>
        <w:autoSpaceDE w:val="0"/>
        <w:autoSpaceDN w:val="0"/>
        <w:adjustRightInd w:val="0"/>
        <w:spacing w:line="360" w:lineRule="auto"/>
        <w:jc w:val="left"/>
        <w:rPr>
          <w:rFonts w:ascii="宋体" w:hAnsi="宋体"/>
          <w:b/>
          <w:bCs/>
          <w:color w:val="000000"/>
          <w:kern w:val="0"/>
          <w:sz w:val="24"/>
        </w:rPr>
      </w:pPr>
      <w:r>
        <w:rPr>
          <w:rFonts w:ascii="宋体" w:hAnsi="宋体" w:hint="eastAsia"/>
          <w:b/>
          <w:color w:val="000000"/>
          <w:kern w:val="0"/>
          <w:sz w:val="24"/>
        </w:rPr>
        <w:t/>
      </w:r>
      <w:proofErr w:type="spellStart"/>
      <w:r>
        <w:rPr>
          <w:rFonts w:ascii="宋体" w:hAnsi="宋体" w:hint="eastAsia"/>
          <w:b/>
          <w:color w:val="000000"/>
          <w:kern w:val="0"/>
          <w:sz w:val="24"/>
        </w:rPr>
        <w:t/>
      </w:r>
      <w:proofErr w:type="spellEnd"/>
      <w:r>
        <w:rPr>
          <w:rFonts w:ascii="宋体" w:hAnsi="宋体" w:hint="eastAsia"/>
          <w:b/>
          <w:color w:val="000000"/>
          <w:kern w:val="0"/>
          <w:sz w:val="24"/>
        </w:rPr>
        <w:t/>
      </w:r>
      <w:r>
        <w:rPr>
          <w:rFonts w:ascii="宋体" w:hAnsi="宋体" w:hint="eastAsia"/>
          <w:b/>
          <w:bCs/>
          <w:color w:val="000000"/>
          <w:kern w:val="0"/>
          <w:sz w:val="24"/>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92"/>
        <w:gridCol w:w="991"/>
        <w:gridCol w:w="1843"/>
        <w:gridCol w:w="851"/>
        <w:gridCol w:w="850"/>
        <w:gridCol w:w="1134"/>
        <w:gridCol w:w="1419"/>
        <w:gridCol w:w="1130"/>
      </w:tblGrid>
      <w:tr w:rsidR="003D1E1A" w:rsidTr="003D1E1A">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r>
              <w:rPr>
                <w:rFonts w:ascii="宋体" w:hAnsi="宋体" w:hint="eastAsia"/>
                <w:color w:val="000000"/>
                <w:kern w:val="0"/>
                <w:szCs w:val="21"/>
              </w:rPr>
              <w:lastRenderedPageBreak/>
              <w:t/>
            </w:r>
            <w:proofErr w:type="spellStart"/>
            <w:r>
              <w:rPr>
                <w:rFonts w:ascii="宋体" w:hAnsi="宋体" w:hint="eastAsia"/>
                <w:color w:val="000000"/>
                <w:kern w:val="0"/>
                <w:szCs w:val="21"/>
              </w:rPr>
              <w:t/>
            </w:r>
            <w:proofErr w:type="spellEnd"/>
            <w:r>
              <w:rPr>
                <w:rFonts w:ascii="宋体" w:hAnsi="宋体" w:hint="eastAsia"/>
                <w:color w:val="000000"/>
                <w:kern w:val="0"/>
                <w:szCs w:val="21"/>
              </w:rPr>
              <w:t/>
            </w:r>
            <w:proofErr w:type="spellStart"/>
            <w:r>
              <w:rPr>
                <w:rFonts w:ascii="宋体" w:hAnsi="宋体" w:hint="eastAsia"/>
                <w:color w:val="000000"/>
                <w:kern w:val="0"/>
                <w:szCs w:val="21"/>
              </w:rPr>
              <w:t/>
            </w:r>
            <w:proofErr w:type="spellEnd"/>
            <w:r>
              <w:rPr>
                <w:rFonts w:ascii="宋体" w:hAnsi="宋体" w:hint="eastAsia"/>
                <w:color w:val="000000"/>
                <w:kern w:val="0"/>
                <w:szCs w:val="21"/>
              </w:rPr>
              <w:t xml:space="preserve">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lastRenderedPageBreak/>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3D1E1A" w:rsidTr="003D1E1A">
        <w:tc>
          <w:tcPr>
            <w:tcW w:type="dxa" w:w="993"/>
            <w:vMerge/>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w:t>
            </w:r>
            <w:r>
              <w:rPr>
                <w:rFonts w:ascii="宋体" w:hAnsi="宋体" w:hint="eastAsia"/>
                <w:color w:val="000000"/>
                <w:kern w:val="0"/>
                <w:szCs w:val="21"/>
              </w:rPr>
              <w:lastRenderedPageBreak/>
              <w:t>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期初份</w:t>
            </w:r>
            <w:r>
              <w:rPr>
                <w:rFonts w:ascii="宋体" w:hAnsi="宋体" w:hint="eastAsia"/>
                <w:color w:val="000000"/>
                <w:kern w:val="0"/>
                <w:szCs w:val="21"/>
              </w:rPr>
              <w:lastRenderedPageBreak/>
              <w:t>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申购份</w:t>
            </w:r>
            <w:r>
              <w:rPr>
                <w:rFonts w:ascii="宋体" w:hAnsi="宋体" w:hint="eastAsia"/>
                <w:color w:val="000000"/>
                <w:kern w:val="0"/>
                <w:szCs w:val="21"/>
              </w:rPr>
              <w:lastRenderedPageBreak/>
              <w:t>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3D1E1A" w:rsidRDefault="003D1E1A">
            <w:pPr>
              <w:widowControl/>
              <w:jc w:val="center"/>
              <w:rPr>
                <w:rFonts w:ascii="宋体" w:hAnsi="宋体"/>
                <w:b/>
                <w:bCs/>
                <w:color w:val="000000"/>
                <w:kern w:val="0"/>
                <w:szCs w:val="21"/>
              </w:rPr>
            </w:pPr>
            <w:r>
              <w:rPr>
                <w:rFonts w:ascii="宋体" w:hAnsi="宋体" w:hint="eastAsia"/>
                <w:color w:val="000000"/>
                <w:kern w:val="0"/>
                <w:szCs w:val="21"/>
              </w:rPr>
              <w:lastRenderedPageBreak/>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2018/10/1-2018/12/31</w:t>
            </w:r>
          </w:p>
        </w:tc>
        <w:tc>
          <w:tcPr>
            <w:vAlign w:val="center"/>
          </w:tcPr>
          <w:p>
            <w:pPr>
              <w:jc w:val="center"/>
            </w:pPr>
            <w:r>
              <w:rPr>
                <w:rFonts w:ascii="宋体" w:hAnsi="宋体" w:hint="eastAsia"/>
                <w:color w:val="000000"/>
                <w:kern w:val="0"/>
                <w:szCs w:val="21"/>
              </w:rPr>
              <w:t>2,658,760,677.90</w:t>
            </w:r>
          </w:p>
        </w:tc>
        <w:tc>
          <w:tcPr>
            <w:vAlign w:val="center"/>
          </w:tcPr>
          <w:p>
            <w:pPr>
              <w:jc w:val="center"/>
            </w:pPr>
            <w:r>
              <w:rPr>
                <w:rFonts w:ascii="宋体" w:hAnsi="宋体" w:hint="eastAsia"/>
                <w:color w:val="000000"/>
                <w:kern w:val="0"/>
                <w:szCs w:val="21"/>
              </w:rPr>
              <w:t>6,722,142,003.83</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9,380,902,681.73</w:t>
            </w:r>
          </w:p>
        </w:tc>
        <w:tc>
          <w:tcPr>
            <w:vAlign w:val="center"/>
          </w:tcPr>
          <w:p>
            <w:pPr>
              <w:jc w:val="center"/>
            </w:pPr>
            <w:r>
              <w:rPr>
                <w:rFonts w:ascii="宋体" w:hAnsi="宋体" w:hint="eastAsia"/>
                <w:color w:val="000000"/>
                <w:kern w:val="0"/>
                <w:szCs w:val="21"/>
              </w:rPr>
              <w:t>24.24%</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210"/>
      </w:tblGrid>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roofErr w:type="spellStart"/>
            <w:r>
              <w:rPr>
                <w:rFonts w:ascii="宋体" w:hAnsi="宋体" w:hint="eastAsia"/>
                <w:kern w:val="0"/>
                <w:szCs w:val="21"/>
              </w:rPr>
              <w:t/>
            </w:r>
            <w:proofErr w:type="spellEnd"/>
            <w:r>
              <w:rPr>
                <w:rFonts w:ascii="宋体" w:hAnsi="宋体" w:hint="eastAsia"/>
                <w:kern w:val="0"/>
                <w:szCs w:val="21"/>
              </w:rPr>
              <w:t/>
            </w:r>
          </w:p>
        </w:tc>
      </w:tr>
      <w:tr w:rsidR="003D1E1A" w:rsidTr="003D1E1A">
        <w:tc>
          <w:tcPr>
            <w:tcW w:type="dxa" w:w="9212"/>
            <w:tcBorders>
              <w:top w:color="auto" w:space="0" w:sz="4" w:val="single"/>
              <w:left w:color="auto" w:space="0" w:sz="4" w:val="single"/>
              <w:bottom w:color="auto" w:space="0" w:sz="4" w:val="single"/>
              <w:right w:color="auto" w:space="0" w:sz="4" w:val="single"/>
            </w:tcBorders>
            <w:vAlign w:val="center"/>
            <w:hideMark/>
          </w:tcPr>
          <w:p w:rsidR="003D1E1A" w:rsidRDefault="003D1E1A">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841EB4" w:rsidR="00C03EF8" w:rsidRDefault="009D74FC" w:rsidRPr="009268A2">
      <w:pPr>
        <w:pStyle w:val="1"/>
        <w:spacing w:afterLines="100"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9</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1、中国证监会准予交银施罗德活期通货币市场基金募集注册的文件； </w:t>
      </w:r>
    </w:p>
    <w:p>
      <w:pPr>
        <w:spacing w:before="29" w:line="288" w:lineRule="auto"/>
        <w:ind w:firstLine="480" w:firstLineChars="200"/>
        <w:rPr>
          <w:color w:val="000000"/>
          <w:sz w:val="24"/>
        </w:rPr>
      </w:pPr>
      <w:r>
        <w:rPr>
          <w:color w:val="000000"/>
          <w:sz w:val="24"/>
        </w:rPr>
        <w:t xml:space="preserve">2、《交银施罗德活期通货币市场基金基金合同》； </w:t>
      </w:r>
    </w:p>
    <w:p>
      <w:pPr>
        <w:spacing w:before="29" w:line="288" w:lineRule="auto"/>
        <w:ind w:firstLine="480" w:firstLineChars="200"/>
        <w:rPr>
          <w:color w:val="000000"/>
          <w:sz w:val="24"/>
        </w:rPr>
      </w:pPr>
      <w:r>
        <w:rPr>
          <w:color w:val="000000"/>
          <w:sz w:val="24"/>
        </w:rPr>
        <w:t xml:space="preserve">3、《交银施罗德活期通货币市场基金招募说明书》； </w:t>
      </w:r>
    </w:p>
    <w:p>
      <w:pPr>
        <w:spacing w:before="29" w:line="288" w:lineRule="auto"/>
        <w:ind w:firstLine="480" w:firstLineChars="200"/>
        <w:rPr>
          <w:color w:val="000000"/>
          <w:sz w:val="24"/>
        </w:rPr>
      </w:pPr>
      <w:r>
        <w:rPr>
          <w:color w:val="000000"/>
          <w:sz w:val="24"/>
        </w:rPr>
        <w:t xml:space="preserve">4、《交银施罗德活期通货币市场基金托管协议》； </w:t>
      </w:r>
    </w:p>
    <w:p>
      <w:pPr>
        <w:spacing w:before="29" w:line="288" w:lineRule="auto"/>
        <w:ind w:firstLine="480" w:firstLineChars="200"/>
        <w:rPr>
          <w:color w:val="000000"/>
          <w:sz w:val="24"/>
        </w:rPr>
      </w:pPr>
      <w:r>
        <w:rPr>
          <w:color w:val="000000"/>
          <w:sz w:val="24"/>
        </w:rPr>
        <w:t xml:space="preserve">5、关于申请募集注册交银施罗德活期通货币市场基金的法律意见书；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8、报告期内交银施罗德活期通货币市场基金在指定报刊上各项公告的原稿。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r w:rsidR="00F1658B" w:rsidRPr="000E4C40">
        <w:rPr>
          <w:b/>
          <w:color w:val="000000"/>
          <w:kern w:val="0"/>
          <w:sz w:val="24"/>
        </w:rPr>
        <w:t/>
      </w:r>
      <w:r w:rsidRPr="000E4C40">
        <w:rPr>
          <w:b/>
          <w:color w:val="000000"/>
          <w:kern w:val="0"/>
          <w:sz w:val="24"/>
        </w:rPr>
        <w:t>9</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FF" w:rsidRDefault="006245FF">
      <w:r>
        <w:separator/>
      </w:r>
    </w:p>
  </w:endnote>
  <w:endnote w:type="continuationSeparator" w:id="0">
    <w:p w:rsidR="006245FF" w:rsidRDefault="006245F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5"/>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1D0DB0" w:rsidR="00D1705E" w:rsidRDefault="00D1705E" w:rsidRPr="001D0DB0">
    <w:pPr>
      <w:pStyle w:val="a5"/>
      <w:jc w:val="center"/>
    </w:pPr>
    <w:r>
      <w:rPr>
        <w:rFonts w:hint="eastAsia"/>
        <w:kern w:val="0"/>
        <w:szCs w:val="21"/>
      </w:rPr>
      <w:t>第</w:t>
    </w:r>
    <w:r w:rsidR="00457CD3">
      <w:rPr>
        <w:kern w:val="0"/>
        <w:szCs w:val="21"/>
      </w:rPr>
      <w:fldChar w:fldCharType="begin"/>
    </w:r>
    <w:r>
      <w:rPr>
        <w:kern w:val="0"/>
        <w:szCs w:val="21"/>
      </w:rPr>
      <w:instrText xml:space="preserve"> PAGE </w:instrText>
    </w:r>
    <w:r w:rsidR="00457CD3">
      <w:rPr>
        <w:kern w:val="0"/>
        <w:szCs w:val="21"/>
      </w:rPr>
      <w:fldChar w:fldCharType="separate"/>
    </w:r>
    <w:r w:rsidR="00841EB4">
      <w:rPr>
        <w:noProof/>
        <w:kern w:val="0"/>
        <w:szCs w:val="21"/>
      </w:rPr>
      <w:t>2</w:t>
    </w:r>
    <w:r w:rsidR="00457CD3">
      <w:rPr>
        <w:kern w:val="0"/>
        <w:szCs w:val="21"/>
      </w:rPr>
      <w:fldChar w:fldCharType="end"/>
    </w:r>
    <w:r>
      <w:rPr>
        <w:rFonts w:hint="eastAsia"/>
        <w:kern w:val="0"/>
        <w:szCs w:val="21"/>
      </w:rPr>
      <w:t>页共</w:t>
    </w:r>
    <w:r w:rsidR="00457CD3">
      <w:rPr>
        <w:rFonts w:hint="eastAsia"/>
        <w:kern w:val="0"/>
        <w:szCs w:val="21"/>
      </w:rPr>
      <w:fldChar w:fldCharType="begin"/>
    </w:r>
    <w:r>
      <w:rPr>
        <w:kern w:val="0"/>
        <w:szCs w:val="21"/>
      </w:rPr>
      <w:instrText xml:space="preserve"> NUMPAGES </w:instrText>
    </w:r>
    <w:r w:rsidR="00457CD3">
      <w:rPr>
        <w:rFonts w:hint="eastAsia"/>
        <w:kern w:val="0"/>
        <w:szCs w:val="21"/>
      </w:rPr>
      <w:fldChar w:fldCharType="separate"/>
    </w:r>
    <w:r w:rsidR="00841EB4">
      <w:rPr>
        <w:noProof/>
        <w:kern w:val="0"/>
        <w:szCs w:val="21"/>
      </w:rPr>
      <w:t>23</w:t>
    </w:r>
    <w:r w:rsidR="00457CD3">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5"/>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6245FF" w:rsidRDefault="006245FF">
      <w:r>
        <w:separator/>
      </w:r>
    </w:p>
  </w:footnote>
  <w:footnote w:id="0" w:type="continuationSeparator">
    <w:p w:rsidR="006245FF" w:rsidRDefault="006245FF">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4"/>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8379E2" w:rsidR="00D1705E" w:rsidRDefault="00841EB4" w:rsidRPr="00841EB4">
    <w:pPr>
      <w:pStyle w:val="a4"/>
      <w:pBdr>
        <w:bottom w:color="auto" w:space="0" w:sz="6" w:val="single"/>
      </w:pBdr>
      <w:jc w:val="right"/>
      <w:rPr>
        <w:sz w:val="24"/>
        <w:szCs w:val="24"/>
      </w:rPr>
    </w:pPr>
    <w:r w:rsidRPr="003E676C">
      <w:rPr>
        <w:sz w:val="24"/>
        <w:szCs w:val="24"/>
      </w:rPr>
      <w:t/>
    </w:r>
    <w:proofErr w:type="spellStart"/>
    <w:r w:rsidRPr="003E676C">
      <w:rPr>
        <w:sz w:val="24"/>
        <w:szCs w:val="24"/>
      </w:rPr>
      <w:t/>
    </w:r>
    <w:proofErr w:type="spellEnd"/>
    <w:r w:rsidRPr="003E676C">
      <w:rPr>
        <w:sz w:val="24"/>
        <w:szCs w:val="24"/>
      </w:rPr>
      <w:t>交银施罗德活期通货币市场基金</w:t>
    </w:r>
    <w:proofErr w:type="spellStart"/>
    <w:r w:rsidRPr="003E676C">
      <w:rPr>
        <w:sz w:val="24"/>
        <w:szCs w:val="24"/>
      </w:rPr>
      <w:t/>
    </w:r>
    <w:proofErr w:type="spellEnd"/>
    <w:r w:rsidRPr="003E676C">
      <w:rPr>
        <w:sz w:val="24"/>
        <w:szCs w:val="24"/>
      </w:rPr>
      <w:t>2018年第4季度报告</w:t>
    </w: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841EB4" w:rsidRDefault="00841EB4">
    <w:pPr>
      <w:pStyle w:val="a4"/>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bordersDoNotSurroundHeader/>
  <w:bordersDoNotSurroundFooter/>
  <w:proofState w:spelling="clean"/>
  <w:stylePaneFormatFilter w:val="3F01"/>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8194"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2D74"/>
    <w:rsid w:val="000A6B57"/>
    <w:rsid w:val="000A7480"/>
    <w:rsid w:val="000B2044"/>
    <w:rsid w:val="000B2266"/>
    <w:rsid w:val="000B6615"/>
    <w:rsid w:val="000C469F"/>
    <w:rsid w:val="000D0F44"/>
    <w:rsid w:val="000D6294"/>
    <w:rsid w:val="000D66F0"/>
    <w:rsid w:val="000E0F6E"/>
    <w:rsid w:val="000E4C40"/>
    <w:rsid w:val="000E5695"/>
    <w:rsid w:val="000F1795"/>
    <w:rsid w:val="000F2DA3"/>
    <w:rsid w:val="000F3C21"/>
    <w:rsid w:val="000F4826"/>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5022C"/>
    <w:rsid w:val="0035215C"/>
    <w:rsid w:val="00362E2A"/>
    <w:rsid w:val="00363ED1"/>
    <w:rsid w:val="00371E26"/>
    <w:rsid w:val="00373AAB"/>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6FA5"/>
    <w:rsid w:val="005F05D6"/>
    <w:rsid w:val="005F17EC"/>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3BA5"/>
    <w:rsid w:val="00684A5A"/>
    <w:rsid w:val="0069018A"/>
    <w:rsid w:val="006911A1"/>
    <w:rsid w:val="00693EE6"/>
    <w:rsid w:val="006A1E40"/>
    <w:rsid w:val="006A2D00"/>
    <w:rsid w:val="006B4C67"/>
    <w:rsid w:val="006C671E"/>
    <w:rsid w:val="006C7553"/>
    <w:rsid w:val="006D27DD"/>
    <w:rsid w:val="006D4647"/>
    <w:rsid w:val="006D4C22"/>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4638"/>
    <w:rsid w:val="008E71D2"/>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2EB2"/>
    <w:rsid w:val="00B13F60"/>
    <w:rsid w:val="00B2239A"/>
    <w:rsid w:val="00B25119"/>
    <w:rsid w:val="00B26FE5"/>
    <w:rsid w:val="00B27004"/>
    <w:rsid w:val="00B33F45"/>
    <w:rsid w:val="00B33FA5"/>
    <w:rsid w:val="00B415B8"/>
    <w:rsid w:val="00B420AC"/>
    <w:rsid w:val="00B4354A"/>
    <w:rsid w:val="00B54CC5"/>
    <w:rsid w:val="00B60E27"/>
    <w:rsid w:val="00B64D62"/>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E7C60"/>
    <w:rsid w:val="00DF1198"/>
    <w:rsid w:val="00DF2D90"/>
    <w:rsid w:val="00E12082"/>
    <w:rsid w:val="00E21589"/>
    <w:rsid w:val="00E24D9E"/>
    <w:rsid w:val="00E257C8"/>
    <w:rsid w:val="00E26581"/>
    <w:rsid w:val="00E2722E"/>
    <w:rsid w:val="00E27752"/>
    <w:rsid w:val="00E3447D"/>
    <w:rsid w:val="00E428F6"/>
    <w:rsid w:val="00E431CE"/>
    <w:rsid w:val="00E445F8"/>
    <w:rsid w:val="00E503E4"/>
    <w:rsid w:val="00E5134D"/>
    <w:rsid w:val="00E55E02"/>
    <w:rsid w:val="00E571C4"/>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A3D96"/>
    <w:rsid w:val="00EA4C82"/>
    <w:rsid w:val="00EA6B69"/>
    <w:rsid w:val="00EA6B7B"/>
    <w:rsid w:val="00EB25E4"/>
    <w:rsid w:val="00EB3D8B"/>
    <w:rsid w:val="00ED1B77"/>
    <w:rsid w:val="00ED1E31"/>
    <w:rsid w:val="00ED5511"/>
    <w:rsid w:val="00ED57D1"/>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406E3"/>
    <w:rsid w:val="00F40C82"/>
    <w:rsid w:val="00F41AA6"/>
    <w:rsid w:val="00F5114E"/>
    <w:rsid w:val="00F53B1A"/>
    <w:rsid w:val="00F54568"/>
    <w:rsid w:val="00F57249"/>
    <w:rsid w:val="00F60094"/>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57A1"/>
    <w:rsid w:val="00FD3820"/>
    <w:rsid w:val="00FE2508"/>
    <w:rsid w:val="00FE3301"/>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8194" v:ext="edit"/>
    <o:shapelayout v:ext="edit">
      <o:idmap data="1" v:ext="edit"/>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header" w:uiPriority="99"/>
    <w:lsdException w:name="caption" w:qFormat="1" w:semiHidden="1" w:unhideWhenUsed="1"/>
    <w:lsdException w:name="Title" w:qFormat="1"/>
    <w:lsdException w:name="Subtitle" w:qFormat="1"/>
    <w:lsdException w:name="Strong" w:qFormat="1" w:uiPriority="22"/>
    <w:lsdException w:name="Emphasis" w:qFormat="1"/>
    <w:lsdException w:name="Plain Text" w:uiPriority="99"/>
    <w:lsdException w:name="Table Grid"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Ind w:type="dxa" w:w="0"/>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type="dxa" w:w="0"/>
        <w:left w:type="dxa" w:w="108"/>
        <w:bottom w:type="dxa" w:w="0"/>
        <w:right w:type="dxa" w:w="108"/>
      </w:tblCellMar>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basedOn w:val="a"/>
    <w:next w:val="a0"/>
    <w:qFormat/>
    <w:rsid w:val="009D74FC"/>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613327"/>
    <w:pPr>
      <w:pBdr>
        <w:bottom w:val="single" w:sz="6" w:space="1" w:color="auto"/>
      </w:pBdr>
      <w:tabs>
        <w:tab w:val="center" w:pos="4153"/>
        <w:tab w:val="right" w:pos="8306"/>
      </w:tabs>
      <w:snapToGrid w:val="0"/>
      <w:jc w:val="center"/>
    </w:pPr>
    <w:rPr>
      <w:sz w:val="18"/>
      <w:szCs w:val="18"/>
    </w:rPr>
  </w:style>
  <w:style w:type="paragraph" w:styleId="a5">
    <w:name w:val="footer"/>
    <w:basedOn w:val="a"/>
    <w:rsid w:val="00613327"/>
    <w:pPr>
      <w:tabs>
        <w:tab w:val="center" w:pos="4153"/>
        <w:tab w:val="right" w:pos="8306"/>
      </w:tabs>
      <w:snapToGrid w:val="0"/>
      <w:jc w:val="left"/>
    </w:pPr>
    <w:rPr>
      <w:sz w:val="18"/>
      <w:szCs w:val="18"/>
    </w:rPr>
  </w:style>
  <w:style w:type="paragraph" w:customStyle="1" w:styleId="Char0">
    <w:name w:val="Char"/>
    <w:basedOn w:val="a"/>
    <w:rsid w:val="00186667"/>
  </w:style>
  <w:style w:type="paragraph" w:styleId="20">
    <w:name w:val="Body Text Indent 2"/>
    <w:basedOn w:val="a"/>
    <w:rsid w:val="00186667"/>
    <w:pPr>
      <w:spacing w:line="560" w:lineRule="exact"/>
      <w:ind w:firstLineChars="200" w:firstLine="480"/>
    </w:pPr>
    <w:rPr>
      <w:rFonts w:ascii="宋体" w:hAnsi="宋体"/>
      <w:color w:val="FF0000"/>
      <w:sz w:val="24"/>
    </w:rPr>
  </w:style>
  <w:style w:type="paragraph" w:styleId="a6">
    <w:name w:val="Plain Text"/>
    <w:basedOn w:val="a"/>
    <w:rsid w:val="004771B9"/>
    <w:rPr>
      <w:rFonts w:ascii="宋体" w:hAnsi="Courier New"/>
      <w:szCs w:val="21"/>
    </w:rPr>
  </w:style>
  <w:style w:type="paragraph" w:styleId="3">
    <w:name w:val="Body Text Indent 3"/>
    <w:basedOn w:val="a"/>
    <w:rsid w:val="004771B9"/>
    <w:pPr>
      <w:spacing w:after="120"/>
      <w:ind w:leftChars="200" w:left="420"/>
    </w:pPr>
    <w:rPr>
      <w:sz w:val="16"/>
      <w:szCs w:val="16"/>
    </w:rPr>
  </w:style>
  <w:style w:type="paragraph" w:styleId="a0">
    <w:name w:val="Normal Indent"/>
    <w:basedOn w:val="a"/>
    <w:rsid w:val="009D74FC"/>
    <w:pPr>
      <w:ind w:firstLineChars="200" w:firstLine="420"/>
    </w:pPr>
  </w:style>
  <w:style w:type="paragraph" w:styleId="a7">
    <w:name w:val="Document Map"/>
    <w:basedOn w:val="a"/>
    <w:semiHidden/>
    <w:rsid w:val="005212AE"/>
    <w:pPr>
      <w:shd w:val="clear" w:color="auto" w:fill="000080"/>
    </w:pPr>
  </w:style>
</w:styles>
</file>

<file path=word/webSettings.xml><?xml version="1.0" encoding="utf-8"?>
<w:webSettings xmlns:r="http://schemas.openxmlformats.org/officeDocument/2006/relationships" xmlns:w="http://schemas.openxmlformats.org/wordprocessingml/2006/main">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18" Target="stylesWithEffects.xml" Type="http://schemas.microsoft.com/office/2007/relationships/stylesWithEffects"/>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2A1109-F435-45F1-BF4E-42ABB0D9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23</Pages>
  <Words>3593</Words>
  <Characters>20485</Characters>
  <Application>Microsoft Office Word</Application>
  <DocSecurity>0</DocSecurity>
  <Lines>170</Lines>
  <Paragraphs>48</Paragraphs>
  <ScaleCrop>false</ScaleCrop>
  <Company>jysld</Company>
  <LinksUpToDate>false</LinksUpToDate>
  <CharactersWithSpaces>24030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Administrator</cp:lastModifiedBy>
  <cp:lastPrinted>2009-01-22T10:11:00Z</cp:lastPrinted>
  <dcterms:modified xsi:type="dcterms:W3CDTF">2018-03-30T07:36:00Z</dcterms:modified>
  <cp:revision>314</cp:revision>
</cp:coreProperties>
</file>