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0C1E17" w:rsidRDefault="000C1E17" w:rsidRPr="00414345">
      <w:pPr>
        <w:autoSpaceDE w:val="0"/>
        <w:autoSpaceDN w:val="0"/>
        <w:adjustRightInd w:val="0"/>
        <w:spacing w:before="29" w:line="288" w:lineRule="auto"/>
        <w:jc w:val="left"/>
        <w:rPr>
          <w:color w:val="000000"/>
          <w:kern w:val="0"/>
          <w:sz w:val="24"/>
          <w:szCs w:val="24"/>
        </w:rPr>
      </w:pPr>
    </w:p>
    <w:p w:rsidP="00C15CAC" w:rsidR="000C1E17" w:rsidRDefault="000C1E17" w:rsidRPr="00414345">
      <w:pPr>
        <w:autoSpaceDE w:val="0"/>
        <w:autoSpaceDN w:val="0"/>
        <w:adjustRightInd w:val="0"/>
        <w:spacing w:before="29" w:line="288" w:lineRule="auto"/>
        <w:jc w:val="left"/>
        <w:rPr>
          <w:color w:val="000000"/>
          <w:kern w:val="0"/>
          <w:sz w:val="24"/>
          <w:szCs w:val="24"/>
        </w:rPr>
      </w:pPr>
    </w:p>
    <w:p w:rsidP="00C15CAC" w:rsidR="002279D3" w:rsidRDefault="002279D3" w:rsidRPr="0081286B">
      <w:pPr>
        <w:spacing w:before="29" w:line="288" w:lineRule="auto"/>
        <w:jc w:val="center"/>
        <w:rPr>
          <w:b/>
          <w:sz w:val="36"/>
          <w:szCs w:val="36"/>
        </w:rPr>
      </w:pPr>
      <w:r w:rsidRPr="0081286B">
        <w:rPr>
          <w:b/>
          <w:sz w:val="36"/>
          <w:szCs w:val="36"/>
        </w:rPr>
        <w:t>交银施罗德安心收益债券型证券投资基金</w:t>
      </w:r>
    </w:p>
    <w:p w:rsidP="00C15CAC" w:rsidR="002279D3" w:rsidRDefault="002279D3" w:rsidRPr="0081286B">
      <w:pPr>
        <w:spacing w:before="29" w:line="288" w:lineRule="auto"/>
        <w:jc w:val="center"/>
        <w:rPr>
          <w:b/>
          <w:sz w:val="36"/>
          <w:szCs w:val="36"/>
        </w:rPr>
      </w:pPr>
      <w:r w:rsidRPr="0081286B">
        <w:rPr>
          <w:b/>
          <w:sz w:val="36"/>
          <w:szCs w:val="36"/>
        </w:rPr>
        <w:t>2018年第4季度报告</w:t>
      </w:r>
    </w:p>
    <w:p w:rsidP="00C15CAC" w:rsidR="004061AC" w:rsidRDefault="00655CD8" w:rsidRPr="0081286B">
      <w:pPr>
        <w:spacing w:before="29" w:line="288" w:lineRule="auto"/>
        <w:jc w:val="center"/>
        <w:rPr>
          <w:b/>
          <w:sz w:val="36"/>
          <w:szCs w:val="36"/>
        </w:rPr>
      </w:pPr>
      <w:r w:rsidRPr="0081286B">
        <w:rPr>
          <w:b/>
          <w:sz w:val="36"/>
          <w:szCs w:val="36"/>
        </w:rPr>
        <w:t>2018年12月31日</w:t>
      </w: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4061AC" w:rsidRDefault="004061AC" w:rsidRPr="00414345">
      <w:pPr>
        <w:spacing w:before="29" w:line="288" w:lineRule="auto"/>
        <w:jc w:val="center"/>
        <w:rPr>
          <w:b/>
          <w:bCs/>
          <w:color w:val="000000"/>
          <w:sz w:val="24"/>
          <w:szCs w:val="24"/>
        </w:rPr>
      </w:pPr>
    </w:p>
    <w:p w:rsidP="00C15CAC" w:rsidR="00625BFC" w:rsidRDefault="004061AC" w:rsidRPr="0081286B">
      <w:pPr>
        <w:spacing w:before="29" w:line="288" w:lineRule="auto"/>
        <w:ind w:firstLine="2168" w:firstLineChars="900"/>
        <w:rPr>
          <w:b/>
          <w:color w:val="000000"/>
          <w:sz w:val="24"/>
          <w:szCs w:val="24"/>
        </w:rPr>
      </w:pPr>
      <w:r w:rsidRPr="0081286B">
        <w:rPr>
          <w:b/>
          <w:color w:val="000000"/>
          <w:sz w:val="24"/>
          <w:szCs w:val="24"/>
        </w:rPr>
        <w:t>基金管理人：</w:t>
      </w:r>
      <w:r w:rsidRPr="0081286B">
        <w:rPr>
          <w:b/>
          <w:color w:val="000000"/>
          <w:sz w:val="24"/>
          <w:szCs w:val="24"/>
        </w:rPr>
        <w:t>交银施罗德基金管理有限公司</w:t>
      </w:r>
    </w:p>
    <w:p w:rsidP="00C15CAC" w:rsidR="00625BFC" w:rsidRDefault="004061AC" w:rsidRPr="0081286B">
      <w:pPr>
        <w:spacing w:before="29" w:line="288" w:lineRule="auto"/>
        <w:ind w:firstLine="2168" w:firstLineChars="900"/>
        <w:rPr>
          <w:b/>
          <w:color w:val="000000"/>
          <w:sz w:val="24"/>
          <w:szCs w:val="24"/>
        </w:rPr>
      </w:pPr>
      <w:r w:rsidRPr="0081286B">
        <w:rPr>
          <w:b/>
          <w:color w:val="000000"/>
          <w:sz w:val="24"/>
          <w:szCs w:val="24"/>
        </w:rPr>
        <w:t>基金托管人：</w:t>
      </w:r>
      <w:r w:rsidRPr="0081286B">
        <w:rPr>
          <w:b/>
          <w:color w:val="000000"/>
          <w:sz w:val="24"/>
          <w:szCs w:val="24"/>
        </w:rPr>
        <w:t>中国民生银行股份有限公司</w:t>
      </w:r>
    </w:p>
    <w:p w:rsidP="00C15CAC" w:rsidR="004061AC" w:rsidRDefault="004061AC" w:rsidRPr="0081286B">
      <w:pPr>
        <w:spacing w:before="29" w:line="288" w:lineRule="auto"/>
        <w:ind w:firstLine="2168" w:firstLineChars="900"/>
        <w:rPr>
          <w:b/>
          <w:color w:val="000000"/>
          <w:sz w:val="24"/>
          <w:szCs w:val="24"/>
        </w:rPr>
        <w:sectPr w:rsidR="004061AC" w:rsidRPr="0081286B" w:rsidSect="00DC456F">
          <w:headerReference r:id="rId8" w:type="even"/>
          <w:headerReference r:id="rId9" w:type="default"/>
          <w:footerReference r:id="rId10" w:type="even"/>
          <w:footerReference r:id="rId11" w:type="default"/>
          <w:headerReference r:id="rId12" w:type="first"/>
          <w:footerReference r:id="rId13" w:type="first"/>
          <w:pgSz w:h="15840" w:w="11926"/>
          <w:pgMar w:bottom="851" w:footer="992" w:gutter="0" w:header="851" w:left="1440" w:right="1440" w:top="1418"/>
          <w:cols w:space="720"/>
          <w:noEndnote/>
          <w:titlePg/>
          <w:docGrid w:linePitch="286"/>
        </w:sectPr>
      </w:pPr>
      <w:r w:rsidRPr="0081286B">
        <w:rPr>
          <w:b/>
          <w:color w:val="000000"/>
          <w:sz w:val="24"/>
          <w:szCs w:val="24"/>
        </w:rPr>
        <w:t>报告送出日期：</w:t>
      </w:r>
      <w:r w:rsidR="00F16E3F" w:rsidRPr="0081286B">
        <w:rPr>
          <w:b/>
          <w:color w:val="000000"/>
          <w:sz w:val="24"/>
          <w:szCs w:val="24"/>
        </w:rPr>
        <w:t/>
      </w:r>
      <w:r w:rsidR="0042009D" w:rsidRPr="0081286B">
        <w:rPr>
          <w:b/>
          <w:color w:val="000000"/>
          <w:sz w:val="24"/>
          <w:szCs w:val="24"/>
        </w:rPr>
        <w:t/>
      </w:r>
      <w:r w:rsidR="00F16E3F" w:rsidRPr="0081286B">
        <w:rPr>
          <w:b/>
          <w:color w:val="000000"/>
          <w:sz w:val="24"/>
          <w:szCs w:val="24"/>
        </w:rPr>
        <w:t>二〇一九年一月二十一日</w:t>
      </w:r>
    </w:p>
    <w:p w:rsidP="0011537B" w:rsidR="004061AC" w:rsidRDefault="004061AC" w:rsidRPr="00414345">
      <w:pPr>
        <w:pStyle w:val="1"/>
        <w:spacing w:afterLines="100" w:beforeLines="100"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pPr>
        <w:spacing w:before="29" w:line="288" w:lineRule="auto"/>
        <w:ind w:firstLine="480" w:firstLineChars="200"/>
        <w:rPr>
          <w:color w:val="000000"/>
          <w:sz w:val="24"/>
          <w:szCs w:val="24"/>
        </w:rPr>
      </w:pPr>
      <w:r>
        <w:rPr>
          <w:color w:val="000000"/>
          <w:sz w:val="24"/>
          <w:szCs w:val="24"/>
        </w:rPr>
        <w:t xml:space="preserve">基金管理人的董事会及董事保证本报告所载资料不存在虚假记载、误导性陈述或重大遗漏，并对其内容的真实性、准确性和完整性承担个别及连带责任。 </w:t>
      </w:r>
    </w:p>
    <w:p>
      <w:pPr>
        <w:spacing w:before="29" w:line="288" w:lineRule="auto"/>
        <w:ind w:firstLine="480" w:firstLineChars="200"/>
        <w:rPr>
          <w:color w:val="000000"/>
          <w:sz w:val="24"/>
          <w:szCs w:val="24"/>
        </w:rPr>
      </w:pPr>
      <w:r>
        <w:rPr>
          <w:color w:val="000000"/>
          <w:sz w:val="24"/>
          <w:szCs w:val="24"/>
        </w:rPr>
        <w:t xml:space="preserve">基金托管人中国民生银行股份有限公司根据本基金合同规定，于2019年1月18日复核了本报告中的财务指标、净值表现和投资组合报告等内容，保证复核内容不存在虚假记载、误导性陈述或者重大遗漏。 </w:t>
      </w:r>
    </w:p>
    <w:p>
      <w:pPr>
        <w:spacing w:before="29" w:line="288" w:lineRule="auto"/>
        <w:ind w:firstLine="480" w:firstLineChars="200"/>
        <w:rPr>
          <w:color w:val="000000"/>
          <w:sz w:val="24"/>
          <w:szCs w:val="24"/>
        </w:rPr>
      </w:pPr>
      <w:r>
        <w:rPr>
          <w:color w:val="000000"/>
          <w:sz w:val="24"/>
          <w:szCs w:val="24"/>
        </w:rPr>
        <w:t xml:space="preserve">基金管理人承诺以诚实信用、勤勉尽责的原则管理和运用基金资产，但不保证基金一定盈利。 </w:t>
      </w:r>
    </w:p>
    <w:p>
      <w:pPr>
        <w:spacing w:before="29" w:line="288" w:lineRule="auto"/>
        <w:ind w:firstLine="480" w:firstLineChars="200"/>
        <w:rPr>
          <w:color w:val="000000"/>
          <w:sz w:val="24"/>
          <w:szCs w:val="24"/>
        </w:rPr>
      </w:pPr>
      <w:r>
        <w:rPr>
          <w:color w:val="000000"/>
          <w:sz w:val="24"/>
          <w:szCs w:val="24"/>
        </w:rPr>
        <w:t xml:space="preserve">基金的过往业绩并不代表其未来表现。投资有风险，投资者在作出投资决策前应仔细阅读本基金的招募说明书。 </w:t>
      </w:r>
    </w:p>
    <w:p>
      <w:pPr>
        <w:spacing w:before="29" w:line="288" w:lineRule="auto"/>
        <w:ind w:firstLine="480" w:firstLineChars="200"/>
        <w:rPr>
          <w:color w:val="000000"/>
          <w:sz w:val="24"/>
          <w:szCs w:val="24"/>
        </w:rPr>
      </w:pPr>
      <w:r>
        <w:rPr>
          <w:color w:val="000000"/>
          <w:sz w:val="24"/>
          <w:szCs w:val="24"/>
        </w:rPr>
        <w:t>本报告中财务资料未经审计。</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本报告期自2018年10月1日起至12月31日止。</w:t>
      </w:r>
    </w:p>
    <w:p w:rsidP="00C15CAC" w:rsidR="00627E2D" w:rsidRDefault="00627E2D" w:rsidRPr="00414345">
      <w:pPr>
        <w:spacing w:before="29" w:line="288" w:lineRule="auto"/>
        <w:ind w:firstLine="480" w:firstLineChars="200"/>
        <w:rPr>
          <w:color w:val="000000"/>
          <w:sz w:val="24"/>
          <w:szCs w:val="24"/>
        </w:rPr>
      </w:pPr>
    </w:p>
    <w:p w:rsidP="0011537B" w:rsidR="004061AC" w:rsidRDefault="004061AC" w:rsidRPr="00414345">
      <w:pPr>
        <w:pStyle w:val="1"/>
        <w:spacing w:afterLines="100" w:beforeLines="100"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3023"/>
        <w:gridCol w:w="2922"/>
        <w:gridCol w:w="2923"/>
      </w:tblGrid>
      <w:tr w:rsidR="004061AC" w:rsidRPr="00414345" w:rsidTr="006E6726">
        <w:trPr>
          <w:jc w:val="center"/>
        </w:trPr>
        <w:tc>
          <w:tcPr>
            <w:tcW w:type="dxa" w:w="3023"/>
            <w:vAlign w:val="center"/>
          </w:tcPr>
          <w:p w:rsidP="00C15CAC" w:rsidR="004061AC" w:rsidRDefault="004061AC" w:rsidRPr="00414345">
            <w:pPr>
              <w:adjustRightInd w:val="0"/>
              <w:spacing w:before="29" w:line="288" w:lineRule="auto"/>
              <w:ind w:left="17"/>
              <w:jc w:val="left"/>
              <w:rPr>
                <w:kern w:val="0"/>
                <w:sz w:val="24"/>
                <w:szCs w:val="24"/>
              </w:rPr>
            </w:pPr>
            <w:r w:rsidRPr="00414345">
              <w:rPr>
                <w:kern w:val="0"/>
                <w:sz w:val="24"/>
                <w:szCs w:val="24"/>
              </w:rPr>
              <w:t>基金简称</w:t>
            </w:r>
          </w:p>
        </w:tc>
        <w:tc>
          <w:tcPr>
            <w:tcW w:type="dxa" w:w="5845"/>
            <w:gridSpan w:val="2"/>
            <w:vAlign w:val="center"/>
          </w:tcPr>
          <w:p w:rsidP="00C15CAC" w:rsidR="004061AC" w:rsidRDefault="004061AC" w:rsidRPr="00414345">
            <w:pPr>
              <w:adjustRightInd w:val="0"/>
              <w:spacing w:before="29" w:line="288" w:lineRule="auto"/>
              <w:ind w:left="17"/>
              <w:jc w:val="left"/>
              <w:rPr>
                <w:color w:val="000000"/>
                <w:kern w:val="0"/>
                <w:sz w:val="24"/>
                <w:szCs w:val="24"/>
              </w:rPr>
            </w:pPr>
            <w:r w:rsidRPr="00414345">
              <w:rPr>
                <w:color w:val="000000"/>
                <w:kern w:val="0"/>
                <w:sz w:val="24"/>
                <w:szCs w:val="24"/>
              </w:rPr>
              <w:t>交银安心收益债券</w:t>
            </w:r>
          </w:p>
        </w:tc>
      </w:tr>
      <w:tr w:rsidR="00D94B8D" w:rsidRPr="00414345" w:rsidTr="006E6726">
        <w:trPr>
          <w:jc w:val="center"/>
        </w:trPr>
        <w:tc>
          <w:tcPr>
            <w:tcW w:type="dxa" w:w="3023"/>
            <w:tcBorders>
              <w:top w:color="auto" w:space="0" w:sz="4" w:val="single"/>
              <w:left w:color="auto" w:space="0" w:sz="4" w:val="single"/>
              <w:bottom w:color="auto" w:space="0" w:sz="4" w:val="single"/>
              <w:right w:color="auto" w:space="0" w:sz="4" w:val="single"/>
            </w:tcBorders>
            <w:vAlign w:val="center"/>
            <w:hideMark/>
          </w:tcPr>
          <w:p w:rsidP="00C15CAC" w:rsidR="00D94B8D" w:rsidRDefault="00D94B8D" w:rsidRPr="00414345">
            <w:pPr>
              <w:adjustRightInd w:val="0"/>
              <w:spacing w:before="29" w:line="288" w:lineRule="auto"/>
              <w:ind w:left="17"/>
              <w:jc w:val="left"/>
              <w:rPr>
                <w:kern w:val="0"/>
                <w:sz w:val="24"/>
                <w:szCs w:val="24"/>
              </w:rPr>
            </w:pPr>
            <w:r w:rsidRPr="00414345">
              <w:rPr>
                <w:kern w:val="0"/>
                <w:sz w:val="24"/>
                <w:szCs w:val="24"/>
              </w:rPr>
              <w:t>基金主代码</w:t>
            </w:r>
          </w:p>
        </w:tc>
        <w:tc>
          <w:tcPr>
            <w:tcW w:type="dxa" w:w="5845"/>
            <w:gridSpan w:val="2"/>
            <w:tcBorders>
              <w:top w:color="auto" w:space="0" w:sz="4" w:val="single"/>
              <w:left w:color="auto" w:space="0" w:sz="4" w:val="single"/>
              <w:bottom w:color="auto" w:space="0" w:sz="4" w:val="single"/>
              <w:right w:color="auto" w:space="0" w:sz="4" w:val="single"/>
            </w:tcBorders>
            <w:vAlign w:val="center"/>
            <w:hideMark/>
          </w:tcPr>
          <w:p w:rsidP="00C15CAC" w:rsidR="00D94B8D" w:rsidRDefault="00D94B8D" w:rsidRPr="00414345">
            <w:pPr>
              <w:adjustRightInd w:val="0"/>
              <w:spacing w:before="29" w:line="288" w:lineRule="auto"/>
              <w:ind w:left="17"/>
              <w:jc w:val="left"/>
              <w:rPr>
                <w:color w:val="000000"/>
                <w:kern w:val="0"/>
                <w:sz w:val="24"/>
                <w:szCs w:val="24"/>
              </w:rPr>
            </w:pPr>
            <w:r w:rsidRPr="00414345">
              <w:rPr>
                <w:color w:val="000000"/>
                <w:kern w:val="0"/>
                <w:sz w:val="24"/>
                <w:szCs w:val="24"/>
              </w:rPr>
              <w:t>519753</w:t>
            </w:r>
          </w:p>
        </w:tc>
      </w:tr>
      <w:tr w:rsidR="001B2F35" w:rsidRPr="00414345" w:rsidTr="006E6726">
        <w:trPr>
          <w:jc w:val="center"/>
        </w:trPr>
        <w:tc>
          <w:tcPr>
            <w:tcW w:type="dxa" w:w="3023"/>
            <w:tcBorders>
              <w:top w:color="auto" w:space="0" w:sz="4" w:val="single"/>
              <w:left w:color="auto" w:space="0" w:sz="4" w:val="single"/>
              <w:bottom w:color="auto" w:space="0" w:sz="4" w:val="single"/>
              <w:right w:color="auto" w:space="0" w:sz="4" w:val="single"/>
            </w:tcBorders>
            <w:vAlign w:val="center"/>
          </w:tcPr>
          <w:p w:rsidP="00C15CAC" w:rsidR="001B2F35" w:rsidRDefault="001B2F35" w:rsidRPr="00414345">
            <w:pPr>
              <w:adjustRightInd w:val="0"/>
              <w:spacing w:before="29" w:line="288" w:lineRule="auto"/>
              <w:ind w:left="17"/>
              <w:jc w:val="left"/>
              <w:rPr>
                <w:kern w:val="0"/>
                <w:sz w:val="24"/>
                <w:szCs w:val="24"/>
              </w:rPr>
            </w:pPr>
            <w:r w:rsidRPr="00414345">
              <w:rPr>
                <w:kern w:val="0"/>
                <w:sz w:val="24"/>
                <w:szCs w:val="24"/>
              </w:rPr>
              <w:t>交易代码</w:t>
            </w:r>
          </w:p>
        </w:tc>
        <w:tc>
          <w:tcPr>
            <w:tcW w:type="dxa" w:w="5845"/>
            <w:gridSpan w:val="2"/>
            <w:tcBorders>
              <w:top w:color="auto" w:space="0" w:sz="4" w:val="single"/>
              <w:left w:color="auto" w:space="0" w:sz="4" w:val="single"/>
              <w:bottom w:color="auto" w:space="0" w:sz="4" w:val="single"/>
              <w:right w:color="auto" w:space="0" w:sz="4" w:val="single"/>
            </w:tcBorders>
            <w:vAlign w:val="center"/>
          </w:tcPr>
          <w:p w:rsidP="00C15CAC" w:rsidR="001B2F35" w:rsidRDefault="00C5218C" w:rsidRPr="00414345">
            <w:pPr>
              <w:adjustRightInd w:val="0"/>
              <w:spacing w:before="29" w:line="288" w:lineRule="auto"/>
              <w:ind w:left="17"/>
              <w:jc w:val="left"/>
              <w:rPr>
                <w:color w:val="000000"/>
                <w:kern w:val="0"/>
                <w:sz w:val="24"/>
                <w:szCs w:val="24"/>
              </w:rPr>
            </w:pPr>
            <w:r w:rsidRPr="00414345">
              <w:rPr>
                <w:kern w:val="0"/>
                <w:sz w:val="24"/>
              </w:rPr>
              <w:t>519753</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基金运作方式</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基金合同生效日</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2018年6月2日</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报告期末基金份额总额</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69,447,099.27</w:t>
            </w:r>
            <w:r w:rsidRPr="00414345">
              <w:rPr>
                <w:color w:val="000000"/>
                <w:kern w:val="0"/>
                <w:sz w:val="24"/>
                <w:szCs w:val="24"/>
              </w:rPr>
              <w:t>份</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投资目标</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在严格控制投资风险和保持资产流动性的基础上，力争实现基金资产的长期稳定增值。</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投资策略</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充分发挥基金管理人的研究优势，将严谨、规范化的基本面研究分析与积极主动的投资风格相结合，在分析和判断宏观经济运行状况和金融市场运行趋势的基础上，动态调整债券、股票等大类资产比例。本基金以债券投资为核心，重点关注债券组合久期调整、期限结构配置及债券类属配置，并在严谨深入的信用分析基础上，综合考量信用债券的信用评级，以及各类债券的流动性、供求关系和收益率水平等，同时本基金也通过综合运用骑乘操作、套利操作等策略精选个券，提高投资组合收益。此外，在风险可控的前提下，本基金适度关注股票、权证市场的运行状况与相应风险收益特征，有效把握投资机会，适时增强组合收益。</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业绩比较基准</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中债综合全价指数</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风险收益特征</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本基金为债券型证券投资基金，其长期平均的预期收益和风险高于货币市场基金，低于混合型基金和股票型基金。</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基金管理人</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type="dxa" w:w="3023"/>
            <w:vAlign w:val="center"/>
          </w:tcPr>
          <w:p w:rsidP="00C15CAC" w:rsidR="001B2F35" w:rsidRDefault="001B2F35" w:rsidRPr="00414345">
            <w:pPr>
              <w:adjustRightInd w:val="0"/>
              <w:spacing w:before="29" w:line="288" w:lineRule="auto"/>
              <w:ind w:left="17"/>
              <w:jc w:val="left"/>
              <w:rPr>
                <w:sz w:val="24"/>
                <w:szCs w:val="24"/>
              </w:rPr>
            </w:pPr>
            <w:r w:rsidRPr="00414345">
              <w:rPr>
                <w:kern w:val="0"/>
                <w:sz w:val="24"/>
                <w:szCs w:val="24"/>
              </w:rPr>
              <w:t>基金托管人</w:t>
            </w:r>
          </w:p>
        </w:tc>
        <w:tc>
          <w:tcPr>
            <w:tcW w:type="dxa" w:w="5845"/>
            <w:gridSpan w:val="2"/>
            <w:vAlign w:val="center"/>
          </w:tcPr>
          <w:p w:rsidP="00C15CAC" w:rsidR="001B2F35" w:rsidRDefault="001B2F35" w:rsidRPr="00414345">
            <w:pPr>
              <w:adjustRightInd w:val="0"/>
              <w:spacing w:before="29" w:line="288" w:lineRule="auto"/>
              <w:ind w:left="17"/>
              <w:jc w:val="left"/>
              <w:rPr>
                <w:color w:val="000000"/>
                <w:sz w:val="24"/>
                <w:szCs w:val="24"/>
              </w:rPr>
            </w:pPr>
            <w:r w:rsidRPr="00414345">
              <w:rPr>
                <w:color w:val="000000"/>
                <w:kern w:val="0"/>
                <w:sz w:val="24"/>
                <w:szCs w:val="24"/>
              </w:rPr>
              <w:t>中国民生银行股份有限公司</w:t>
            </w:r>
          </w:p>
        </w:tc>
      </w:tr>
    </w:tbl>
    <w:p w:rsidP="00C15CAC" w:rsidR="005910BF" w:rsidRDefault="005910BF" w:rsidRPr="00414345">
      <w:pPr>
        <w:autoSpaceDE w:val="0"/>
        <w:autoSpaceDN w:val="0"/>
        <w:adjustRightInd w:val="0"/>
        <w:spacing w:before="29" w:line="288" w:lineRule="auto"/>
        <w:jc w:val="left"/>
        <w:rPr>
          <w:color w:val="000000"/>
          <w:kern w:val="0"/>
          <w:sz w:val="24"/>
          <w:szCs w:val="24"/>
        </w:rPr>
      </w:pPr>
    </w:p>
    <w:p w:rsidP="0011537B" w:rsidR="004061AC" w:rsidRDefault="004061AC" w:rsidRPr="00414345">
      <w:pPr>
        <w:pStyle w:val="1"/>
        <w:spacing w:afterLines="100" w:beforeLines="100"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P="00C15CAC" w:rsidR="004061AC" w:rsidRDefault="004061AC" w:rsidRPr="00414345">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000"/>
      </w:tblPr>
      <w:tblGrid>
        <w:gridCol w:w="3607"/>
        <w:gridCol w:w="2706"/>
        <w:gridCol w:w="2555"/>
      </w:tblGrid>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jc w:val="center"/>
              <w:rPr>
                <w:kern w:val="0"/>
                <w:sz w:val="24"/>
                <w:szCs w:val="24"/>
              </w:rPr>
            </w:pPr>
            <w:r w:rsidRPr="00414345">
              <w:rPr>
                <w:kern w:val="0"/>
                <w:sz w:val="24"/>
                <w:szCs w:val="24"/>
              </w:rPr>
              <w:t>主要财务指标</w:t>
            </w:r>
            <w:r w:rsidR="00D96C8D" w:rsidRPr="00414345">
              <w:rPr>
                <w:kern w:val="0"/>
                <w:sz w:val="24"/>
                <w:szCs w:val="24"/>
              </w:rPr>
              <w:t/>
            </w:r>
          </w:p>
        </w:tc>
        <w:tc>
          <w:tcPr>
            <w:tcW w:type="dxa" w:w="4962"/>
            <w:hMerge w:val="restart"/>
            <w:vAlign w:val="center"/>
          </w:tcPr>
          <w:p w:rsidP="00C15CAC" w:rsidR="009C60F7" w:rsidRDefault="009C60F7" w:rsidRPr="00414345">
            <w:pPr>
              <w:adjustRightInd w:val="0"/>
              <w:spacing w:before="29" w:line="288" w:lineRule="auto"/>
              <w:ind w:left="17"/>
              <w:jc w:val="center"/>
              <w:rPr>
                <w:color w:val="000000"/>
                <w:sz w:val="24"/>
                <w:szCs w:val="24"/>
              </w:rPr>
            </w:pPr>
            <w:r w:rsidRPr="00414345">
              <w:rPr>
                <w:color w:val="000000"/>
                <w:sz w:val="24"/>
                <w:szCs w:val="24"/>
              </w:rPr>
              <w:t>报告期</w:t>
            </w:r>
          </w:p>
          <w:p w:rsidP="00C15CAC" w:rsidR="00C21520" w:rsidRDefault="009C60F7" w:rsidRPr="00414345">
            <w:pPr>
              <w:adjustRightInd w:val="0"/>
              <w:spacing w:before="29" w:line="288" w:lineRule="auto"/>
              <w:ind w:left="17"/>
              <w:jc w:val="center"/>
              <w:rPr>
                <w:color w:val="000000"/>
                <w:sz w:val="24"/>
                <w:szCs w:val="24"/>
              </w:rPr>
            </w:pPr>
            <w:r w:rsidRPr="00414345">
              <w:rPr>
                <w:color w:val="000000"/>
                <w:sz w:val="24"/>
                <w:szCs w:val="24"/>
              </w:rPr>
              <w:t>(2018年10月1日-2018年12月31日)</w:t>
            </w:r>
          </w:p>
        </w:tc>
        <w:tc>
          <w:tcPr>
            <w:tcW w:type="dxa" w:w="2410"/>
            <w:hMerge/>
            <w:vAlign w:val="center"/>
          </w:tcPr>
          <w:p w:rsidP="00C15CAC" w:rsidR="00C21520" w:rsidRDefault="00C21520" w:rsidRPr="00414345">
            <w:pPr>
              <w:adjustRightInd w:val="0"/>
              <w:spacing w:before="29" w:line="288" w:lineRule="auto"/>
              <w:ind w:left="17"/>
              <w:jc w:val="center"/>
              <w:rPr>
                <w:color w:val="000000"/>
                <w:sz w:val="24"/>
                <w:szCs w:val="24"/>
              </w:rPr>
            </w:pPr>
            <w:r w:rsidRPr="00414345">
              <w:rPr>
                <w:color w:val="000000"/>
                <w:sz w:val="24"/>
                <w:szCs w:val="24"/>
              </w:rPr>
              <w:t>上期金额</w:t>
            </w:r>
            <w:r w:rsidR="006A7AF1" w:rsidRPr="00414345">
              <w:rPr>
                <w:color w:val="000000"/>
                <w:sz w:val="24"/>
                <w:szCs w:val="24"/>
              </w:rPr>
              <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lastRenderedPageBreak/>
              <w:t>1.</w:t>
            </w:r>
            <w:r w:rsidRPr="00414345">
              <w:rPr>
                <w:kern w:val="0"/>
                <w:sz w:val="24"/>
                <w:szCs w:val="24"/>
              </w:rPr>
              <w:t>本期已实现收益</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305,114.19</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633,935.95</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0.0085</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70,914,111.42</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r w:rsidR="00C21520" w:rsidRPr="00414345" w:rsidTr="00BD0031">
        <w:trPr>
          <w:trHeight w:val="158"/>
          <w:jc w:val="center"/>
        </w:trPr>
        <w:tc>
          <w:tcPr>
            <w:tcW w:type="dxa" w:w="3402"/>
            <w:vAlign w:val="center"/>
          </w:tcPr>
          <w:p w:rsidP="00C15CAC" w:rsidR="00C21520" w:rsidRDefault="00C21520" w:rsidRPr="00414345">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type="dxa" w:w="4962"/>
            <w:hMerge w:val="restart"/>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1.021</w:t>
            </w:r>
          </w:p>
        </w:tc>
        <w:tc>
          <w:tcPr>
            <w:tcW w:type="dxa" w:w="2410"/>
            <w:hMerge/>
            <w:vAlign w:val="center"/>
          </w:tcPr>
          <w:p w:rsidP="00C15CAC" w:rsidR="00C21520" w:rsidRDefault="00C21520" w:rsidRPr="00414345">
            <w:pPr>
              <w:adjustRightInd w:val="0"/>
              <w:spacing w:before="29" w:line="288" w:lineRule="auto"/>
              <w:ind w:left="17"/>
              <w:jc w:val="right"/>
              <w:rPr>
                <w:color w:val="000000"/>
                <w:sz w:val="24"/>
                <w:szCs w:val="24"/>
              </w:rPr>
            </w:pPr>
            <w:r w:rsidRPr="00414345">
              <w:rPr>
                <w:color w:val="000000"/>
                <w:sz w:val="24"/>
                <w:szCs w:val="24"/>
              </w:rPr>
              <w:t/>
            </w:r>
            <w:r w:rsidR="006A7AF1" w:rsidRPr="00414345">
              <w:rPr>
                <w:color w:val="000000"/>
                <w:sz w:val="24"/>
                <w:szCs w:val="24"/>
              </w:rPr>
              <w:t>-</w:t>
            </w:r>
          </w:p>
        </w:tc>
      </w:tr>
    </w:tbl>
    <w:p>
      <w:pPr>
        <w:autoSpaceDE w:val="0"/>
        <w:autoSpaceDN w:val="0"/>
        <w:adjustRightInd w:val="0"/>
        <w:spacing w:before="29" w:line="288" w:lineRule="auto"/>
        <w:jc w:val="left"/>
        <w:rPr>
          <w:color w:val="000000"/>
          <w:sz w:val="24"/>
          <w:szCs w:val="24"/>
        </w:rPr>
      </w:pPr>
      <w:r>
        <w:rPr>
          <w:color w:val="000000"/>
          <w:sz w:val="24"/>
          <w:szCs w:val="24"/>
        </w:rPr>
        <w:t xml:space="preserve">注：1、上述基金业绩指标不包括持有人认购或交易基金的各项费用，计入费用后的实际收益水平要低于所列数字。  </w:t>
      </w:r>
    </w:p>
    <w:p w:rsidP="00C15CAC" w:rsidR="004061AC" w:rsidRDefault="00A5612C"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2、本期已实现收益指基金本期利息收入、投资收益、其他收入（不含公允价值变动收益）扣除相关费用后的余额，本期利润为本期已实现收益加上本期公允价值变动收益。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P="00C15CAC" w:rsidR="00CF6572"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type="dxa" w:w="8868"/>
        <w:jc w:val="center"/>
        <w:tblLayout w:type="fixed"/>
        <w:tblCellMar>
          <w:top w:type="dxa" w:w="57"/>
          <w:bottom w:type="dxa" w:w="57"/>
        </w:tblCellMar>
        <w:tblLook w:val="04A0"/>
      </w:tblPr>
      <w:tblGrid>
        <w:gridCol w:w="1701"/>
        <w:gridCol w:w="1045"/>
        <w:gridCol w:w="1344"/>
        <w:gridCol w:w="1194"/>
        <w:gridCol w:w="1492"/>
        <w:gridCol w:w="1194"/>
        <w:gridCol w:w="898"/>
      </w:tblGrid>
      <w:tr w:rsidR="00EF6FA5" w:rsidRPr="00414345" w:rsidTr="00A324F4">
        <w:trPr>
          <w:jc w:val="center"/>
        </w:trPr>
        <w:tc>
          <w:tcPr>
            <w:tcW w:type="dxa" w:w="161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r w:rsidR="00200FAB" w:rsidRPr="00414345">
              <w:rPr>
                <w:color w:val="000000"/>
                <w:sz w:val="24"/>
                <w:szCs w:val="24"/>
              </w:rPr>
              <w:t/>
            </w:r>
          </w:p>
        </w:tc>
        <w:tc>
          <w:tcPr>
            <w:tcW w:type="dxa" w:w="992"/>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type="dxa" w:w="1276"/>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type="dxa" w:w="113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type="dxa" w:w="1417"/>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type="dxa" w:w="1134"/>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type="dxa" w:w="853"/>
            <w:vAlign w:val="center"/>
          </w:tcPr>
          <w:p w:rsidP="00C15CAC" w:rsidR="00154BE1" w:rsidRDefault="00154BE1" w:rsidRPr="00414345">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tc>
          <w:tcPr>
            <w:vAlign w:val="center"/>
          </w:tcPr>
          <w:p>
            <w:pPr>
              <w:jc w:val="left"/>
            </w:pPr>
            <w:r>
              <w:rPr>
                <w:color w:val="000000"/>
                <w:sz w:val="24"/>
                <w:szCs w:val="24"/>
              </w:rPr>
              <w:t>过去三个月</w:t>
            </w:r>
          </w:p>
        </w:tc>
        <w:tc>
          <w:tcPr>
            <w:vAlign w:val="center"/>
          </w:tcPr>
          <w:p>
            <w:pPr>
              <w:jc w:val="center"/>
            </w:pPr>
            <w:r>
              <w:rPr>
                <w:color w:val="000000"/>
                <w:sz w:val="24"/>
                <w:szCs w:val="24"/>
              </w:rPr>
              <w:t>0.79%</w:t>
            </w:r>
          </w:p>
        </w:tc>
        <w:tc>
          <w:tcPr>
            <w:vAlign w:val="center"/>
          </w:tcPr>
          <w:p>
            <w:pPr>
              <w:jc w:val="center"/>
            </w:pPr>
            <w:r>
              <w:rPr>
                <w:color w:val="000000"/>
                <w:sz w:val="24"/>
                <w:szCs w:val="24"/>
              </w:rPr>
              <w:t>0.10%</w:t>
            </w:r>
          </w:p>
        </w:tc>
        <w:tc>
          <w:tcPr>
            <w:vAlign w:val="center"/>
          </w:tcPr>
          <w:p>
            <w:pPr>
              <w:jc w:val="center"/>
            </w:pPr>
            <w:r>
              <w:rPr>
                <w:color w:val="000000"/>
                <w:sz w:val="24"/>
                <w:szCs w:val="24"/>
              </w:rPr>
              <w:t>1.99%</w:t>
            </w:r>
          </w:p>
        </w:tc>
        <w:tc>
          <w:tcPr>
            <w:vAlign w:val="center"/>
          </w:tcPr>
          <w:p>
            <w:pPr>
              <w:jc w:val="center"/>
            </w:pPr>
            <w:r>
              <w:rPr>
                <w:color w:val="000000"/>
                <w:sz w:val="24"/>
                <w:szCs w:val="24"/>
              </w:rPr>
              <w:t>0.05%</w:t>
            </w:r>
          </w:p>
        </w:tc>
        <w:tc>
          <w:tcPr>
            <w:vAlign w:val="center"/>
          </w:tcPr>
          <w:p>
            <w:pPr>
              <w:jc w:val="center"/>
            </w:pPr>
            <w:r>
              <w:rPr>
                <w:color w:val="000000"/>
                <w:sz w:val="24"/>
                <w:szCs w:val="24"/>
              </w:rPr>
              <w:t>-1.20%</w:t>
            </w:r>
          </w:p>
        </w:tc>
        <w:tc>
          <w:tcPr>
            <w:vAlign w:val="center"/>
          </w:tcPr>
          <w:p>
            <w:pPr>
              <w:jc w:val="center"/>
            </w:pPr>
            <w:r>
              <w:rPr>
                <w:color w:val="000000"/>
                <w:sz w:val="24"/>
                <w:szCs w:val="24"/>
              </w:rPr>
              <w:t>0.05%</w:t>
            </w:r>
          </w:p>
        </w:tc>
      </w:tr>
    </w:tbl>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自基金转型以来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P="00C15CAC" w:rsidR="008606B6" w:rsidRDefault="008606B6" w:rsidRPr="00414345">
      <w:pPr>
        <w:spacing w:before="29" w:line="288" w:lineRule="auto"/>
        <w:jc w:val="center"/>
        <w:rPr>
          <w:color w:val="000000"/>
          <w:sz w:val="24"/>
          <w:szCs w:val="24"/>
        </w:rPr>
      </w:pPr>
      <w:r w:rsidRPr="00414345">
        <w:rPr>
          <w:color w:val="000000"/>
          <w:sz w:val="24"/>
          <w:szCs w:val="24"/>
        </w:rPr>
        <w:t>交银施罗德安心收益债券型证券投资基金</w:t>
      </w:r>
    </w:p>
    <w:p w:rsidP="00C15CAC" w:rsidR="004061AC" w:rsidRDefault="00B56F53" w:rsidRPr="00414345">
      <w:pPr>
        <w:pStyle w:val="a5"/>
        <w:snapToGrid w:val="0"/>
        <w:spacing w:before="29" w:line="288" w:lineRule="auto"/>
        <w:jc w:val="center"/>
        <w:rPr>
          <w:rFonts w:ascii="Times New Roman" w:cs="Times New Roman" w:hAnsi="Times New Roman"/>
          <w:color w:val="000000"/>
          <w:sz w:val="24"/>
          <w:szCs w:val="24"/>
        </w:rPr>
      </w:pPr>
      <w:r w:rsidRPr="00414345">
        <w:rPr>
          <w:rFonts w:ascii="Times New Roman" w:cs="Times New Roman" w:hAnsi="Times New Roman"/>
          <w:color w:val="000000"/>
          <w:sz w:val="24"/>
          <w:szCs w:val="24"/>
        </w:rPr>
        <w:t>份额累计净值增长率与业绩比较基准收益率历史走势对比图</w:t>
      </w:r>
    </w:p>
    <w:p w:rsidP="00C15CAC" w:rsidR="00AE7962" w:rsidRDefault="00DE4B43" w:rsidRPr="00414345">
      <w:pPr>
        <w:pStyle w:val="a5"/>
        <w:snapToGrid w:val="0"/>
        <w:spacing w:before="29" w:line="288" w:lineRule="auto"/>
        <w:ind w:firstLine="480"/>
        <w:jc w:val="center"/>
        <w:rPr>
          <w:rFonts w:ascii="Times New Roman" w:cs="Times New Roman" w:hAnsi="Times New Roman"/>
          <w:sz w:val="24"/>
          <w:szCs w:val="24"/>
        </w:rPr>
      </w:pPr>
      <w:r w:rsidRPr="00414345">
        <w:rPr>
          <w:rFonts w:ascii="Times New Roman" w:cs="Times New Roman" w:hAnsi="Times New Roman"/>
          <w:color w:val="000000"/>
          <w:sz w:val="24"/>
          <w:szCs w:val="24"/>
        </w:rPr>
        <w:lastRenderedPageBreak/>
        <w:t>（</w:t>
      </w:r>
      <w:r w:rsidR="0042009D" w:rsidRPr="00414345">
        <w:rPr>
          <w:rFonts w:ascii="Times New Roman" w:cs="Times New Roman" w:hAnsi="Times New Roman"/>
          <w:sz w:val="24"/>
          <w:szCs w:val="24"/>
        </w:rPr>
        <w:t>2018年6月2日</w:t>
      </w:r>
      <w:r w:rsidR="00AE7962" w:rsidRPr="00414345">
        <w:rPr>
          <w:rFonts w:ascii="Times New Roman" w:cs="Times New Roman" w:hAnsi="Times New Roman"/>
          <w:sz w:val="24"/>
          <w:szCs w:val="24"/>
        </w:rPr>
        <w:t>至</w:t>
      </w:r>
      <w:r w:rsidR="00AE7962" w:rsidRPr="00414345">
        <w:rPr>
          <w:rFonts w:ascii="Times New Roman" w:cs="Times New Roman" w:hAnsi="Times New Roman"/>
          <w:sz w:val="24"/>
          <w:szCs w:val="24"/>
        </w:rPr>
        <w:t>2018年12月31日</w:t>
      </w:r>
      <w:r w:rsidRPr="00414345">
        <w:rPr>
          <w:rFonts w:ascii="Times New Roman" w:cs="Times New Roman" w:hAnsi="Times New Roman"/>
          <w:color w:val="000000"/>
          <w:sz w:val="24"/>
          <w:szCs w:val="24"/>
        </w:rPr>
        <w:t>）</w:t>
      </w:r>
    </w:p>
    <w:p w:rsidP="00C15CAC" w:rsidR="004061AC" w:rsidRDefault="00B816A7" w:rsidRPr="00414345">
      <w:pPr>
        <w:pStyle w:val="a5"/>
        <w:snapToGrid w:val="0"/>
        <w:spacing w:before="29" w:line="288" w:lineRule="auto"/>
        <w:jc w:val="center"/>
        <w:rPr>
          <w:rFonts w:ascii="Times New Roman" w:cs="Times New Roman" w:hAnsi="Times New Roman"/>
          <w:color w:val="000000"/>
          <w:sz w:val="24"/>
          <w:szCs w:val="24"/>
        </w:rPr>
      </w:pPr>
      <w:r w:rsidRPr="00414345">
        <w:rPr>
          <w:rFonts w:ascii="Times New Roman" w:cs="Times New Roman" w:hAnsi="Times New Roman"/>
          <w:noProof/>
          <w:color w:val="000000"/>
          <w:sz w:val="24"/>
          <w:szCs w:val="24"/>
        </w:rPr>
        <w:drawing>
          <wp:inline distB="0" distL="0" distR="0" distT="0">
            <wp:extent cx="5731510" cy="3356610"/>
            <wp:effectExtent b="0" l="19050" r="2540" t="0"/>
            <wp:docPr descr="走势图1.jpg"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cstate="print" r:embed="rId14"/>
                    <a:stretch>
                      <a:fillRect/>
                    </a:stretch>
                  </pic:blipFill>
                  <pic:spPr>
                    <a:xfrm>
                      <a:off x="0" y="0"/>
                      <a:ext cx="5731510" cy="3356610"/>
                    </a:xfrm>
                    <a:prstGeom prst="rect">
                      <a:avLst/>
                    </a:prstGeom>
                  </pic:spPr>
                </pic:pic>
              </a:graphicData>
            </a:graphic>
          </wp:inline>
        </w:drawing>
      </w:r>
    </w:p>
    <w:p w:rsidP="00C15CAC" w:rsidR="004061AC" w:rsidRDefault="001C79F2"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8700EC" w:rsidRPr="00414345">
        <w:rPr>
          <w:color w:val="000000"/>
          <w:sz w:val="24"/>
          <w:szCs w:val="24"/>
        </w:rPr>
        <w:t/>
      </w:r>
      <w:r w:rsidRPr="00414345">
        <w:rPr>
          <w:color w:val="000000"/>
          <w:sz w:val="24"/>
          <w:szCs w:val="24"/>
        </w:rPr>
        <w:t/>
      </w:r>
      <w:r w:rsidR="004061AC" w:rsidRPr="00414345">
        <w:rPr>
          <w:color w:val="000000"/>
          <w:sz w:val="24"/>
          <w:szCs w:val="24"/>
        </w:rPr>
        <w:t>注：本基金由交银施罗德荣和保本混合型证券投资基金转型而来。本基金转型日为2018年6月2日，基金转型日至报告期期末，本基金转型时间未满一年。本基金的投资转型期为交银施罗德荣和保本混合型证券投资基金保本周期到期期间截止日的次日（即2018年6月2日）起的3个月。截至投资转型期结束，本基金各项资产配置比例符合基金合同及招募说明书有关投资比例的约定。</w:t>
      </w:r>
    </w:p>
    <w:p w:rsidP="00C15CAC" w:rsidR="00957594" w:rsidRDefault="00957594" w:rsidRPr="00414345">
      <w:pPr>
        <w:tabs>
          <w:tab w:pos="1800" w:val="left"/>
        </w:tabs>
        <w:spacing w:before="29" w:line="288" w:lineRule="auto"/>
        <w:rPr>
          <w:color w:val="000000"/>
          <w:sz w:val="24"/>
          <w:szCs w:val="24"/>
        </w:rPr>
      </w:pPr>
    </w:p>
    <w:p w:rsidP="00C15CAC" w:rsidR="00693843" w:rsidRDefault="00693843" w:rsidRPr="00414345">
      <w:pPr>
        <w:tabs>
          <w:tab w:pos="1800" w:val="left"/>
        </w:tabs>
        <w:spacing w:before="29" w:line="288" w:lineRule="auto"/>
        <w:rPr>
          <w:color w:val="000000"/>
          <w:sz w:val="24"/>
          <w:szCs w:val="24"/>
        </w:rPr>
      </w:pPr>
    </w:p>
    <w:p w:rsidP="0011537B" w:rsidR="004061AC" w:rsidRDefault="004061AC" w:rsidRPr="00414345">
      <w:pPr>
        <w:pStyle w:val="1"/>
        <w:spacing w:afterLines="100" w:beforeLines="100"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P="00C15CAC" w:rsidR="00B12B7D"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0A0"/>
      </w:tblPr>
      <w:tblGrid>
        <w:gridCol w:w="846"/>
        <w:gridCol w:w="845"/>
        <w:gridCol w:w="1549"/>
        <w:gridCol w:w="1548"/>
        <w:gridCol w:w="1407"/>
        <w:gridCol w:w="2673"/>
      </w:tblGrid>
      <w:tr w:rsidR="00286BEF" w:rsidRPr="00414345" w:rsidTr="006A10AB">
        <w:trPr>
          <w:trHeight w:val="292"/>
          <w:jc w:val="center"/>
        </w:trPr>
        <w:tc>
          <w:tcPr>
            <w:tcW w:type="dxa" w:w="851"/>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type="dxa" w:w="850"/>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type="dxa" w:w="3119"/>
            <w:gridSpan w:val="2"/>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type="dxa" w:w="1417"/>
            <w:vMerge w:val="restart"/>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w:t>
            </w:r>
            <w:r w:rsidRPr="00414345">
              <w:rPr>
                <w:color w:val="000000"/>
                <w:kern w:val="0"/>
                <w:sz w:val="24"/>
                <w:szCs w:val="24"/>
              </w:rPr>
              <w:lastRenderedPageBreak/>
              <w:t>年限</w:t>
            </w:r>
          </w:p>
        </w:tc>
        <w:tc>
          <w:tcPr>
            <w:tcW w:type="dxa" w:w="2694"/>
            <w:vMerge w:val="restart"/>
            <w:vAlign w:val="center"/>
          </w:tcPr>
          <w:p w:rsidP="00C15CAC" w:rsidR="004061AC" w:rsidRDefault="004061AC" w:rsidRPr="00414345">
            <w:pPr>
              <w:widowControl/>
              <w:spacing w:before="29" w:line="288" w:lineRule="auto"/>
              <w:ind w:left="17"/>
              <w:jc w:val="center"/>
              <w:rPr>
                <w:color w:val="000000"/>
                <w:kern w:val="0"/>
                <w:sz w:val="24"/>
                <w:szCs w:val="24"/>
              </w:rPr>
            </w:pPr>
            <w:r w:rsidRPr="00414345">
              <w:rPr>
                <w:color w:val="000000"/>
                <w:kern w:val="0"/>
                <w:sz w:val="24"/>
                <w:szCs w:val="24"/>
              </w:rPr>
              <w:lastRenderedPageBreak/>
              <w:t>说明</w:t>
            </w:r>
          </w:p>
        </w:tc>
      </w:tr>
      <w:tr w:rsidR="00D13737" w:rsidRPr="00414345" w:rsidTr="006A10AB">
        <w:trPr>
          <w:jc w:val="center"/>
        </w:trPr>
        <w:tc>
          <w:tcPr>
            <w:tcW w:type="dxa" w:w="851"/>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850"/>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1560"/>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type="dxa" w:w="1559"/>
            <w:vAlign w:val="center"/>
          </w:tcPr>
          <w:p w:rsidP="00C15CAC" w:rsidR="004061AC" w:rsidRDefault="004061AC" w:rsidRPr="00414345">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type="dxa" w:w="1417"/>
            <w:vMerge/>
            <w:vAlign w:val="center"/>
          </w:tcPr>
          <w:p w:rsidP="00C15CAC" w:rsidR="004061AC" w:rsidRDefault="004061AC" w:rsidRPr="00414345">
            <w:pPr>
              <w:widowControl/>
              <w:spacing w:before="29" w:line="288" w:lineRule="auto"/>
              <w:jc w:val="left"/>
              <w:rPr>
                <w:color w:val="000000"/>
                <w:kern w:val="0"/>
                <w:sz w:val="24"/>
                <w:szCs w:val="24"/>
              </w:rPr>
            </w:pPr>
          </w:p>
        </w:tc>
        <w:tc>
          <w:tcPr>
            <w:tcW w:type="dxa" w:w="2694"/>
            <w:vMerge/>
            <w:vAlign w:val="center"/>
          </w:tcPr>
          <w:p w:rsidP="00C15CAC" w:rsidR="004061AC" w:rsidRDefault="004061AC" w:rsidRPr="00414345">
            <w:pPr>
              <w:widowControl/>
              <w:spacing w:before="29" w:line="288" w:lineRule="auto"/>
              <w:jc w:val="left"/>
              <w:rPr>
                <w:color w:val="000000"/>
                <w:kern w:val="0"/>
                <w:sz w:val="24"/>
                <w:szCs w:val="24"/>
              </w:rPr>
            </w:pPr>
          </w:p>
        </w:tc>
      </w:tr>
      <w:tr>
        <w:tc>
          <w:tcPr>
            <w:vAlign w:val="center"/>
          </w:tcPr>
          <w:p>
            <w:pPr>
              <w:jc w:val="center"/>
            </w:pPr>
            <w:r>
              <w:rPr>
                <w:color w:val="000000"/>
                <w:sz w:val="24"/>
                <w:szCs w:val="24"/>
              </w:rPr>
              <w:t>唐赟</w:t>
            </w:r>
          </w:p>
        </w:tc>
        <w:tc>
          <w:tcPr>
            <w:vAlign w:val="center"/>
          </w:tcPr>
          <w:p>
            <w:pPr>
              <w:jc w:val="center"/>
            </w:pPr>
            <w:r>
              <w:rPr>
                <w:color w:val="000000"/>
                <w:sz w:val="24"/>
                <w:szCs w:val="24"/>
              </w:rPr>
              <w:t>交银信用添利债券(LOF)、交银双利债券、交银双轮动债券、交银裕通纯债债券、交银安心收益债券的基金经理</w:t>
            </w:r>
          </w:p>
        </w:tc>
        <w:tc>
          <w:tcPr>
            <w:vAlign w:val="center"/>
          </w:tcPr>
          <w:p>
            <w:pPr>
              <w:jc w:val="center"/>
            </w:pPr>
            <w:r>
              <w:rPr>
                <w:color w:val="000000"/>
                <w:sz w:val="24"/>
                <w:szCs w:val="24"/>
              </w:rPr>
              <w:t>2015-11-07</w:t>
            </w:r>
          </w:p>
        </w:tc>
        <w:tc>
          <w:tcPr>
            <w:vAlign w:val="center"/>
          </w:tcPr>
          <w:p>
            <w:pPr>
              <w:jc w:val="center"/>
            </w:pPr>
            <w:r>
              <w:rPr>
                <w:color w:val="000000"/>
                <w:sz w:val="24"/>
                <w:szCs w:val="24"/>
              </w:rPr>
              <w:t>-</w:t>
            </w:r>
          </w:p>
        </w:tc>
        <w:tc>
          <w:tcPr>
            <w:vAlign w:val="center"/>
          </w:tcPr>
          <w:p>
            <w:pPr>
              <w:jc w:val="center"/>
            </w:pPr>
            <w:r>
              <w:rPr>
                <w:color w:val="000000"/>
                <w:sz w:val="24"/>
                <w:szCs w:val="24"/>
              </w:rPr>
              <w:t>8年</w:t>
            </w:r>
          </w:p>
        </w:tc>
        <w:tc>
          <w:tcPr>
            <w:vAlign w:val="center"/>
          </w:tcPr>
          <w:p>
            <w:pPr>
              <w:jc w:val="both"/>
            </w:pPr>
            <w:r>
              <w:rPr>
                <w:color w:val="000000"/>
                <w:sz w:val="24"/>
                <w:szCs w:val="24"/>
              </w:rPr>
              <w:t>唐赟先生，香港城市大学电子工程硕士。历任渣打银行环球企业部助理客户经理、平安资产管理公司信用分析员。2012年加入交银施罗德基金管理有限公司，历任固定收益研究员、基金经理助理。2015年11月7日至2018年6月1日担任转型前的交银施罗德荣和保本混合型证券投资基金的基金经理。</w:t>
            </w:r>
          </w:p>
        </w:tc>
      </w:tr>
    </w:tbl>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注：基金经理（或基金经理小组）期后变动（如有）敬请关注基金管理人发布的相关公告。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P="00C15CAC" w:rsidR="004061AC" w:rsidRDefault="004061AC" w:rsidRPr="00414345">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pPr>
        <w:spacing w:before="29" w:line="288" w:lineRule="auto"/>
        <w:ind w:firstLine="480" w:firstLineChars="20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480" w:firstLineChars="20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
      </w:r>
      <w:r w:rsidR="00957594" w:rsidRPr="00414345">
        <w:rPr>
          <w:color w:val="000000"/>
          <w:sz w:val="24"/>
          <w:szCs w:val="24"/>
        </w:rPr>
        <w:t/>
      </w:r>
      <w:r w:rsidRPr="00414345">
        <w:rPr>
          <w:color w:val="000000"/>
          <w:sz w:val="24"/>
          <w:szCs w:val="24"/>
        </w:rPr>
        <w:t>报告期内本公司严格执行公平交易制度，公平对待旗下各投资组合，未发现任何违反公平交易的行为。</w:t>
      </w:r>
    </w:p>
    <w:p w:rsidP="00C15CAC" w:rsidR="004061AC" w:rsidRDefault="004061AC" w:rsidRPr="00414345">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P="00C15CAC" w:rsidR="004061AC" w:rsidRDefault="00957594" w:rsidRPr="00414345">
      <w:pPr>
        <w:spacing w:before="29" w:line="288" w:lineRule="auto"/>
        <w:ind w:firstLine="480" w:firstLineChars="20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P="00C15CAC" w:rsidR="004061AC" w:rsidRDefault="004061AC" w:rsidRPr="00414345">
      <w:pPr>
        <w:spacing w:before="29" w:line="288" w:lineRule="auto"/>
        <w:ind w:firstLine="480" w:firstLineChars="200"/>
        <w:rPr>
          <w:color w:val="000000"/>
          <w:sz w:val="24"/>
          <w:szCs w:val="24"/>
        </w:rPr>
      </w:pPr>
    </w:p>
    <w:p w:rsidP="00C15CAC" w:rsidR="004061AC" w:rsidRDefault="00D44EE8" w:rsidRPr="00414345">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pPr>
        <w:spacing w:before="29" w:line="288" w:lineRule="auto"/>
        <w:ind w:firstLine="480" w:firstLineChars="200"/>
        <w:rPr>
          <w:color w:val="000000"/>
          <w:sz w:val="24"/>
          <w:szCs w:val="24"/>
        </w:rPr>
      </w:pPr>
      <w:r>
        <w:rPr>
          <w:color w:val="000000"/>
          <w:sz w:val="24"/>
          <w:szCs w:val="24"/>
        </w:rPr>
        <w:t>2018年以来中美贸易争端不断发酵和去杠杆政策下非标融资大幅收缩成为主导债市走势的两大基本面因素。四季度伊始，央行公布降准一个百分点且对资金投向方面的限制放宽松，大规模投放流动性使得资金面极度宽松，回购利率中枢一度下行至接近八月份的年内最低水平，加之地方债政府专项债发行量减少、经济基本面数据持续弱势，带动债券市场收益率在十月持续下行。进入十一月，在汇率贬值的压力下，央行连续多个交易日暂停公开市场操作，引导短端利率较十月小幅抬升，同业存单发行利率中枢也随之提高，虽然十月底的政治局会议基调相对于七月的政治局会议措辞有所放松，但是十一月公布的信贷和社融数据断崖式下跌、贸易战谈判带动市场情绪波动的影响下，长端利率整体上延续十月的下行趋势。十二月，政治局会议和中央经济工作会议均侧重稳增长，强调逆周期调节，提出稳定总需求，利率债双向波动加大，体现出小幅震荡的格局。</w:t>
      </w:r>
    </w:p>
    <w:p>
      <w:pPr>
        <w:spacing w:before="29" w:line="288" w:lineRule="auto"/>
        <w:ind w:firstLine="480" w:firstLineChars="200"/>
        <w:rPr>
          <w:color w:val="000000"/>
          <w:sz w:val="24"/>
          <w:szCs w:val="24"/>
        </w:rPr>
      </w:pPr>
      <w:r>
        <w:rPr>
          <w:color w:val="000000"/>
          <w:sz w:val="24"/>
          <w:szCs w:val="24"/>
        </w:rPr>
        <w:t>报告期内，基于对经济持续下滑、资金面维持大体宽松、长端利率有下行空间、信用利差主导压缩的判断，本基金在维持债券底仓整体久期的同时，对底仓的结构做出部分调整，提升静态收益率和杠杆套息利差，并择机进行长久期利率债的波段操作。同时，基于对权益市场较为谨慎的看法，控制组合的权益仓位，选择个别具有防御性板块个股进行波段操作为组合增强收益。</w:t>
      </w:r>
    </w:p>
    <w:p>
      <w:pPr>
        <w:spacing w:before="29" w:line="288" w:lineRule="auto"/>
        <w:ind w:firstLine="480" w:firstLineChars="200"/>
        <w:rPr>
          <w:color w:val="000000"/>
          <w:sz w:val="24"/>
          <w:szCs w:val="24"/>
        </w:rPr>
      </w:pPr>
      <w:r>
        <w:rPr>
          <w:color w:val="000000"/>
          <w:sz w:val="24"/>
          <w:szCs w:val="24"/>
        </w:rPr>
        <w:t>展望2019年一季度，我们认为一方面，国内的宏观基本面整体上仍将有利于债券市场，同时期限利差虽有收窄但仍在高位，利率进一步下行或有空间。海外方面，G20会议决定美国对中国商品关税提升暂缓三个月，考虑到中美关税再次提升前“抢出口”效应已经基本透支，且中方答应美方尽快从美国进口大量农产品，2019年一季度的净出口预计会对GDP有一定拖累。但是另一方面，为了应对外需和内需同时回落的压力，国内稳增长的诉求将会提高，或在促进消费、基建补短板、减税降费领域出台更加积极的对冲政策。在地方政府隐性债务的监管和资管新规的大框架下，基建投资资金来源会更多依赖地方政府专项债，从而导致专项债的供给可能会超出预期，对利率债产生一定的挤出效应。综合以上，我们认为后期债券市场的主要机会来自于净出口以及地产投资等方面的下行带来的基本面回落，风险点可能来自超预期的稳增长和托底政策。</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 xml:space="preserve">可转债方面，我们认为虽然有长期配置价值，但是可能面临纯债类资产的机会成本等因素，未来预计仍然将维持较低仓位，等待权益类资产的机会。权益市场方面，目前市场估值预计已处于相对底部区间，市场出现继续大幅下跌的可能性较小，但市场何时见底乃至出现趋势性上升行情仍不能确定。我们仍将维持较低的权益仓位，等待市场趋势性机会的出现。 </w:t>
      </w:r>
    </w:p>
    <w:p w:rsidP="00C15CAC" w:rsidR="00627E2D" w:rsidRDefault="00627E2D" w:rsidRPr="00414345">
      <w:pPr>
        <w:spacing w:before="29" w:line="288" w:lineRule="auto"/>
        <w:ind w:firstLine="480" w:firstLineChars="200"/>
        <w:rPr>
          <w:color w:val="000000"/>
          <w:sz w:val="24"/>
          <w:szCs w:val="24"/>
        </w:rPr>
      </w:pPr>
    </w:p>
    <w:p w:rsidP="00C15CAC" w:rsidR="004061AC" w:rsidRDefault="00D44EE8" w:rsidRPr="00414345">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P="00C15CAC" w:rsidR="004061AC" w:rsidRDefault="004061AC" w:rsidRPr="00414345">
      <w:pPr>
        <w:spacing w:before="29" w:line="288" w:lineRule="auto"/>
        <w:ind w:firstLine="480" w:firstLineChars="200"/>
        <w:rPr>
          <w:color w:val="000000"/>
          <w:sz w:val="24"/>
          <w:szCs w:val="24"/>
        </w:rPr>
      </w:pPr>
      <w:r w:rsidRPr="00414345">
        <w:rPr>
          <w:color w:val="000000"/>
          <w:sz w:val="24"/>
          <w:szCs w:val="24"/>
        </w:rPr>
        <w:t>本基金（各类）份额净值及业绩表现请见“3.1 主要财务指标” 及“3.2.1本报告期基金份额净值增长率及其与同期业绩比较基准收益率的比较”部分披露。</w:t>
      </w:r>
    </w:p>
    <w:p w:rsidP="00C15CAC" w:rsidR="009C5186" w:rsidRDefault="009C5186" w:rsidRPr="00414345">
      <w:pPr>
        <w:spacing w:before="29" w:line="288" w:lineRule="auto"/>
        <w:ind w:firstLine="480" w:firstLineChars="200"/>
        <w:rPr>
          <w:color w:val="000000"/>
          <w:sz w:val="24"/>
          <w:szCs w:val="24"/>
        </w:rPr>
      </w:pPr>
    </w:p>
    <w:p w:rsidP="00421CD2" w:rsidR="00421CD2" w:rsidRDefault="00421CD2" w:rsidRPr="002070B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P="00421CD2" w:rsidR="00421CD2" w:rsidRDefault="00421CD2">
      <w:pPr>
        <w:spacing w:before="29" w:line="288" w:lineRule="auto"/>
        <w:ind w:firstLine="480" w:firstLineChars="200"/>
        <w:rPr>
          <w:color w:val="000000"/>
          <w:sz w:val="24"/>
        </w:rPr>
      </w:pPr>
      <w:r w:rsidRPr="002070B4">
        <w:rPr>
          <w:color w:val="000000"/>
          <w:sz w:val="24"/>
        </w:rPr>
        <w:t>本基金本报告期内无需预警说明。</w:t>
      </w:r>
    </w:p>
    <w:p w:rsidP="0011537B" w:rsidR="004061AC" w:rsidRDefault="004061AC" w:rsidRPr="00414345">
      <w:pPr>
        <w:pStyle w:val="1"/>
        <w:spacing w:afterLines="100" w:beforeLines="100"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P="00BF0019" w:rsidR="00BF0019" w:rsidRDefault="00BF0019" w:rsidRPr="007B5F21">
      <w:pPr>
        <w:autoSpaceDE w:val="0"/>
        <w:autoSpaceDN w:val="0"/>
        <w:adjustRightInd w:val="0"/>
        <w:spacing w:line="360" w:lineRule="auto"/>
        <w:jc w:val="left"/>
        <w:rPr>
          <w:rFonts w:eastAsiaTheme="minorEastAsia"/>
          <w:b/>
          <w:color w:themeColor="text1" w:val="000000"/>
          <w:kern w:val="0"/>
          <w:sz w:val="24"/>
          <w:szCs w:val="24"/>
        </w:rPr>
      </w:pPr>
      <w:r w:rsidRPr="007B5F21">
        <w:rPr>
          <w:rFonts w:eastAsiaTheme="minorEastAsia"/>
          <w:b/>
          <w:color w:themeColor="text1" w:val="000000"/>
          <w:kern w:val="0"/>
          <w:sz w:val="24"/>
          <w:szCs w:val="24"/>
        </w:rPr>
        <w:t xml:space="preserve">5.1 </w:t>
      </w:r>
      <w:r w:rsidRPr="007B5F21">
        <w:rPr>
          <w:rFonts w:eastAsiaTheme="minorEastAsia"/>
          <w:b/>
          <w:color w:themeColor="text1" w:val="000000"/>
          <w:kern w:val="0"/>
          <w:sz w:val="24"/>
          <w:szCs w:val="24"/>
        </w:rPr>
        <w:t>报告期末基金资产组合情况</w:t>
      </w:r>
    </w:p>
    <w:tbl>
      <w:tblPr>
        <w:tblStyle w:val="af7"/>
        <w:tblW w:type="dxa" w:w="8897"/>
        <w:tblInd w:type="dxa" w:w="108"/>
        <w:tblLayout w:type="fixed"/>
        <w:tblLook w:val="04A0"/>
      </w:tblPr>
      <w:tblGrid>
        <w:gridCol w:w="720"/>
        <w:gridCol w:w="2824"/>
        <w:gridCol w:w="2552"/>
        <w:gridCol w:w="2801"/>
      </w:tblGrid>
      <w:tr w:rsidR="00BF0019" w:rsidRPr="007B5F21" w:rsidTr="002D2971">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序号</w:t>
            </w:r>
          </w:p>
        </w:tc>
        <w:tc>
          <w:tcPr>
            <w:tcW w:type="dxa" w:w="2824"/>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项目</w:t>
            </w:r>
          </w:p>
        </w:tc>
        <w:tc>
          <w:tcPr>
            <w:tcW w:type="dxa" w:w="2552"/>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金额</w:t>
            </w:r>
            <w:r w:rsidRPr="007B5F21">
              <w:rPr>
                <w:rFonts w:eastAsiaTheme="minorEastAsia"/>
                <w:color w:themeColor="text1" w:val="000000"/>
                <w:sz w:val="24"/>
                <w:szCs w:val="24"/>
              </w:rPr>
              <w:t>(</w:t>
            </w:r>
            <w:r w:rsidRPr="007B5F21">
              <w:rPr>
                <w:rFonts w:eastAsiaTheme="minorEastAsia"/>
                <w:color w:themeColor="text1" w:val="000000"/>
                <w:sz w:val="24"/>
                <w:szCs w:val="24"/>
              </w:rPr>
              <w:t>元</w:t>
            </w:r>
            <w:r w:rsidRPr="007B5F21">
              <w:rPr>
                <w:rFonts w:eastAsiaTheme="minorEastAsia"/>
                <w:color w:themeColor="text1" w:val="000000"/>
                <w:sz w:val="24"/>
                <w:szCs w:val="24"/>
              </w:rPr>
              <w:t>)</w:t>
            </w:r>
          </w:p>
        </w:tc>
        <w:tc>
          <w:tcPr>
            <w:tcW w:type="dxa" w:w="2801"/>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占基金总资产的比例</w:t>
            </w:r>
            <w:r w:rsidRPr="007B5F21">
              <w:rPr>
                <w:rFonts w:eastAsiaTheme="minorEastAsia"/>
                <w:color w:themeColor="text1" w:val="000000"/>
                <w:sz w:val="24"/>
                <w:szCs w:val="24"/>
              </w:rPr>
              <w:t>(%)</w:t>
            </w:r>
          </w:p>
        </w:tc>
      </w:tr>
      <w:tr w:rsidR="00BF0019" w:rsidRPr="007B5F21" w:rsidTr="002D2971">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1</w:t>
            </w:r>
          </w:p>
        </w:tc>
        <w:tc>
          <w:tcPr>
            <w:tcW w:type="dxa" w:w="2824"/>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权益投资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color w:themeColor="text1" w:val="000000"/>
                <w:sz w:val="24"/>
                <w:szCs w:val="24"/>
              </w:rPr>
              <w:lastRenderedPageBreak/>
              <w:t>283,400.00</w:t>
            </w:r>
          </w:p>
        </w:tc>
        <w:tc>
          <w:tcPr>
            <w:tcW w:type="dxa" w:w="2801"/>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lastRenderedPageBreak/>
              <w:t/>
            </w:r>
            <w:r w:rsidRPr="007B5F21">
              <w:rPr>
                <w:rFonts w:eastAsiaTheme="minorEastAsia"/>
                <w:color w:themeColor="text1" w:val="000000"/>
                <w:sz w:val="24"/>
                <w:szCs w:val="24"/>
              </w:rPr>
              <w:lastRenderedPageBreak/>
              <w:t>0.39</w:t>
            </w:r>
          </w:p>
        </w:tc>
      </w:tr>
      <w:tr w:rsidR="00BF0019" w:rsidRPr="007B5F21" w:rsidTr="002D2971">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824"/>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其中：股票</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283,400.00</w:t>
            </w:r>
          </w:p>
        </w:tc>
        <w:tc>
          <w:tcPr>
            <w:tcW w:type="dxa" w:w="2801"/>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0.39</w:t>
            </w:r>
          </w:p>
        </w:tc>
      </w:tr>
      <w:tr w:rsidR="00BF0019" w:rsidRPr="007B5F21" w:rsidTr="002D2971">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2</w:t>
            </w:r>
          </w:p>
        </w:tc>
        <w:tc>
          <w:tcPr>
            <w:tcW w:type="dxa" w:w="2824"/>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ascii="宋体" w:hAnsi="宋体" w:hint="eastAsia"/>
                <w:sz w:val="24"/>
                <w:szCs w:val="24"/>
              </w:rPr>
              <w:t>基金投资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hint="eastAsia"/>
                <w:color w:themeColor="text1" w:val="000000"/>
                <w:sz w:val="24"/>
                <w:szCs w:val="24"/>
              </w:rPr>
              <w:t/>
            </w:r>
            <w:r w:rsidRPr="007B5F21">
              <w:rPr>
                <w:rFonts w:eastAsiaTheme="minorEastAsia"/>
                <w:color w:themeColor="text1" w:val="000000"/>
                <w:sz w:val="24"/>
                <w:szCs w:val="24"/>
              </w:rPr>
              <w:t/>
            </w:r>
            <w:r w:rsidRPr="007B5F21">
              <w:rPr>
                <w:rFonts w:eastAsiaTheme="minorEastAsia" w:hint="eastAsia"/>
                <w:color w:themeColor="text1" w:val="000000"/>
                <w:sz w:val="24"/>
                <w:szCs w:val="24"/>
              </w:rPr>
              <w:t>-</w:t>
            </w:r>
          </w:p>
        </w:tc>
        <w:tc>
          <w:tcPr>
            <w:tcW w:type="dxa" w:w="2801"/>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hint="eastAsia"/>
                <w:color w:themeColor="text1" w:val="000000"/>
                <w:sz w:val="24"/>
                <w:szCs w:val="24"/>
              </w:rPr>
              <w:t/>
            </w:r>
            <w:r w:rsidRPr="007B5F21">
              <w:rPr>
                <w:rFonts w:eastAsiaTheme="minorEastAsia"/>
                <w:color w:themeColor="text1" w:val="000000"/>
                <w:sz w:val="24"/>
                <w:szCs w:val="24"/>
              </w:rPr>
              <w:t/>
            </w:r>
            <w:r w:rsidRPr="007B5F21">
              <w:rPr>
                <w:rFonts w:eastAsiaTheme="minorEastAsia" w:hint="eastAsia"/>
                <w:color w:themeColor="text1" w:val="000000"/>
                <w:sz w:val="24"/>
                <w:szCs w:val="24"/>
              </w:rPr>
              <w:t>-</w:t>
            </w:r>
          </w:p>
        </w:tc>
      </w:tr>
      <w:tr w:rsidR="00BF0019" w:rsidRPr="007B5F21" w:rsidTr="002D2971">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3</w:t>
            </w:r>
          </w:p>
        </w:tc>
        <w:tc>
          <w:tcPr>
            <w:tcW w:type="dxa" w:w="2824"/>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固定收益投资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63,359,140.00</w:t>
            </w:r>
          </w:p>
        </w:tc>
        <w:tc>
          <w:tcPr>
            <w:tcW w:type="dxa" w:w="2801"/>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88.21</w:t>
            </w:r>
          </w:p>
        </w:tc>
      </w:tr>
      <w:tr w:rsidR="00BF0019" w:rsidRPr="007B5F21" w:rsidTr="002D2971">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824"/>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其中：债券</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63,359,140.00</w:t>
            </w:r>
          </w:p>
        </w:tc>
        <w:tc>
          <w:tcPr>
            <w:tcW w:type="dxa" w:w="2801"/>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88.21</w:t>
            </w:r>
          </w:p>
        </w:tc>
      </w:tr>
      <w:tr w:rsidR="00BF0019" w:rsidRPr="007B5F21" w:rsidTr="002D2971">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824"/>
            <w:vAlign w:val="center"/>
          </w:tcPr>
          <w:p w:rsidP="007B5F21" w:rsidR="00BF0019" w:rsidRDefault="00BF0019" w:rsidRPr="007B5F21">
            <w:pPr>
              <w:autoSpaceDE w:val="0"/>
              <w:autoSpaceDN w:val="0"/>
              <w:adjustRightInd w:val="0"/>
              <w:spacing w:before="29" w:line="360" w:lineRule="auto"/>
              <w:ind w:firstLine="720" w:firstLineChars="300" w:left="17"/>
              <w:jc w:val="left"/>
              <w:rPr>
                <w:rFonts w:eastAsiaTheme="minorEastAsia"/>
                <w:color w:themeColor="text1" w:val="000000"/>
                <w:sz w:val="24"/>
                <w:szCs w:val="24"/>
              </w:rPr>
            </w:pPr>
            <w:r w:rsidRPr="007B5F21">
              <w:rPr>
                <w:rFonts w:eastAsiaTheme="minorEastAsia"/>
                <w:color w:themeColor="text1" w:val="000000"/>
                <w:sz w:val="24"/>
                <w:szCs w:val="24"/>
              </w:rPr>
              <w:t>资产支持证券</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801"/>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2D2971">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4</w:t>
            </w:r>
          </w:p>
        </w:tc>
        <w:tc>
          <w:tcPr>
            <w:tcW w:type="dxa" w:w="2824"/>
            <w:vAlign w:val="center"/>
          </w:tcPr>
          <w:p w:rsidP="002D2971" w:rsidR="00BF0019" w:rsidRDefault="00BF0019" w:rsidRPr="007B5F21">
            <w:pPr>
              <w:spacing w:before="29" w:line="360" w:lineRule="auto"/>
              <w:ind w:left="105" w:leftChars="50"/>
              <w:rPr>
                <w:rFonts w:eastAsiaTheme="minorEastAsia"/>
                <w:color w:themeColor="text1" w:val="000000"/>
                <w:sz w:val="24"/>
                <w:szCs w:val="24"/>
              </w:rPr>
            </w:pPr>
            <w:r w:rsidRPr="007B5F21">
              <w:rPr>
                <w:rFonts w:eastAsiaTheme="minorEastAsia"/>
                <w:color w:themeColor="text1" w:val="000000"/>
                <w:sz w:val="24"/>
                <w:szCs w:val="24"/>
              </w:rPr>
              <w:t>贵金属投资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801"/>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2D2971">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5</w:t>
            </w:r>
          </w:p>
        </w:tc>
        <w:tc>
          <w:tcPr>
            <w:tcW w:type="dxa" w:w="2824"/>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金融衍生品投资</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801"/>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2D2971">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6</w:t>
            </w:r>
          </w:p>
        </w:tc>
        <w:tc>
          <w:tcPr>
            <w:tcW w:type="dxa" w:w="2824"/>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买入返售金融资产</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color w:themeColor="text1" w:val="000000"/>
                <w:sz w:val="24"/>
                <w:szCs w:val="24"/>
              </w:rPr>
              <w:lastRenderedPageBreak/>
              <w:t>4,000,000.00</w:t>
            </w:r>
          </w:p>
        </w:tc>
        <w:tc>
          <w:tcPr>
            <w:tcW w:type="dxa" w:w="2801"/>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lastRenderedPageBreak/>
              <w:t/>
            </w:r>
            <w:r w:rsidRPr="007B5F21">
              <w:rPr>
                <w:rFonts w:eastAsiaTheme="minorEastAsia"/>
                <w:color w:themeColor="text1" w:val="000000"/>
                <w:sz w:val="24"/>
                <w:szCs w:val="24"/>
              </w:rPr>
              <w:lastRenderedPageBreak/>
              <w:t>5.57</w:t>
            </w:r>
          </w:p>
        </w:tc>
      </w:tr>
      <w:tr w:rsidR="00BF0019" w:rsidRPr="007B5F21" w:rsidTr="002D2971">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p>
        </w:tc>
        <w:tc>
          <w:tcPr>
            <w:tcW w:type="dxa" w:w="2824"/>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其中：买断式回购的买入返售金融资产</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c>
          <w:tcPr>
            <w:tcW w:type="dxa" w:w="2801"/>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w:t>
            </w:r>
          </w:p>
        </w:tc>
      </w:tr>
      <w:tr w:rsidR="00BF0019" w:rsidRPr="007B5F21" w:rsidTr="002D2971">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hint="eastAsia"/>
                <w:color w:themeColor="text1" w:val="000000"/>
                <w:sz w:val="24"/>
                <w:szCs w:val="24"/>
              </w:rPr>
              <w:t>7</w:t>
            </w:r>
          </w:p>
        </w:tc>
        <w:tc>
          <w:tcPr>
            <w:tcW w:type="dxa" w:w="2824"/>
            <w:vAlign w:val="center"/>
          </w:tcPr>
          <w:p w:rsidP="002D2971" w:rsidR="00BF0019" w:rsidRDefault="00BF0019" w:rsidRPr="007B5F21">
            <w:pPr>
              <w:spacing w:before="29" w:line="360" w:lineRule="auto"/>
              <w:ind w:left="17"/>
              <w:jc w:val="left"/>
              <w:rPr>
                <w:rFonts w:eastAsiaTheme="minorEastAsia"/>
                <w:color w:themeColor="text1" w:val="000000"/>
                <w:sz w:val="24"/>
                <w:szCs w:val="24"/>
              </w:rPr>
            </w:pPr>
            <w:r w:rsidRPr="007B5F21">
              <w:rPr>
                <w:rFonts w:eastAsiaTheme="minorEastAsia"/>
                <w:color w:themeColor="text1" w:val="000000"/>
                <w:sz w:val="24"/>
                <w:szCs w:val="24"/>
              </w:rPr>
              <w:t>银行存款和结算备付金合计</w:t>
            </w:r>
          </w:p>
        </w:tc>
        <w:tc>
          <w:tcPr>
            <w:tcW w:type="dxa" w:w="2552"/>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2,243,194.65</w:t>
            </w:r>
          </w:p>
        </w:tc>
        <w:tc>
          <w:tcPr>
            <w:tcW w:type="dxa" w:w="2801"/>
            <w:vAlign w:val="center"/>
          </w:tcPr>
          <w:p w:rsidP="002D2971" w:rsidR="00BF0019" w:rsidRDefault="00BF0019" w:rsidRPr="007B5F21">
            <w:pPr>
              <w:spacing w:before="29" w:line="360" w:lineRule="auto"/>
              <w:ind w:left="17"/>
              <w:jc w:val="right"/>
              <w:rPr>
                <w:rFonts w:eastAsiaTheme="minorEastAsia"/>
                <w:color w:themeColor="text1" w:val="000000"/>
                <w:sz w:val="24"/>
                <w:szCs w:val="24"/>
              </w:rPr>
            </w:pPr>
            <w:r w:rsidRPr="007B5F21">
              <w:rPr>
                <w:rFonts w:eastAsiaTheme="minorEastAsia"/>
                <w:color w:themeColor="text1" w:val="000000"/>
                <w:sz w:val="24"/>
                <w:szCs w:val="24"/>
              </w:rPr>
              <w:t>3.12</w:t>
            </w:r>
          </w:p>
        </w:tc>
      </w:tr>
      <w:tr w:rsidR="00BF0019" w:rsidRPr="007B5F21" w:rsidTr="002D2971">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hint="eastAsia"/>
                <w:color w:themeColor="text1" w:val="000000"/>
                <w:sz w:val="24"/>
                <w:szCs w:val="24"/>
              </w:rPr>
              <w:t/>
            </w:r>
            <w:r w:rsidRPr="007B5F21">
              <w:rPr>
                <w:rFonts w:eastAsiaTheme="minorEastAsia"/>
                <w:color w:themeColor="text1" w:val="000000"/>
                <w:sz w:val="24"/>
                <w:szCs w:val="24"/>
              </w:rPr>
              <w:t>8</w:t>
            </w:r>
          </w:p>
        </w:tc>
        <w:tc>
          <w:tcPr>
            <w:tcW w:type="dxa" w:w="2824"/>
            <w:vAlign w:val="center"/>
          </w:tcPr>
          <w:p w:rsidP="002D2971" w:rsidR="00BF0019" w:rsidRDefault="00BF0019" w:rsidRPr="007B5F21">
            <w:pPr>
              <w:spacing w:line="360" w:lineRule="auto"/>
              <w:rPr>
                <w:rFonts w:eastAsiaTheme="minorEastAsia"/>
                <w:color w:themeColor="text1" w:val="000000"/>
                <w:sz w:val="24"/>
                <w:szCs w:val="24"/>
              </w:rPr>
            </w:pPr>
            <w:r w:rsidRPr="007B5F21">
              <w:rPr>
                <w:rFonts w:eastAsiaTheme="minorEastAsia"/>
                <w:color w:themeColor="text1" w:val="000000"/>
                <w:sz w:val="24"/>
                <w:szCs w:val="24"/>
              </w:rPr>
              <w:t>其他各项资产</w:t>
            </w:r>
          </w:p>
        </w:tc>
        <w:tc>
          <w:tcPr>
            <w:tcW w:type="dxa" w:w="2552"/>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1,944,185.90</w:t>
            </w:r>
          </w:p>
        </w:tc>
        <w:tc>
          <w:tcPr>
            <w:tcW w:type="dxa" w:w="2801"/>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2.71</w:t>
            </w:r>
          </w:p>
        </w:tc>
      </w:tr>
      <w:tr w:rsidR="00BF0019" w:rsidRPr="007B5F21" w:rsidTr="002D2971">
        <w:tc>
          <w:tcPr>
            <w:tcW w:type="dxa" w:w="720"/>
            <w:vAlign w:val="center"/>
          </w:tcPr>
          <w:p w:rsidP="002D2971" w:rsidR="00BF0019" w:rsidRDefault="00BF0019" w:rsidRPr="007B5F21">
            <w:pPr>
              <w:spacing w:before="29" w:line="360" w:lineRule="auto"/>
              <w:ind w:left="17"/>
              <w:jc w:val="center"/>
              <w:rPr>
                <w:rFonts w:eastAsiaTheme="minorEastAsia"/>
                <w:color w:themeColor="text1" w:val="000000"/>
                <w:sz w:val="24"/>
                <w:szCs w:val="24"/>
              </w:rPr>
            </w:pPr>
            <w:r w:rsidRPr="007B5F21">
              <w:rPr>
                <w:rFonts w:eastAsiaTheme="minorEastAsia"/>
                <w:color w:themeColor="text1" w:val="000000"/>
                <w:sz w:val="24"/>
                <w:szCs w:val="24"/>
              </w:rPr>
              <w:t/>
            </w:r>
            <w:r w:rsidRPr="007B5F21">
              <w:rPr>
                <w:rFonts w:eastAsiaTheme="minorEastAsia" w:hint="eastAsia"/>
                <w:color w:themeColor="text1" w:val="000000"/>
                <w:sz w:val="24"/>
                <w:szCs w:val="24"/>
              </w:rPr>
              <w:t/>
            </w:r>
            <w:r w:rsidRPr="007B5F21">
              <w:rPr>
                <w:rFonts w:eastAsiaTheme="minorEastAsia"/>
                <w:color w:themeColor="text1" w:val="000000"/>
                <w:sz w:val="24"/>
                <w:szCs w:val="24"/>
              </w:rPr>
              <w:t>9</w:t>
            </w:r>
          </w:p>
        </w:tc>
        <w:tc>
          <w:tcPr>
            <w:tcW w:type="dxa" w:w="2824"/>
            <w:vAlign w:val="center"/>
          </w:tcPr>
          <w:p w:rsidP="002D2971" w:rsidR="00BF0019" w:rsidRDefault="00BF0019" w:rsidRPr="007B5F21">
            <w:pPr>
              <w:spacing w:line="360" w:lineRule="auto"/>
              <w:rPr>
                <w:rFonts w:eastAsiaTheme="minorEastAsia"/>
                <w:color w:themeColor="text1" w:val="000000"/>
                <w:sz w:val="24"/>
                <w:szCs w:val="24"/>
              </w:rPr>
            </w:pPr>
            <w:r w:rsidRPr="007B5F21">
              <w:rPr>
                <w:rFonts w:eastAsiaTheme="minorEastAsia"/>
                <w:color w:themeColor="text1" w:val="000000"/>
                <w:sz w:val="24"/>
                <w:szCs w:val="24"/>
              </w:rPr>
              <w:t>合计</w:t>
            </w:r>
          </w:p>
        </w:tc>
        <w:tc>
          <w:tcPr>
            <w:tcW w:type="dxa" w:w="2552"/>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71,829,920.55</w:t>
            </w:r>
          </w:p>
        </w:tc>
        <w:tc>
          <w:tcPr>
            <w:tcW w:type="dxa" w:w="2801"/>
            <w:vAlign w:val="center"/>
          </w:tcPr>
          <w:p w:rsidP="002D2971" w:rsidR="00BF0019" w:rsidRDefault="00BF0019" w:rsidRPr="007B5F21">
            <w:pPr>
              <w:spacing w:line="360" w:lineRule="auto"/>
              <w:jc w:val="right"/>
              <w:rPr>
                <w:rFonts w:eastAsiaTheme="minorEastAsia"/>
                <w:color w:themeColor="text1" w:val="000000"/>
                <w:sz w:val="24"/>
                <w:szCs w:val="24"/>
              </w:rPr>
            </w:pPr>
            <w:r w:rsidRPr="007B5F21">
              <w:rPr>
                <w:rFonts w:eastAsiaTheme="minorEastAsia"/>
                <w:color w:themeColor="text1" w:val="000000"/>
                <w:sz w:val="24"/>
                <w:szCs w:val="24"/>
              </w:rPr>
              <w:t>100.00</w:t>
            </w:r>
          </w:p>
        </w:tc>
      </w:tr>
    </w:tbl>
    <w:p w:rsidP="00C15CAC" w:rsidR="004061AC" w:rsidRDefault="004061AC" w:rsidRPr="00414345">
      <w:pPr>
        <w:autoSpaceDE w:val="0"/>
        <w:autoSpaceDN w:val="0"/>
        <w:adjustRightInd w:val="0"/>
        <w:spacing w:before="29" w:line="288" w:lineRule="auto"/>
        <w:jc w:val="left"/>
        <w:rPr>
          <w:color w:val="000000"/>
          <w:sz w:val="24"/>
          <w:szCs w:val="24"/>
        </w:rPr>
      </w:pPr>
    </w:p>
    <w:p w:rsidP="00C15CAC" w:rsidR="004061AC" w:rsidRDefault="004061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P="00F51C4E" w:rsidR="00F51C4E" w:rsidRDefault="00F51C4E" w:rsidRPr="00F51C4E">
      <w:pPr>
        <w:rPr>
          <w:b/>
          <w:sz w:val="24"/>
        </w:rPr>
      </w:pPr>
      <w:r w:rsidRPr="004A3846">
        <w:rPr>
          <w:b/>
          <w:color w:themeColor="text1" w:val="000000"/>
          <w:sz w:val="24"/>
        </w:rPr>
        <w:t/>
      </w:r>
      <w:r w:rsidRPr="004A3846">
        <w:rPr>
          <w:rFonts w:eastAsiaTheme="minorEastAsia" w:hint="eastAsia"/>
          <w:b/>
          <w:color w:themeColor="text1" w:val="000000"/>
          <w:kern w:val="0"/>
          <w:sz w:val="24"/>
        </w:rPr>
        <w:t>5.2.1</w:t>
      </w:r>
      <w:r w:rsidRPr="004A3846">
        <w:rPr>
          <w:rFonts w:eastAsiaTheme="minorEastAsia" w:hint="eastAsia"/>
          <w:b/>
          <w:color w:themeColor="text1" w:val="000000"/>
          <w:kern w:val="0"/>
          <w:sz w:val="24"/>
        </w:rPr>
        <w:t>报告期末按行业分类的境内股票投资组合</w:t>
      </w:r>
    </w:p>
    <w:tbl>
      <w:tblPr>
        <w:tblW w:type="dxa" w:w="8868"/>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top w:type="dxa" w:w="-1"/>
          <w:left w:type="dxa" w:w="0"/>
          <w:bottom w:type="dxa" w:w="-1"/>
          <w:right w:type="dxa" w:w="0"/>
        </w:tblCellMar>
        <w:tblLook w:val="0000"/>
      </w:tblPr>
      <w:tblGrid>
        <w:gridCol w:w="845"/>
        <w:gridCol w:w="3544"/>
        <w:gridCol w:w="2841"/>
        <w:gridCol w:w="1638"/>
      </w:tblGrid>
      <w:tr w:rsidR="00531F10" w:rsidRPr="00414345" w:rsidTr="006C2C1B">
        <w:trPr>
          <w:trHeight w:val="390"/>
          <w:jc w:val="center"/>
        </w:trPr>
        <w:tc>
          <w:tcPr>
            <w:tcW w:type="dxa" w:w="845"/>
            <w:tcBorders>
              <w:top w:color="000000" w:space="0" w:sz="4" w:val="single"/>
              <w:left w:color="000000"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代码</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行业类别</w:t>
            </w:r>
            <w:r w:rsidR="005E475E" w:rsidRPr="00414345">
              <w:rPr>
                <w:sz w:val="24"/>
                <w:szCs w:val="24"/>
              </w:rPr>
              <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公允价值（元）</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A</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农、林、牧、渔业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autoSpaceDE w:val="0"/>
              <w:autoSpaceDN w:val="0"/>
              <w:adjustRightInd w:val="0"/>
              <w:spacing w:before="29" w:line="288" w:lineRule="auto"/>
              <w:ind w:left="15"/>
              <w:jc w:val="right"/>
              <w:rPr>
                <w:sz w:val="24"/>
                <w:szCs w:val="24"/>
              </w:rPr>
            </w:pPr>
            <w:r w:rsidRPr="00414345">
              <w:rPr>
                <w:sz w:val="24"/>
                <w:szCs w:val="24"/>
              </w:rPr>
              <w:t/>
            </w:r>
            <w:r w:rsidRPr="00414345">
              <w:rPr>
                <w:sz w:val="24"/>
                <w:szCs w:val="24"/>
              </w:rPr>
              <w:lastRenderedPageBreak/>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utoSpaceDE w:val="0"/>
              <w:autoSpaceDN w:val="0"/>
              <w:adjustRightInd w:val="0"/>
              <w:spacing w:before="29" w:line="288" w:lineRule="auto"/>
              <w:ind w:left="15"/>
              <w:jc w:val="right"/>
              <w:rPr>
                <w:sz w:val="24"/>
                <w:szCs w:val="24"/>
              </w:rPr>
            </w:pPr>
            <w:r w:rsidRPr="00414345">
              <w:rPr>
                <w:sz w:val="24"/>
                <w:szCs w:val="24"/>
              </w:rPr>
              <w:lastRenderedPageBreak/>
              <w:t/>
            </w:r>
            <w:r w:rsidRPr="00414345">
              <w:rPr>
                <w:sz w:val="24"/>
                <w:szCs w:val="24"/>
              </w:rPr>
              <w:lastRenderedPageBreak/>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lastRenderedPageBreak/>
              <w:t>B</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采矿业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1B4DD6"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1B4DD6"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C</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制造业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283,400.00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0.40</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D</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电力、热力、燃气及水生产和供应业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E</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建筑业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F</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批发和零售业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G</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交通运输、仓储和邮政业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t>H</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sz w:val="24"/>
                <w:szCs w:val="24"/>
              </w:rPr>
            </w:pPr>
            <w:r w:rsidRPr="00414345">
              <w:rPr>
                <w:sz w:val="24"/>
                <w:szCs w:val="24"/>
              </w:rPr>
              <w:t>住宿和餐饮业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
            </w:r>
            <w:r w:rsidRPr="00414345">
              <w:rPr>
                <w:sz w:val="24"/>
                <w:szCs w:val="24"/>
              </w:rPr>
              <w:lastRenderedPageBreak/>
              <w:t>-</w:t>
            </w:r>
          </w:p>
        </w:tc>
      </w:tr>
      <w:tr w:rsidR="00531F10" w:rsidRPr="00414345" w:rsidTr="00DC28F1">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sz w:val="24"/>
                <w:szCs w:val="24"/>
              </w:rPr>
            </w:pPr>
            <w:r w:rsidRPr="00414345">
              <w:rPr>
                <w:sz w:val="24"/>
                <w:szCs w:val="24"/>
              </w:rPr>
              <w:lastRenderedPageBreak/>
              <w:t>I</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DC28F1" w:rsidR="00531F10" w:rsidRDefault="00531F10" w:rsidRPr="00414345">
            <w:pPr>
              <w:adjustRightInd w:val="0"/>
              <w:snapToGrid w:val="0"/>
              <w:spacing w:before="29" w:line="288" w:lineRule="auto"/>
              <w:rPr>
                <w:sz w:val="24"/>
                <w:szCs w:val="24"/>
              </w:rPr>
            </w:pPr>
            <w:r w:rsidRPr="00414345">
              <w:rPr>
                <w:sz w:val="24"/>
                <w:szCs w:val="24"/>
              </w:rPr>
              <w:t>信息传输、软件和信息技术服务业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J</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金融业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K</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房地产业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L</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M</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N</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O</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
            </w:r>
            <w:r w:rsidRPr="00414345">
              <w:rPr>
                <w:sz w:val="24"/>
                <w:szCs w:val="24"/>
              </w:rPr>
              <w:lastRenderedPageBreak/>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lastRenderedPageBreak/>
              <w:t/>
            </w:r>
            <w:r w:rsidRPr="00414345">
              <w:rPr>
                <w:sz w:val="24"/>
                <w:szCs w:val="24"/>
              </w:rPr>
              <w:lastRenderedPageBreak/>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lastRenderedPageBreak/>
              <w:t>P</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教育</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Q</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R</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r w:rsidRPr="00414345">
              <w:rPr>
                <w:color w:val="000000"/>
                <w:sz w:val="24"/>
                <w:szCs w:val="24"/>
              </w:rPr>
              <w:t>S</w:t>
            </w: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综合</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type="dxa" w:w="845"/>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center"/>
              <w:rPr>
                <w:color w:val="000000"/>
                <w:sz w:val="24"/>
                <w:szCs w:val="24"/>
              </w:rPr>
            </w:pPr>
          </w:p>
        </w:tc>
        <w:tc>
          <w:tcPr>
            <w:tcW w:type="dxa" w:w="3544"/>
            <w:tcBorders>
              <w:top w:color="000000" w:space="0" w:sz="4" w:val="single"/>
              <w:left w:color="000000" w:space="0" w:sz="4" w:val="single"/>
              <w:bottom w:color="000000" w:space="0" w:sz="4" w:val="single"/>
              <w:right w:color="auto" w:space="0" w:sz="4" w:val="single"/>
            </w:tcBorders>
            <w:tcMar>
              <w:top w:type="dxa" w:w="15"/>
              <w:left w:type="dxa" w:w="108"/>
              <w:bottom w:type="dxa" w:w="0"/>
              <w:right w:type="dxa" w:w="108"/>
            </w:tcMar>
            <w:vAlign w:val="center"/>
          </w:tcPr>
          <w:p w:rsidP="00C15CAC" w:rsidR="00531F10" w:rsidRDefault="00531F10" w:rsidRPr="00414345">
            <w:pPr>
              <w:adjustRightInd w:val="0"/>
              <w:snapToGrid w:val="0"/>
              <w:spacing w:before="29" w:line="288" w:lineRule="auto"/>
              <w:jc w:val="left"/>
              <w:rPr>
                <w:color w:val="000000"/>
                <w:sz w:val="24"/>
                <w:szCs w:val="24"/>
              </w:rPr>
            </w:pPr>
            <w:r w:rsidRPr="00414345">
              <w:rPr>
                <w:color w:val="000000"/>
                <w:sz w:val="24"/>
                <w:szCs w:val="24"/>
              </w:rPr>
              <w:t>合计</w:t>
            </w:r>
          </w:p>
        </w:tc>
        <w:tc>
          <w:tcPr>
            <w:tcW w:type="dxa" w:w="2841"/>
            <w:tcBorders>
              <w:top w:color="000000" w:space="0" w:sz="4" w:val="single"/>
              <w:left w:color="auto" w:space="0" w:sz="4" w:val="single"/>
              <w:bottom w:color="000000" w:space="0" w:sz="4" w:val="single"/>
              <w:right w:color="000000" w:space="0" w:sz="4" w:val="single"/>
            </w:tcBorders>
            <w:tcMar>
              <w:left w:type="dxa" w:w="108"/>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283,400.00</w:t>
            </w:r>
          </w:p>
        </w:tc>
        <w:tc>
          <w:tcPr>
            <w:tcW w:type="dxa" w:w="1638"/>
            <w:tcBorders>
              <w:top w:color="000000" w:space="0" w:sz="4" w:val="single"/>
              <w:left w:color="000000" w:space="0" w:sz="4" w:val="single"/>
              <w:bottom w:color="000000" w:space="0" w:sz="4" w:val="single"/>
              <w:right w:color="000000" w:space="0" w:sz="4" w:val="single"/>
            </w:tcBorders>
            <w:tcMar>
              <w:top w:type="dxa" w:w="15"/>
              <w:left w:type="dxa" w:w="108"/>
              <w:bottom w:type="dxa" w:w="0"/>
              <w:right w:type="dxa" w:w="108"/>
            </w:tcMar>
            <w:vAlign w:val="center"/>
          </w:tcPr>
          <w:p w:rsidP="00C15CAC" w:rsidR="00531F10" w:rsidRDefault="00531F10" w:rsidRPr="00414345">
            <w:pPr>
              <w:spacing w:before="29" w:line="288" w:lineRule="auto"/>
              <w:jc w:val="right"/>
              <w:rPr>
                <w:sz w:val="24"/>
                <w:szCs w:val="24"/>
              </w:rPr>
            </w:pPr>
            <w:r w:rsidRPr="00414345">
              <w:rPr>
                <w:sz w:val="24"/>
                <w:szCs w:val="24"/>
              </w:rPr>
              <w:t>0.40</w:t>
            </w:r>
          </w:p>
        </w:tc>
      </w:tr>
    </w:tbl>
    <w:p w:rsidP="00F51C4E" w:rsidR="00F51C4E" w:rsidRDefault="00F51C4E" w:rsidRPr="008A409E">
      <w:pPr>
        <w:jc w:val="left"/>
        <w:rPr>
          <w:rFonts w:asciiTheme="minorEastAsia" w:eastAsiaTheme="minorEastAsia" w:hAnsiTheme="minorEastAsia"/>
          <w:b/>
          <w:bCs/>
          <w:color w:themeColor="text1" w:val="000000"/>
          <w:kern w:val="0"/>
          <w:sz w:val="24"/>
        </w:rPr>
      </w:pPr>
      <w:r w:rsidRPr="008A409E">
        <w:rPr>
          <w:rFonts w:asciiTheme="minorEastAsia" w:eastAsiaTheme="minorEastAsia" w:hAnsiTheme="minorEastAsia"/>
          <w:b/>
          <w:bCs/>
          <w:color w:themeColor="text1" w:val="000000"/>
          <w:kern w:val="0"/>
          <w:sz w:val="24"/>
        </w:rPr>
        <w:t/>
      </w:r>
      <w:r w:rsidRPr="008A409E">
        <w:rPr>
          <w:rFonts w:asciiTheme="minorEastAsia" w:eastAsiaTheme="minorEastAsia" w:hAnsiTheme="minorEastAsia" w:hint="eastAsia"/>
          <w:b/>
          <w:bCs/>
          <w:color w:themeColor="text1" w:val="000000"/>
          <w:kern w:val="0"/>
          <w:sz w:val="24"/>
        </w:rPr>
        <w:t>5.2.2报告期末按行业分类的</w:t>
      </w:r>
      <w:r w:rsidR="00EE49FE">
        <w:rPr>
          <w:rFonts w:asciiTheme="minorEastAsia" w:eastAsiaTheme="minorEastAsia" w:hAnsiTheme="minorEastAsia" w:hint="eastAsia"/>
          <w:b/>
          <w:bCs/>
          <w:color w:themeColor="text1" w:val="000000"/>
          <w:kern w:val="0"/>
          <w:sz w:val="24"/>
        </w:rPr>
        <w:t>港股通</w:t>
      </w:r>
      <w:r w:rsidRPr="008A409E">
        <w:rPr>
          <w:rFonts w:asciiTheme="minorEastAsia" w:eastAsiaTheme="minorEastAsia" w:hAnsiTheme="minorEastAsia" w:hint="eastAsia"/>
          <w:b/>
          <w:bCs/>
          <w:color w:themeColor="text1" w:val="000000"/>
          <w:kern w:val="0"/>
          <w:sz w:val="24"/>
        </w:rPr>
        <w:t>投资股票投资组合</w:t>
      </w:r>
    </w:p>
    <w:p w:rsidP="00F51C4E" w:rsidR="00F51C4E" w:rsidRDefault="00F51C4E">
      <w:pPr>
        <w:spacing w:before="29" w:line="360" w:lineRule="auto"/>
        <w:ind w:left="17"/>
        <w:rPr>
          <w:color w:val="000000"/>
          <w:sz w:val="24"/>
        </w:rPr>
      </w:pPr>
      <w:r w:rsidRPr="00FF0BBF">
        <w:rPr>
          <w:color w:val="000000"/>
          <w:sz w:val="24"/>
        </w:rPr>
        <w:t>本基金本报告期末未持有通过港股通投资的股票。</w:t>
      </w:r>
    </w:p>
    <w:p w:rsidP="00C15CAC" w:rsidR="004061AC" w:rsidRDefault="004061AC" w:rsidRPr="00F51C4E">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type="dxa" w:w="8868"/>
        <w:jc w:val="center"/>
        <w:tblLayout w:type="fixed"/>
        <w:tblCellMar>
          <w:top w:type="dxa" w:w="57"/>
          <w:bottom w:type="dxa" w:w="57"/>
        </w:tblCellMar>
        <w:tblLook w:val="04A0"/>
      </w:tblPr>
      <w:tblGrid>
        <w:gridCol w:w="855"/>
        <w:gridCol w:w="1334"/>
        <w:gridCol w:w="1777"/>
        <w:gridCol w:w="1334"/>
        <w:gridCol w:w="1924"/>
        <w:gridCol w:w="1644"/>
      </w:tblGrid>
      <w:tr w:rsidR="00AC592E" w:rsidRPr="00414345" w:rsidTr="00A324F4">
        <w:trPr>
          <w:jc w:val="center"/>
        </w:trPr>
        <w:tc>
          <w:tcPr>
            <w:tcW w:type="dxa" w:w="869"/>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序号</w:t>
            </w:r>
          </w:p>
        </w:tc>
        <w:tc>
          <w:tcPr>
            <w:tcW w:type="dxa" w:w="1357"/>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股票代码</w:t>
            </w:r>
          </w:p>
        </w:tc>
        <w:tc>
          <w:tcPr>
            <w:tcW w:type="dxa" w:w="1810"/>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股票名称</w:t>
            </w:r>
          </w:p>
        </w:tc>
        <w:tc>
          <w:tcPr>
            <w:tcW w:type="dxa" w:w="1357"/>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type="dxa" w:w="1960"/>
            <w:vAlign w:val="center"/>
          </w:tcPr>
          <w:p w:rsidP="00C15CAC" w:rsidR="00853140" w:rsidRDefault="00853140"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type="dxa" w:w="1674"/>
            <w:vAlign w:val="center"/>
          </w:tcPr>
          <w:p w:rsidP="00C15CAC" w:rsidR="00853140" w:rsidRDefault="00853140" w:rsidRPr="00414345">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tc>
          <w:tcPr>
            <w:vAlign w:val="center"/>
          </w:tcPr>
          <w:p>
            <w:pPr>
              <w:jc w:val="center"/>
            </w:pPr>
            <w:r>
              <w:rPr>
                <w:color w:val="000000"/>
                <w:sz w:val="24"/>
                <w:szCs w:val="24"/>
              </w:rPr>
              <w:t>1</w:t>
            </w:r>
          </w:p>
        </w:tc>
        <w:tc>
          <w:tcPr>
            <w:vAlign w:val="center"/>
          </w:tcPr>
          <w:p>
            <w:pPr>
              <w:jc w:val="center"/>
            </w:pPr>
            <w:r>
              <w:rPr>
                <w:color w:val="000000"/>
                <w:sz w:val="24"/>
                <w:szCs w:val="24"/>
              </w:rPr>
              <w:t>300252</w:t>
            </w:r>
          </w:p>
        </w:tc>
        <w:tc>
          <w:tcPr>
            <w:vAlign w:val="center"/>
          </w:tcPr>
          <w:p>
            <w:pPr>
              <w:jc w:val="center"/>
            </w:pPr>
            <w:r>
              <w:rPr>
                <w:color w:val="000000"/>
                <w:sz w:val="24"/>
                <w:szCs w:val="24"/>
              </w:rPr>
              <w:t>金信诺</w:t>
            </w:r>
          </w:p>
        </w:tc>
        <w:tc>
          <w:tcPr>
            <w:vAlign w:val="center"/>
          </w:tcPr>
          <w:p>
            <w:pPr>
              <w:jc w:val="right"/>
            </w:pPr>
            <w:r>
              <w:rPr>
                <w:color w:val="000000"/>
                <w:sz w:val="24"/>
                <w:szCs w:val="24"/>
              </w:rPr>
              <w:t>26,000</w:t>
            </w:r>
          </w:p>
        </w:tc>
        <w:tc>
          <w:tcPr>
            <w:vAlign w:val="center"/>
          </w:tcPr>
          <w:p>
            <w:pPr>
              <w:jc w:val="right"/>
            </w:pPr>
            <w:r>
              <w:rPr>
                <w:color w:val="000000"/>
                <w:sz w:val="24"/>
                <w:szCs w:val="24"/>
              </w:rPr>
              <w:t>283,400.00</w:t>
            </w:r>
          </w:p>
        </w:tc>
        <w:tc>
          <w:tcPr>
            <w:vAlign w:val="center"/>
          </w:tcPr>
          <w:p>
            <w:pPr>
              <w:jc w:val="right"/>
            </w:pPr>
            <w:r>
              <w:rPr>
                <w:color w:val="000000"/>
                <w:sz w:val="24"/>
                <w:szCs w:val="24"/>
              </w:rPr>
              <w:t>0.40</w:t>
            </w:r>
          </w:p>
        </w:tc>
      </w:tr>
    </w:tbl>
    <w:p w:rsidP="00C15CAC" w:rsidR="004061AC" w:rsidRDefault="004061AC" w:rsidRPr="00414345">
      <w:pPr>
        <w:autoSpaceDE w:val="0"/>
        <w:autoSpaceDN w:val="0"/>
        <w:adjustRightInd w:val="0"/>
        <w:spacing w:before="29" w:line="288" w:lineRule="auto"/>
        <w:jc w:val="left"/>
        <w:rPr>
          <w:b/>
          <w:bCs/>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tbl>
      <w:tblPr>
        <w:tblStyle w:val="af7"/>
        <w:tblW w:type="dxa" w:w="8868"/>
        <w:jc w:val="center"/>
        <w:tblLayout w:type="fixed"/>
        <w:tblLook w:val="04A0"/>
      </w:tblPr>
      <w:tblGrid>
        <w:gridCol w:w="828"/>
        <w:gridCol w:w="3302"/>
        <w:gridCol w:w="2987"/>
        <w:gridCol w:w="1751"/>
      </w:tblGrid>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序号</w:t>
            </w:r>
          </w:p>
        </w:tc>
        <w:tc>
          <w:tcPr>
            <w:tcW w:type="dxa" w:w="3302"/>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债券品种</w:t>
            </w:r>
            <w:r w:rsidR="00F71057" w:rsidRPr="00414345">
              <w:rPr>
                <w:color w:val="000000"/>
                <w:sz w:val="24"/>
                <w:szCs w:val="24"/>
              </w:rPr>
              <w:t/>
            </w:r>
          </w:p>
        </w:tc>
        <w:tc>
          <w:tcPr>
            <w:tcW w:type="dxa" w:w="2987"/>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公允价值</w:t>
            </w:r>
            <w:r w:rsidR="00C47163" w:rsidRPr="00414345">
              <w:rPr>
                <w:color w:val="000000"/>
                <w:sz w:val="24"/>
              </w:rPr>
              <w:t>（元）</w:t>
            </w:r>
          </w:p>
        </w:tc>
        <w:tc>
          <w:tcPr>
            <w:tcW w:type="dxa" w:w="1751"/>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占基金资产净值比例</w:t>
            </w:r>
            <w:r w:rsidR="00C47163" w:rsidRPr="00414345">
              <w:rPr>
                <w:color w:val="000000"/>
                <w:sz w:val="24"/>
              </w:rPr>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1</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国家债券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2</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央行票据</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
            </w:r>
            <w:r w:rsidRPr="00414345">
              <w:rPr>
                <w:color w:val="000000"/>
                <w:sz w:val="24"/>
                <w:szCs w:val="24"/>
              </w:rPr>
              <w:lastRenderedPageBreak/>
              <w:t>-</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lastRenderedPageBreak/>
              <w:t>3</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金融债券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17,193,140.00</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24.25</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其中：政策性金融债</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17,193,140.00</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24.25</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4</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企业债券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20,457,000.00</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28.85</w:t>
            </w:r>
          </w:p>
        </w:tc>
      </w:tr>
      <w:tr w:rsidR="00AC592E" w:rsidRPr="00414345" w:rsidTr="00F323FF">
        <w:trPr>
          <w:jc w:val="center"/>
        </w:trPr>
        <w:tc>
          <w:tcPr>
            <w:tcW w:type="dxa" w:w="828"/>
            <w:vAlign w:val="center"/>
          </w:tcPr>
          <w:p w:rsidP="00C15CAC" w:rsidR="00AC592E" w:rsidRDefault="00AC592E" w:rsidRPr="00414345">
            <w:pPr>
              <w:spacing w:before="29" w:line="288" w:lineRule="auto"/>
              <w:ind w:left="17"/>
              <w:jc w:val="center"/>
              <w:rPr>
                <w:color w:val="000000"/>
                <w:sz w:val="24"/>
                <w:szCs w:val="24"/>
              </w:rPr>
            </w:pPr>
            <w:r w:rsidRPr="00414345">
              <w:rPr>
                <w:color w:val="000000"/>
                <w:sz w:val="24"/>
                <w:szCs w:val="24"/>
              </w:rPr>
              <w:t>5</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FB41D3" w:rsidRPr="00414345" w:rsidTr="00F323FF">
        <w:trPr>
          <w:jc w:val="center"/>
        </w:trPr>
        <w:tc>
          <w:tcPr>
            <w:tcW w:type="dxa" w:w="828"/>
            <w:vAlign w:val="center"/>
          </w:tcPr>
          <w:p w:rsidP="00C15CAC" w:rsidR="00FB41D3" w:rsidRDefault="00FB41D3" w:rsidRPr="00414345">
            <w:pPr>
              <w:spacing w:before="29" w:line="288" w:lineRule="auto"/>
              <w:ind w:left="17"/>
              <w:jc w:val="center"/>
              <w:rPr>
                <w:color w:val="000000"/>
                <w:sz w:val="24"/>
                <w:szCs w:val="24"/>
              </w:rPr>
            </w:pPr>
            <w:r w:rsidRPr="00414345">
              <w:rPr>
                <w:color w:val="000000"/>
                <w:sz w:val="24"/>
                <w:szCs w:val="24"/>
              </w:rPr>
              <w:t>6</w:t>
            </w:r>
          </w:p>
        </w:tc>
        <w:tc>
          <w:tcPr>
            <w:tcW w:type="dxa" w:w="3302"/>
            <w:vAlign w:val="center"/>
          </w:tcPr>
          <w:p w:rsidP="00C15CAC" w:rsidR="00FB41D3" w:rsidRDefault="00FB41D3" w:rsidRPr="00414345">
            <w:pPr>
              <w:spacing w:before="29" w:line="288" w:lineRule="auto"/>
              <w:ind w:left="17"/>
              <w:jc w:val="left"/>
              <w:rPr>
                <w:color w:val="000000"/>
                <w:sz w:val="24"/>
                <w:szCs w:val="24"/>
              </w:rPr>
            </w:pPr>
            <w:r w:rsidRPr="00414345">
              <w:rPr>
                <w:color w:val="000000"/>
                <w:sz w:val="24"/>
                <w:szCs w:val="24"/>
              </w:rPr>
              <w:t>中期票据</w:t>
            </w:r>
          </w:p>
        </w:tc>
        <w:tc>
          <w:tcPr>
            <w:tcW w:type="dxa" w:w="2987"/>
            <w:vAlign w:val="center"/>
          </w:tcPr>
          <w:p w:rsidP="00C15CAC" w:rsidR="00FB41D3" w:rsidRDefault="00FB41D3" w:rsidRPr="00414345">
            <w:pPr>
              <w:spacing w:before="29" w:line="288" w:lineRule="auto"/>
              <w:ind w:left="17"/>
              <w:jc w:val="right"/>
              <w:rPr>
                <w:color w:val="000000"/>
                <w:sz w:val="24"/>
                <w:szCs w:val="24"/>
              </w:rPr>
            </w:pPr>
            <w:r w:rsidRPr="00414345">
              <w:rPr>
                <w:color w:val="000000"/>
                <w:sz w:val="24"/>
                <w:szCs w:val="24"/>
              </w:rPr>
              <w:t>25,709,000.00</w:t>
            </w:r>
          </w:p>
        </w:tc>
        <w:tc>
          <w:tcPr>
            <w:tcW w:type="dxa" w:w="1751"/>
            <w:vAlign w:val="center"/>
          </w:tcPr>
          <w:p w:rsidP="00C15CAC" w:rsidR="00FB41D3" w:rsidRDefault="00FB41D3" w:rsidRPr="00414345">
            <w:pPr>
              <w:spacing w:before="29" w:line="288" w:lineRule="auto"/>
              <w:ind w:left="17"/>
              <w:jc w:val="right"/>
              <w:rPr>
                <w:color w:val="000000"/>
                <w:sz w:val="24"/>
                <w:szCs w:val="24"/>
              </w:rPr>
            </w:pPr>
            <w:r w:rsidRPr="00414345">
              <w:rPr>
                <w:color w:val="000000"/>
                <w:sz w:val="24"/>
                <w:szCs w:val="24"/>
              </w:rPr>
              <w:t>36.25</w:t>
            </w:r>
          </w:p>
        </w:tc>
      </w:tr>
      <w:tr w:rsidR="00AC592E" w:rsidRPr="00414345" w:rsidTr="00F323FF">
        <w:trPr>
          <w:jc w:val="center"/>
        </w:trPr>
        <w:tc>
          <w:tcPr>
            <w:tcW w:type="dxa" w:w="828"/>
            <w:vAlign w:val="center"/>
          </w:tcPr>
          <w:p w:rsidP="00C15CAC" w:rsidR="00AC592E" w:rsidRDefault="00FB41D3" w:rsidRPr="00414345">
            <w:pPr>
              <w:spacing w:before="29" w:line="288" w:lineRule="auto"/>
              <w:ind w:left="17"/>
              <w:jc w:val="center"/>
              <w:rPr>
                <w:color w:val="000000"/>
                <w:sz w:val="24"/>
                <w:szCs w:val="24"/>
              </w:rPr>
            </w:pPr>
            <w:r w:rsidRPr="00414345">
              <w:rPr>
                <w:color w:val="000000"/>
                <w:sz w:val="24"/>
                <w:szCs w:val="24"/>
              </w:rPr>
              <w:lastRenderedPageBreak/>
              <w:t>7</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F323FF" w:rsidRPr="00414345" w:rsidTr="0006711A">
        <w:trPr>
          <w:jc w:val="center"/>
        </w:trPr>
        <w:tc>
          <w:tcPr>
            <w:tcW w:type="dxa" w:w="828"/>
            <w:vAlign w:val="center"/>
          </w:tcPr>
          <w:p w:rsidP="0006711A" w:rsidR="00F323FF" w:rsidRDefault="00F323FF" w:rsidRPr="007A70C2">
            <w:pPr>
              <w:spacing w:before="29" w:line="288" w:lineRule="auto"/>
              <w:ind w:left="17"/>
              <w:jc w:val="center"/>
              <w:rPr>
                <w:color w:val="000000"/>
                <w:sz w:val="24"/>
                <w:szCs w:val="24"/>
              </w:rPr>
            </w:pPr>
            <w:r w:rsidRPr="007A70C2">
              <w:rPr>
                <w:rFonts w:hint="eastAsia"/>
                <w:color w:val="000000"/>
                <w:sz w:val="24"/>
                <w:szCs w:val="24"/>
              </w:rPr>
              <w:t>8</w:t>
            </w:r>
          </w:p>
        </w:tc>
        <w:tc>
          <w:tcPr>
            <w:tcW w:type="dxa" w:w="3302"/>
            <w:vAlign w:val="center"/>
          </w:tcPr>
          <w:p w:rsidP="0006711A" w:rsidR="00F323FF" w:rsidRDefault="00F323FF" w:rsidRPr="007A70C2">
            <w:pPr>
              <w:spacing w:before="29" w:line="288" w:lineRule="auto"/>
              <w:ind w:left="17"/>
              <w:jc w:val="left"/>
              <w:rPr>
                <w:color w:val="000000"/>
                <w:sz w:val="24"/>
                <w:szCs w:val="24"/>
              </w:rPr>
            </w:pPr>
            <w:r w:rsidRPr="007A70C2">
              <w:rPr>
                <w:rFonts w:hint="eastAsia"/>
                <w:color w:val="000000"/>
                <w:sz w:val="24"/>
                <w:szCs w:val="24"/>
              </w:rPr>
              <w:t>同业存单</w:t>
            </w:r>
          </w:p>
        </w:tc>
        <w:tc>
          <w:tcPr>
            <w:tcW w:type="dxa" w:w="2987"/>
            <w:vAlign w:val="center"/>
          </w:tcPr>
          <w:p w:rsidP="0006711A" w:rsidR="00F323FF" w:rsidRDefault="00F323FF" w:rsidRPr="007A70C2">
            <w:pPr>
              <w:spacing w:before="29" w:line="288" w:lineRule="auto"/>
              <w:ind w:left="17"/>
              <w:jc w:val="right"/>
              <w:rPr>
                <w:color w:val="000000"/>
                <w:sz w:val="24"/>
                <w:szCs w:val="24"/>
              </w:rPr>
            </w:pPr>
            <w:r w:rsidRPr="007A70C2">
              <w:rPr>
                <w:rFonts w:hint="eastAsia"/>
                <w:color w:val="000000"/>
                <w:sz w:val="24"/>
                <w:szCs w:val="24"/>
              </w:rPr>
              <w:t/>
            </w:r>
            <w:r w:rsidRPr="007A70C2">
              <w:rPr>
                <w:color w:val="000000"/>
                <w:sz w:val="24"/>
                <w:szCs w:val="24"/>
              </w:rPr>
              <w:t/>
            </w:r>
            <w:r w:rsidRPr="007A70C2">
              <w:rPr>
                <w:rFonts w:hint="eastAsia"/>
                <w:color w:val="000000"/>
                <w:sz w:val="24"/>
                <w:szCs w:val="24"/>
              </w:rPr>
              <w:t>-</w:t>
            </w:r>
          </w:p>
        </w:tc>
        <w:tc>
          <w:tcPr>
            <w:tcW w:type="dxa" w:w="1751"/>
            <w:vAlign w:val="center"/>
          </w:tcPr>
          <w:p w:rsidP="0006711A" w:rsidR="00F323FF" w:rsidRDefault="00F323FF" w:rsidRPr="007A70C2">
            <w:pPr>
              <w:spacing w:before="29" w:line="288" w:lineRule="auto"/>
              <w:ind w:left="17"/>
              <w:jc w:val="right"/>
              <w:rPr>
                <w:color w:val="000000"/>
                <w:sz w:val="24"/>
                <w:szCs w:val="24"/>
              </w:rPr>
            </w:pPr>
            <w:r w:rsidRPr="007A70C2">
              <w:rPr>
                <w:rFonts w:hint="eastAsia"/>
                <w:color w:val="000000"/>
                <w:sz w:val="24"/>
                <w:szCs w:val="24"/>
              </w:rPr>
              <w:t/>
            </w:r>
            <w:r w:rsidRPr="007A70C2">
              <w:rPr>
                <w:color w:val="000000"/>
                <w:sz w:val="24"/>
                <w:szCs w:val="24"/>
              </w:rPr>
              <w:t/>
            </w:r>
            <w:r w:rsidRPr="007A70C2">
              <w:rPr>
                <w:rFonts w:hint="eastAsia"/>
                <w:color w:val="000000"/>
                <w:sz w:val="24"/>
                <w:szCs w:val="24"/>
              </w:rPr>
              <w:t>-</w:t>
            </w:r>
          </w:p>
        </w:tc>
      </w:tr>
      <w:tr w:rsidR="00AC592E" w:rsidRPr="00414345" w:rsidTr="00F323FF">
        <w:trPr>
          <w:jc w:val="center"/>
        </w:trPr>
        <w:tc>
          <w:tcPr>
            <w:tcW w:type="dxa" w:w="828"/>
            <w:vAlign w:val="center"/>
          </w:tcPr>
          <w:p w:rsidP="00F323FF" w:rsidR="00AC592E" w:rsidRDefault="00AC592E" w:rsidRPr="00414345">
            <w:pPr>
              <w:spacing w:before="29" w:line="288" w:lineRule="auto"/>
              <w:ind w:left="17"/>
              <w:jc w:val="center"/>
              <w:rPr>
                <w:color w:val="000000"/>
                <w:sz w:val="24"/>
                <w:szCs w:val="24"/>
              </w:rPr>
            </w:pPr>
            <w:r w:rsidRPr="00414345">
              <w:rPr>
                <w:color w:val="000000"/>
                <w:sz w:val="24"/>
                <w:szCs w:val="24"/>
              </w:rPr>
              <w:t/>
            </w:r>
            <w:r w:rsidR="00F323FF">
              <w:rPr>
                <w:rFonts w:hint="eastAsia"/>
                <w:color w:val="000000"/>
                <w:sz w:val="24"/>
                <w:szCs w:val="24"/>
              </w:rPr>
              <w:t/>
            </w:r>
            <w:r w:rsidRPr="00414345">
              <w:rPr>
                <w:color w:val="000000"/>
                <w:sz w:val="24"/>
                <w:szCs w:val="24"/>
              </w:rPr>
              <w:t>9</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其他</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type="dxa" w:w="828"/>
            <w:vAlign w:val="center"/>
          </w:tcPr>
          <w:p w:rsidP="00F323FF" w:rsidR="00AC592E" w:rsidRDefault="00AC592E" w:rsidRPr="00414345">
            <w:pPr>
              <w:spacing w:before="29" w:line="288" w:lineRule="auto"/>
              <w:ind w:left="17"/>
              <w:jc w:val="center"/>
              <w:rPr>
                <w:color w:val="000000"/>
                <w:sz w:val="24"/>
                <w:szCs w:val="24"/>
              </w:rPr>
            </w:pPr>
            <w:r w:rsidRPr="00414345">
              <w:rPr>
                <w:color w:val="000000"/>
                <w:sz w:val="24"/>
                <w:szCs w:val="24"/>
              </w:rPr>
              <w:t/>
            </w:r>
            <w:r w:rsidR="00F323FF">
              <w:rPr>
                <w:rFonts w:hint="eastAsia"/>
                <w:color w:val="000000"/>
                <w:sz w:val="24"/>
                <w:szCs w:val="24"/>
              </w:rPr>
              <w:t/>
            </w:r>
            <w:r w:rsidRPr="00414345">
              <w:rPr>
                <w:color w:val="000000"/>
                <w:sz w:val="24"/>
                <w:szCs w:val="24"/>
              </w:rPr>
              <w:t>10</w:t>
            </w:r>
          </w:p>
        </w:tc>
        <w:tc>
          <w:tcPr>
            <w:tcW w:type="dxa" w:w="3302"/>
            <w:vAlign w:val="center"/>
          </w:tcPr>
          <w:p w:rsidP="00C15CAC" w:rsidR="00AC592E" w:rsidRDefault="00AC592E" w:rsidRPr="00414345">
            <w:pPr>
              <w:spacing w:before="29" w:line="288" w:lineRule="auto"/>
              <w:ind w:left="17"/>
              <w:jc w:val="left"/>
              <w:rPr>
                <w:color w:val="000000"/>
                <w:sz w:val="24"/>
                <w:szCs w:val="24"/>
              </w:rPr>
            </w:pPr>
            <w:r w:rsidRPr="00414345">
              <w:rPr>
                <w:color w:val="000000"/>
                <w:sz w:val="24"/>
                <w:szCs w:val="24"/>
              </w:rPr>
              <w:t>合计</w:t>
            </w:r>
          </w:p>
        </w:tc>
        <w:tc>
          <w:tcPr>
            <w:tcW w:type="dxa" w:w="2987"/>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63,359,140.00</w:t>
            </w:r>
          </w:p>
        </w:tc>
        <w:tc>
          <w:tcPr>
            <w:tcW w:type="dxa" w:w="1751"/>
            <w:vAlign w:val="center"/>
          </w:tcPr>
          <w:p w:rsidP="00C15CAC" w:rsidR="00AC592E" w:rsidRDefault="00AC592E" w:rsidRPr="00414345">
            <w:pPr>
              <w:spacing w:before="29" w:line="288" w:lineRule="auto"/>
              <w:ind w:left="17"/>
              <w:jc w:val="right"/>
              <w:rPr>
                <w:color w:val="000000"/>
                <w:sz w:val="24"/>
                <w:szCs w:val="24"/>
              </w:rPr>
            </w:pPr>
            <w:r w:rsidRPr="00414345">
              <w:rPr>
                <w:color w:val="000000"/>
                <w:sz w:val="24"/>
                <w:szCs w:val="24"/>
              </w:rPr>
              <w:t>89.35</w:t>
            </w:r>
          </w:p>
        </w:tc>
      </w:tr>
    </w:tbl>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tbl>
      <w:tblPr>
        <w:tblStyle w:val="af7"/>
        <w:tblW w:type="dxa" w:w="8868"/>
        <w:jc w:val="center"/>
        <w:tblLayout w:type="fixed"/>
        <w:tblCellMar>
          <w:top w:type="dxa" w:w="57"/>
          <w:bottom w:type="dxa" w:w="57"/>
        </w:tblCellMar>
        <w:tblLook w:val="04A0"/>
      </w:tblPr>
      <w:tblGrid>
        <w:gridCol w:w="850"/>
        <w:gridCol w:w="1475"/>
        <w:gridCol w:w="1769"/>
        <w:gridCol w:w="1387"/>
        <w:gridCol w:w="2150"/>
        <w:gridCol w:w="1237"/>
      </w:tblGrid>
      <w:tr w:rsidR="00D57B7C" w:rsidRPr="00414345" w:rsidTr="00A324F4">
        <w:trPr>
          <w:jc w:val="center"/>
        </w:trPr>
        <w:tc>
          <w:tcPr>
            <w:tcW w:type="dxa" w:w="817"/>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序号</w:t>
            </w:r>
          </w:p>
        </w:tc>
        <w:tc>
          <w:tcPr>
            <w:tcW w:type="dxa" w:w="1418"/>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债券代码</w:t>
            </w:r>
          </w:p>
        </w:tc>
        <w:tc>
          <w:tcPr>
            <w:tcW w:type="dxa" w:w="1701"/>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债券名称</w:t>
            </w:r>
          </w:p>
        </w:tc>
        <w:tc>
          <w:tcPr>
            <w:tcW w:type="dxa" w:w="1334"/>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数量</w:t>
            </w:r>
            <w:r w:rsidR="00D2061C" w:rsidRPr="00414345">
              <w:rPr>
                <w:color w:val="000000"/>
                <w:sz w:val="24"/>
              </w:rPr>
              <w:t>（张）</w:t>
            </w:r>
          </w:p>
        </w:tc>
        <w:tc>
          <w:tcPr>
            <w:tcW w:type="dxa" w:w="2068"/>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type="dxa" w:w="1190"/>
            <w:vAlign w:val="center"/>
          </w:tcPr>
          <w:p w:rsidP="00C15CAC" w:rsidR="003E62FB" w:rsidRDefault="003E62FB" w:rsidRPr="00414345">
            <w:pPr>
              <w:spacing w:before="29" w:line="288" w:lineRule="auto"/>
              <w:ind w:left="17"/>
              <w:jc w:val="center"/>
              <w:rPr>
                <w:color w:val="000000"/>
                <w:sz w:val="24"/>
                <w:szCs w:val="24"/>
              </w:rPr>
            </w:pPr>
            <w:r w:rsidRPr="00414345">
              <w:rPr>
                <w:color w:val="000000"/>
                <w:sz w:val="24"/>
                <w:szCs w:val="24"/>
              </w:rPr>
              <w:t>占基金资产净值比例</w:t>
            </w:r>
            <w:r w:rsidR="003B3494" w:rsidRPr="00414345">
              <w:rPr>
                <w:color w:val="000000"/>
                <w:sz w:val="24"/>
              </w:rPr>
              <w:t>（％）</w:t>
            </w:r>
          </w:p>
        </w:tc>
      </w:tr>
      <w:tr>
        <w:tc>
          <w:tcPr>
            <w:vAlign w:val="center"/>
          </w:tcPr>
          <w:p>
            <w:pPr>
              <w:jc w:val="center"/>
            </w:pPr>
            <w:r>
              <w:rPr>
                <w:color w:val="000000"/>
                <w:sz w:val="24"/>
                <w:szCs w:val="24"/>
              </w:rPr>
              <w:t>1</w:t>
            </w:r>
          </w:p>
        </w:tc>
        <w:tc>
          <w:tcPr>
            <w:vAlign w:val="center"/>
          </w:tcPr>
          <w:p>
            <w:pPr>
              <w:jc w:val="center"/>
            </w:pPr>
            <w:r>
              <w:rPr>
                <w:color w:val="000000"/>
                <w:sz w:val="24"/>
                <w:szCs w:val="24"/>
              </w:rPr>
              <w:t>180210</w:t>
            </w:r>
          </w:p>
        </w:tc>
        <w:tc>
          <w:tcPr>
            <w:vAlign w:val="center"/>
          </w:tcPr>
          <w:p>
            <w:pPr>
              <w:jc w:val="center"/>
            </w:pPr>
            <w:r>
              <w:rPr>
                <w:color w:val="000000"/>
                <w:sz w:val="24"/>
                <w:szCs w:val="24"/>
              </w:rPr>
              <w:t>18国开10</w:t>
            </w:r>
          </w:p>
        </w:tc>
        <w:tc>
          <w:tcPr>
            <w:vAlign w:val="center"/>
          </w:tcPr>
          <w:p>
            <w:pPr>
              <w:jc w:val="right"/>
            </w:pPr>
            <w:r>
              <w:rPr>
                <w:color w:val="000000"/>
                <w:sz w:val="24"/>
                <w:szCs w:val="24"/>
              </w:rPr>
              <w:t>100,000</w:t>
            </w:r>
          </w:p>
        </w:tc>
        <w:tc>
          <w:tcPr>
            <w:vAlign w:val="center"/>
          </w:tcPr>
          <w:p>
            <w:pPr>
              <w:jc w:val="right"/>
            </w:pPr>
            <w:r>
              <w:rPr>
                <w:color w:val="000000"/>
                <w:sz w:val="24"/>
                <w:szCs w:val="24"/>
              </w:rPr>
              <w:t>10,313,000.00</w:t>
            </w:r>
          </w:p>
        </w:tc>
        <w:tc>
          <w:tcPr>
            <w:vAlign w:val="center"/>
          </w:tcPr>
          <w:p>
            <w:pPr>
              <w:jc w:val="right"/>
            </w:pPr>
            <w:r>
              <w:rPr>
                <w:color w:val="000000"/>
                <w:sz w:val="24"/>
                <w:szCs w:val="24"/>
              </w:rPr>
              <w:t>14.54</w:t>
            </w:r>
          </w:p>
        </w:tc>
      </w:tr>
      <w:tr>
        <w:tc>
          <w:tcPr>
            <w:vAlign w:val="center"/>
          </w:tcPr>
          <w:p>
            <w:pPr>
              <w:jc w:val="center"/>
            </w:pPr>
            <w:r>
              <w:rPr>
                <w:color w:val="000000"/>
                <w:sz w:val="24"/>
                <w:szCs w:val="24"/>
              </w:rPr>
              <w:t>2</w:t>
            </w:r>
          </w:p>
        </w:tc>
        <w:tc>
          <w:tcPr>
            <w:vAlign w:val="center"/>
          </w:tcPr>
          <w:p>
            <w:pPr>
              <w:jc w:val="center"/>
            </w:pPr>
            <w:r>
              <w:rPr>
                <w:color w:val="000000"/>
                <w:sz w:val="24"/>
                <w:szCs w:val="24"/>
              </w:rPr>
              <w:t>018005</w:t>
            </w:r>
          </w:p>
        </w:tc>
        <w:tc>
          <w:tcPr>
            <w:vAlign w:val="center"/>
          </w:tcPr>
          <w:p>
            <w:pPr>
              <w:jc w:val="center"/>
            </w:pPr>
            <w:r>
              <w:rPr>
                <w:color w:val="000000"/>
                <w:sz w:val="24"/>
                <w:szCs w:val="24"/>
              </w:rPr>
              <w:t>国开1701</w:t>
            </w:r>
          </w:p>
        </w:tc>
        <w:tc>
          <w:tcPr>
            <w:vAlign w:val="center"/>
          </w:tcPr>
          <w:p>
            <w:pPr>
              <w:jc w:val="right"/>
            </w:pPr>
            <w:r>
              <w:rPr>
                <w:color w:val="000000"/>
                <w:sz w:val="24"/>
                <w:szCs w:val="24"/>
              </w:rPr>
              <w:t>68,500</w:t>
            </w:r>
          </w:p>
        </w:tc>
        <w:tc>
          <w:tcPr>
            <w:vAlign w:val="center"/>
          </w:tcPr>
          <w:p>
            <w:pPr>
              <w:jc w:val="right"/>
            </w:pPr>
            <w:r>
              <w:rPr>
                <w:color w:val="000000"/>
                <w:sz w:val="24"/>
                <w:szCs w:val="24"/>
              </w:rPr>
              <w:t>6,880,140.00</w:t>
            </w:r>
          </w:p>
        </w:tc>
        <w:tc>
          <w:tcPr>
            <w:vAlign w:val="center"/>
          </w:tcPr>
          <w:p>
            <w:pPr>
              <w:jc w:val="right"/>
            </w:pPr>
            <w:r>
              <w:rPr>
                <w:color w:val="000000"/>
                <w:sz w:val="24"/>
                <w:szCs w:val="24"/>
              </w:rPr>
              <w:t>9.70</w:t>
            </w:r>
          </w:p>
        </w:tc>
      </w:tr>
      <w:tr>
        <w:tc>
          <w:tcPr>
            <w:vAlign w:val="center"/>
          </w:tcPr>
          <w:p>
            <w:pPr>
              <w:jc w:val="center"/>
            </w:pPr>
            <w:r>
              <w:rPr>
                <w:color w:val="000000"/>
                <w:sz w:val="24"/>
                <w:szCs w:val="24"/>
              </w:rPr>
              <w:t>3</w:t>
            </w:r>
          </w:p>
        </w:tc>
        <w:tc>
          <w:tcPr>
            <w:vAlign w:val="center"/>
          </w:tcPr>
          <w:p>
            <w:pPr>
              <w:jc w:val="center"/>
            </w:pPr>
            <w:r>
              <w:rPr>
                <w:color w:val="000000"/>
                <w:sz w:val="24"/>
                <w:szCs w:val="24"/>
              </w:rPr>
              <w:t>101800160</w:t>
            </w:r>
          </w:p>
        </w:tc>
        <w:tc>
          <w:tcPr>
            <w:vAlign w:val="center"/>
          </w:tcPr>
          <w:p>
            <w:pPr>
              <w:jc w:val="center"/>
            </w:pPr>
            <w:r>
              <w:rPr>
                <w:color w:val="000000"/>
                <w:sz w:val="24"/>
                <w:szCs w:val="24"/>
              </w:rPr>
              <w:t>18港兴港投MTN001</w:t>
            </w:r>
          </w:p>
        </w:tc>
        <w:tc>
          <w:tcPr>
            <w:vAlign w:val="center"/>
          </w:tcPr>
          <w:p>
            <w:pPr>
              <w:jc w:val="right"/>
            </w:pPr>
            <w:r>
              <w:rPr>
                <w:color w:val="000000"/>
                <w:sz w:val="24"/>
                <w:szCs w:val="24"/>
              </w:rPr>
              <w:t>50,000</w:t>
            </w:r>
          </w:p>
        </w:tc>
        <w:tc>
          <w:tcPr>
            <w:vAlign w:val="center"/>
          </w:tcPr>
          <w:p>
            <w:pPr>
              <w:jc w:val="right"/>
            </w:pPr>
            <w:r>
              <w:rPr>
                <w:color w:val="000000"/>
                <w:sz w:val="24"/>
                <w:szCs w:val="24"/>
              </w:rPr>
              <w:t>5,195,000.00</w:t>
            </w:r>
          </w:p>
        </w:tc>
        <w:tc>
          <w:tcPr>
            <w:vAlign w:val="center"/>
          </w:tcPr>
          <w:p>
            <w:pPr>
              <w:jc w:val="right"/>
            </w:pPr>
            <w:r>
              <w:rPr>
                <w:color w:val="000000"/>
                <w:sz w:val="24"/>
                <w:szCs w:val="24"/>
              </w:rPr>
              <w:t>7.33</w:t>
            </w:r>
          </w:p>
        </w:tc>
      </w:tr>
      <w:tr>
        <w:tc>
          <w:tcPr>
            <w:vAlign w:val="center"/>
          </w:tcPr>
          <w:p>
            <w:pPr>
              <w:jc w:val="center"/>
            </w:pPr>
            <w:r>
              <w:rPr>
                <w:color w:val="000000"/>
                <w:sz w:val="24"/>
                <w:szCs w:val="24"/>
              </w:rPr>
              <w:t>4</w:t>
            </w:r>
          </w:p>
        </w:tc>
        <w:tc>
          <w:tcPr>
            <w:vAlign w:val="center"/>
          </w:tcPr>
          <w:p>
            <w:pPr>
              <w:jc w:val="center"/>
            </w:pPr>
            <w:r>
              <w:rPr>
                <w:color w:val="000000"/>
                <w:sz w:val="24"/>
                <w:szCs w:val="24"/>
              </w:rPr>
              <w:t>143734</w:t>
            </w:r>
          </w:p>
        </w:tc>
        <w:tc>
          <w:tcPr>
            <w:vAlign w:val="center"/>
          </w:tcPr>
          <w:p>
            <w:pPr>
              <w:jc w:val="center"/>
            </w:pPr>
            <w:r>
              <w:rPr>
                <w:color w:val="000000"/>
                <w:sz w:val="24"/>
                <w:szCs w:val="24"/>
              </w:rPr>
              <w:t>18金隅02</w:t>
            </w:r>
          </w:p>
        </w:tc>
        <w:tc>
          <w:tcPr>
            <w:vAlign w:val="center"/>
          </w:tcPr>
          <w:p>
            <w:pPr>
              <w:jc w:val="right"/>
            </w:pPr>
            <w:r>
              <w:rPr>
                <w:color w:val="000000"/>
                <w:sz w:val="24"/>
                <w:szCs w:val="24"/>
              </w:rPr>
              <w:t>50,000</w:t>
            </w:r>
          </w:p>
        </w:tc>
        <w:tc>
          <w:tcPr>
            <w:vAlign w:val="center"/>
          </w:tcPr>
          <w:p>
            <w:pPr>
              <w:jc w:val="right"/>
            </w:pPr>
            <w:r>
              <w:rPr>
                <w:color w:val="000000"/>
                <w:sz w:val="24"/>
                <w:szCs w:val="24"/>
              </w:rPr>
              <w:t>5,194,000.00</w:t>
            </w:r>
          </w:p>
        </w:tc>
        <w:tc>
          <w:tcPr>
            <w:vAlign w:val="center"/>
          </w:tcPr>
          <w:p>
            <w:pPr>
              <w:jc w:val="right"/>
            </w:pPr>
            <w:r>
              <w:rPr>
                <w:color w:val="000000"/>
                <w:sz w:val="24"/>
                <w:szCs w:val="24"/>
              </w:rPr>
              <w:t>7.32</w:t>
            </w:r>
          </w:p>
        </w:tc>
      </w:tr>
      <w:tr>
        <w:tc>
          <w:tcPr>
            <w:vAlign w:val="center"/>
          </w:tcPr>
          <w:p>
            <w:pPr>
              <w:jc w:val="center"/>
            </w:pPr>
            <w:r>
              <w:rPr>
                <w:color w:val="000000"/>
                <w:sz w:val="24"/>
                <w:szCs w:val="24"/>
              </w:rPr>
              <w:t>5</w:t>
            </w:r>
          </w:p>
        </w:tc>
        <w:tc>
          <w:tcPr>
            <w:vAlign w:val="center"/>
          </w:tcPr>
          <w:p>
            <w:pPr>
              <w:jc w:val="center"/>
            </w:pPr>
            <w:r>
              <w:rPr>
                <w:color w:val="000000"/>
                <w:sz w:val="24"/>
                <w:szCs w:val="24"/>
              </w:rPr>
              <w:t>101800933</w:t>
            </w:r>
          </w:p>
        </w:tc>
        <w:tc>
          <w:tcPr>
            <w:vAlign w:val="center"/>
          </w:tcPr>
          <w:p>
            <w:pPr>
              <w:jc w:val="center"/>
            </w:pPr>
            <w:r>
              <w:rPr>
                <w:color w:val="000000"/>
                <w:sz w:val="24"/>
                <w:szCs w:val="24"/>
              </w:rPr>
              <w:t>18武汉地产MTN002</w:t>
            </w:r>
          </w:p>
        </w:tc>
        <w:tc>
          <w:tcPr>
            <w:vAlign w:val="center"/>
          </w:tcPr>
          <w:p>
            <w:pPr>
              <w:jc w:val="right"/>
            </w:pPr>
            <w:r>
              <w:rPr>
                <w:color w:val="000000"/>
                <w:sz w:val="24"/>
                <w:szCs w:val="24"/>
              </w:rPr>
              <w:t>50,000</w:t>
            </w:r>
          </w:p>
        </w:tc>
        <w:tc>
          <w:tcPr>
            <w:vAlign w:val="center"/>
          </w:tcPr>
          <w:p>
            <w:pPr>
              <w:jc w:val="right"/>
            </w:pPr>
            <w:r>
              <w:rPr>
                <w:color w:val="000000"/>
                <w:sz w:val="24"/>
                <w:szCs w:val="24"/>
              </w:rPr>
              <w:t>5,193,500.00</w:t>
            </w:r>
          </w:p>
        </w:tc>
        <w:tc>
          <w:tcPr>
            <w:vAlign w:val="center"/>
          </w:tcPr>
          <w:p>
            <w:pPr>
              <w:jc w:val="right"/>
            </w:pPr>
            <w:r>
              <w:rPr>
                <w:color w:val="000000"/>
                <w:sz w:val="24"/>
                <w:szCs w:val="24"/>
              </w:rPr>
              <w:t>7.32</w:t>
            </w:r>
          </w:p>
        </w:tc>
      </w:tr>
    </w:tbl>
    <w:p w:rsidP="00C15CAC" w:rsidR="004061AC" w:rsidRDefault="004061AC" w:rsidRPr="00414345">
      <w:pPr>
        <w:autoSpaceDE w:val="0"/>
        <w:autoSpaceDN w:val="0"/>
        <w:adjustRightInd w:val="0"/>
        <w:spacing w:before="29" w:line="288" w:lineRule="auto"/>
        <w:jc w:val="left"/>
        <w:rPr>
          <w:b/>
          <w:bCs/>
          <w:color w:val="000000"/>
          <w:kern w:val="0"/>
          <w:sz w:val="24"/>
          <w:szCs w:val="24"/>
        </w:rPr>
      </w:pPr>
    </w:p>
    <w:p w:rsidP="00C15CAC" w:rsidR="004061AC" w:rsidRDefault="004061AC"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本基金本报告期末未持有资产支持证券。</w:t>
      </w:r>
    </w:p>
    <w:p w:rsidP="00C15CAC" w:rsidR="00A54C7D" w:rsidRDefault="00A54C7D" w:rsidRPr="00414345">
      <w:pPr>
        <w:autoSpaceDE w:val="0"/>
        <w:autoSpaceDN w:val="0"/>
        <w:adjustRightInd w:val="0"/>
        <w:spacing w:before="29" w:line="288" w:lineRule="auto"/>
        <w:jc w:val="left"/>
        <w:rPr>
          <w:color w:val="000000"/>
          <w:sz w:val="24"/>
          <w:szCs w:val="24"/>
        </w:rPr>
      </w:pPr>
    </w:p>
    <w:p w:rsidP="00C15CAC" w:rsidR="00A54C7D" w:rsidRDefault="00A54C7D" w:rsidRPr="00414345">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P="00C15CAC" w:rsidR="00632B0F" w:rsidRDefault="00632B0F" w:rsidRPr="00414345">
      <w:pPr>
        <w:widowControl/>
        <w:spacing w:line="288" w:lineRule="auto"/>
        <w:jc w:val="left"/>
        <w:rPr>
          <w:sz w:val="24"/>
          <w:szCs w:val="24"/>
        </w:rPr>
      </w:pPr>
      <w:r w:rsidRPr="00414345">
        <w:rPr>
          <w:sz w:val="24"/>
          <w:szCs w:val="24"/>
        </w:rPr>
        <w:lastRenderedPageBreak/>
        <w:t>本基金本报告期末未持有贵金属。</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4061AC" w:rsidRDefault="00A917BF"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336EAF" w:rsidRPr="00414345">
        <w:rPr>
          <w:b/>
          <w:bCs/>
          <w:color w:val="000000"/>
          <w:kern w:val="0"/>
          <w:sz w:val="24"/>
          <w:szCs w:val="24"/>
        </w:rPr>
        <w:t/>
      </w:r>
      <w:r w:rsidRPr="00414345">
        <w:rPr>
          <w:b/>
          <w:bCs/>
          <w:color w:val="000000"/>
          <w:kern w:val="0"/>
          <w:sz w:val="24"/>
          <w:szCs w:val="24"/>
        </w:rPr>
        <w:t>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w:r>
      <w:r w:rsidR="00315D5D" w:rsidRPr="00414345">
        <w:rPr>
          <w:color w:val="000000"/>
          <w:sz w:val="24"/>
          <w:szCs w:val="24"/>
        </w:rPr>
        <w:t/>
      </w:r>
      <w:r w:rsidR="004061AC" w:rsidRPr="00414345">
        <w:rPr>
          <w:color w:val="000000"/>
          <w:sz w:val="24"/>
          <w:szCs w:val="24"/>
        </w:rPr>
        <w:t>本基金本报告期末未持有权证。</w:t>
      </w:r>
    </w:p>
    <w:p w:rsidP="00C15CAC" w:rsidR="004061AC" w:rsidRDefault="004061AC" w:rsidRPr="00414345">
      <w:pPr>
        <w:autoSpaceDE w:val="0"/>
        <w:autoSpaceDN w:val="0"/>
        <w:adjustRightInd w:val="0"/>
        <w:spacing w:before="29" w:line="288" w:lineRule="auto"/>
        <w:jc w:val="left"/>
        <w:rPr>
          <w:color w:val="000000"/>
          <w:kern w:val="0"/>
          <w:sz w:val="24"/>
          <w:szCs w:val="24"/>
        </w:rPr>
      </w:pPr>
    </w:p>
    <w:p w:rsidP="00C15CAC" w:rsidR="00275745" w:rsidRDefault="00CD570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A83500" w:rsidRPr="00414345">
        <w:rPr>
          <w:b/>
          <w:bCs/>
          <w:color w:val="000000"/>
          <w:kern w:val="0"/>
          <w:sz w:val="24"/>
          <w:szCs w:val="24"/>
        </w:rPr>
        <w:t/>
      </w:r>
      <w:r w:rsidR="003259C8"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P="00C15CAC" w:rsidR="00275745" w:rsidRDefault="00AA3A38" w:rsidRPr="00414345">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P="00C15CAC" w:rsidR="00AA3A38" w:rsidRDefault="00AA3A38" w:rsidRPr="00414345">
      <w:pPr>
        <w:adjustRightInd w:val="0"/>
        <w:snapToGrid w:val="0"/>
        <w:spacing w:before="29" w:line="288" w:lineRule="auto"/>
        <w:rPr>
          <w:sz w:val="24"/>
          <w:szCs w:val="24"/>
        </w:rPr>
      </w:pPr>
    </w:p>
    <w:p w:rsidP="00C15CAC" w:rsidR="00A669FC" w:rsidRDefault="00312A9F"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P="00C15CAC" w:rsidR="00312A9F" w:rsidRDefault="00312A9F" w:rsidRPr="00414345">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P="00C15CAC" w:rsidR="00426096" w:rsidRDefault="00426096" w:rsidRPr="00414345">
      <w:pPr>
        <w:autoSpaceDE w:val="0"/>
        <w:autoSpaceDN w:val="0"/>
        <w:adjustRightInd w:val="0"/>
        <w:spacing w:before="29" w:line="288" w:lineRule="auto"/>
        <w:jc w:val="left"/>
        <w:rPr>
          <w:color w:val="000000"/>
          <w:sz w:val="24"/>
          <w:szCs w:val="24"/>
        </w:rPr>
      </w:pPr>
    </w:p>
    <w:p w:rsidP="00C15CAC" w:rsidR="004061AC" w:rsidRDefault="003259C8"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P="00E40D31" w:rsidR="00BE5388" w:rsidRDefault="00BE5388" w:rsidRPr="00BE5388">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5.11.1报告期内本基金投资的前十名证券的发行主体未被监管部门立案调查，在本报告编制日前一年内本基金投资的前十名证券的发行主体未受到公开谴责和处罚。</w:t>
      </w:r>
    </w:p>
    <w:p w:rsidP="00E40D31" w:rsidR="00BE5388" w:rsidRDefault="00BE5388" w:rsidRPr="00BE5388">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5.11.2本基金投资的前十名股票中，没有超出基金合同规定的备选股票库之外的股票。</w:t>
      </w:r>
    </w:p>
    <w:p w:rsidP="00C15CAC" w:rsidR="004061AC" w:rsidRDefault="003259C8" w:rsidRPr="00414345">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11.3</w:t>
      </w:r>
      <w:r w:rsidR="0035383E" w:rsidRPr="00414345">
        <w:rPr>
          <w:bCs/>
          <w:color w:val="000000"/>
          <w:kern w:val="0"/>
          <w:sz w:val="24"/>
          <w:szCs w:val="24"/>
        </w:rPr>
        <w:t>其他</w:t>
      </w:r>
      <w:r w:rsidR="004061AC" w:rsidRPr="00414345">
        <w:rPr>
          <w:bCs/>
          <w:color w:val="000000"/>
          <w:kern w:val="0"/>
          <w:sz w:val="24"/>
          <w:szCs w:val="24"/>
        </w:rPr>
        <w:t>资产构成</w:t>
      </w:r>
    </w:p>
    <w:tbl>
      <w:tblPr>
        <w:tblStyle w:val="af7"/>
        <w:tblpPr w:horzAnchor="margin" w:leftFromText="180" w:rightFromText="180" w:tblpXSpec="center" w:tblpY="265" w:vertAnchor="text"/>
        <w:tblW w:type="dxa" w:w="8868"/>
        <w:jc w:val="center"/>
        <w:tblLayout w:type="fixed"/>
        <w:tblCellMar>
          <w:top w:type="dxa" w:w="-1"/>
          <w:bottom w:type="dxa" w:w="-1"/>
        </w:tblCellMar>
        <w:tblLook w:val="04A0"/>
      </w:tblPr>
      <w:tblGrid>
        <w:gridCol w:w="1287"/>
        <w:gridCol w:w="2573"/>
        <w:gridCol w:w="5008"/>
      </w:tblGrid>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type="dxa" w:w="2470"/>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type="dxa" w:w="4808"/>
            <w:vAlign w:val="center"/>
          </w:tcPr>
          <w:p w:rsidP="00C15CAC" w:rsidR="004C0914" w:rsidRDefault="004C0914" w:rsidRPr="00414345">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r w:rsidRPr="00414345">
              <w:rPr>
                <w:color w:val="000000"/>
                <w:sz w:val="24"/>
              </w:rPr>
              <w:t>（元）</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56,289.56</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616,143.79</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1,271,345.02</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407.53</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type="dxa" w:w="1235"/>
            <w:vAlign w:val="center"/>
          </w:tcPr>
          <w:p w:rsidP="00C15CAC" w:rsidR="004C0914" w:rsidRDefault="004C0914" w:rsidRPr="00414345">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type="dxa" w:w="2470"/>
            <w:vAlign w:val="center"/>
          </w:tcPr>
          <w:p w:rsidP="00C15CAC" w:rsidR="004C0914" w:rsidRDefault="004C0914" w:rsidRPr="00414345">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type="dxa" w:w="4808"/>
            <w:vAlign w:val="center"/>
          </w:tcPr>
          <w:p w:rsidP="00C15CAC" w:rsidR="004C0914" w:rsidRDefault="004C0914" w:rsidRPr="00414345">
            <w:pPr>
              <w:autoSpaceDE w:val="0"/>
              <w:autoSpaceDN w:val="0"/>
              <w:adjustRightInd w:val="0"/>
              <w:spacing w:before="29" w:line="288" w:lineRule="auto"/>
              <w:ind w:left="15"/>
              <w:jc w:val="right"/>
              <w:rPr>
                <w:color w:val="000000"/>
                <w:sz w:val="24"/>
                <w:szCs w:val="24"/>
              </w:rPr>
            </w:pPr>
            <w:r w:rsidRPr="00414345">
              <w:rPr>
                <w:color w:val="000000"/>
                <w:sz w:val="24"/>
                <w:szCs w:val="24"/>
              </w:rPr>
              <w:t>1,944,185.90</w:t>
            </w:r>
          </w:p>
        </w:tc>
      </w:tr>
    </w:tbl>
    <w:p w:rsidP="00C15CAC" w:rsidR="002918E3" w:rsidRDefault="002918E3" w:rsidRPr="00414345">
      <w:pPr>
        <w:autoSpaceDE w:val="0"/>
        <w:autoSpaceDN w:val="0"/>
        <w:adjustRightInd w:val="0"/>
        <w:spacing w:before="29" w:line="288" w:lineRule="auto"/>
        <w:rPr>
          <w:color w:val="000000"/>
          <w:sz w:val="24"/>
          <w:szCs w:val="24"/>
        </w:rPr>
      </w:pPr>
    </w:p>
    <w:p w:rsidP="00C15CAC" w:rsidR="004061AC" w:rsidRDefault="003259C8" w:rsidRPr="00414345">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11.4</w:t>
      </w:r>
      <w:r w:rsidR="004061AC" w:rsidRPr="00414345">
        <w:rPr>
          <w:bCs/>
          <w:color w:val="000000"/>
          <w:kern w:val="0"/>
          <w:sz w:val="24"/>
          <w:szCs w:val="24"/>
        </w:rPr>
        <w:t>报告期末持有的处于转股期的可转换债券明细</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本基金本报告期末未持有处于转股期的可转换债券。</w:t>
      </w:r>
    </w:p>
    <w:p w:rsidP="00C15CAC" w:rsidR="002918E3" w:rsidRDefault="002918E3" w:rsidRPr="00414345">
      <w:pPr>
        <w:autoSpaceDE w:val="0"/>
        <w:autoSpaceDN w:val="0"/>
        <w:adjustRightInd w:val="0"/>
        <w:spacing w:before="29" w:line="288" w:lineRule="auto"/>
        <w:rPr>
          <w:color w:val="000000"/>
          <w:sz w:val="24"/>
          <w:szCs w:val="24"/>
        </w:rPr>
      </w:pPr>
    </w:p>
    <w:p w:rsidP="00C15CAC" w:rsidR="004061AC" w:rsidRDefault="003259C8" w:rsidRPr="00414345">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11.5</w:t>
      </w:r>
      <w:r w:rsidR="004061AC" w:rsidRPr="00414345">
        <w:rPr>
          <w:bCs/>
          <w:color w:val="000000"/>
          <w:kern w:val="0"/>
          <w:sz w:val="24"/>
          <w:szCs w:val="24"/>
        </w:rPr>
        <w:t>报告期末前十名股票中存在流通受限情况的说明</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w:r>
      <w:r w:rsidR="008E326D" w:rsidRPr="00414345">
        <w:rPr>
          <w:color w:val="000000"/>
          <w:sz w:val="24"/>
          <w:szCs w:val="24"/>
        </w:rPr>
        <w:t/>
      </w:r>
      <w:r w:rsidR="004061AC" w:rsidRPr="00414345">
        <w:rPr>
          <w:color w:val="000000"/>
          <w:sz w:val="24"/>
          <w:szCs w:val="24"/>
        </w:rPr>
        <w:t>本基金本报告期末前十名股票中不存在流通受限情况。</w:t>
      </w:r>
    </w:p>
    <w:p w:rsidP="00C15CAC" w:rsidR="002918E3" w:rsidRDefault="002918E3" w:rsidRPr="00414345">
      <w:pPr>
        <w:autoSpaceDE w:val="0"/>
        <w:autoSpaceDN w:val="0"/>
        <w:adjustRightInd w:val="0"/>
        <w:spacing w:before="29" w:line="288" w:lineRule="auto"/>
        <w:rPr>
          <w:color w:val="000000"/>
          <w:sz w:val="24"/>
          <w:szCs w:val="24"/>
        </w:rPr>
      </w:pPr>
    </w:p>
    <w:p w:rsidP="00C15CAC" w:rsidR="004061AC" w:rsidRDefault="00D02347" w:rsidRPr="00414345">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
      </w:r>
      <w:r w:rsidR="003259C8"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11.6</w:t>
      </w:r>
      <w:r w:rsidR="001675CD" w:rsidRPr="00414345">
        <w:rPr>
          <w:bCs/>
          <w:color w:val="000000"/>
          <w:kern w:val="0"/>
          <w:sz w:val="24"/>
          <w:szCs w:val="24"/>
        </w:rPr>
        <w:t>投资组合报告附注的其他文字描述部分</w:t>
      </w:r>
    </w:p>
    <w:p w:rsidP="00E40D31" w:rsidR="006B2FF6" w:rsidRDefault="004061AC" w:rsidRPr="00414345">
      <w:pPr>
        <w:spacing w:before="29" w:line="288" w:lineRule="auto"/>
        <w:rPr>
          <w:color w:val="000000"/>
          <w:sz w:val="24"/>
          <w:szCs w:val="24"/>
        </w:rPr>
      </w:pPr>
      <w:r w:rsidRPr="00414345">
        <w:rPr>
          <w:color w:val="000000"/>
          <w:sz w:val="24"/>
          <w:szCs w:val="24"/>
        </w:rPr>
        <w:t/>
      </w:r>
      <w:r w:rsidR="001675CD" w:rsidRPr="00414345">
        <w:rPr>
          <w:color w:val="000000"/>
          <w:sz w:val="24"/>
          <w:szCs w:val="24"/>
        </w:rPr>
        <w:t/>
      </w:r>
      <w:r w:rsidRPr="00414345">
        <w:rPr>
          <w:color w:val="000000"/>
          <w:sz w:val="24"/>
          <w:szCs w:val="24"/>
        </w:rPr>
        <w:t>由于四舍五入的原因，分项之和与合计项之间可能存在尾差。</w:t>
      </w:r>
    </w:p>
    <w:p w:rsidP="00C15CAC" w:rsidR="006B2FF6" w:rsidRDefault="006B2FF6">
      <w:pPr>
        <w:spacing w:before="29" w:line="288" w:lineRule="auto"/>
        <w:ind w:firstLine="480" w:firstLineChars="200"/>
        <w:rPr>
          <w:color w:val="000000"/>
          <w:sz w:val="24"/>
          <w:szCs w:val="24"/>
        </w:rPr>
      </w:pPr>
    </w:p>
    <w:p w:rsidP="00C15CAC" w:rsidR="001F3E2A" w:rsidRDefault="001F3E2A">
      <w:pPr>
        <w:spacing w:before="29" w:line="288" w:lineRule="auto"/>
        <w:ind w:firstLine="480" w:firstLineChars="200"/>
        <w:rPr>
          <w:color w:val="000000"/>
          <w:sz w:val="24"/>
          <w:szCs w:val="24"/>
        </w:rPr>
      </w:pPr>
    </w:p>
    <w:p w:rsidP="0011537B" w:rsidR="001F3E2A" w:rsidRDefault="001F3E2A" w:rsidRPr="00575270">
      <w:pPr>
        <w:pStyle w:val="1"/>
        <w:spacing w:afterLines="100" w:beforeLines="100" w:line="360" w:lineRule="auto"/>
        <w:jc w:val="center"/>
        <w:rPr>
          <w:rFonts w:eastAsiaTheme="minorEastAsia"/>
          <w:color w:themeColor="text1" w:val="000000"/>
          <w:kern w:val="0"/>
          <w:sz w:val="24"/>
          <w:szCs w:val="24"/>
        </w:rPr>
      </w:pPr>
      <w:r w:rsidRPr="00575270">
        <w:rPr>
          <w:rFonts w:eastAsiaTheme="minorEastAsia"/>
          <w:color w:themeColor="text1" w:val="000000"/>
          <w:kern w:val="0"/>
          <w:sz w:val="24"/>
          <w:szCs w:val="24"/>
        </w:rPr>
        <w:lastRenderedPageBreak/>
        <w:t>§6</w:t>
      </w:r>
      <w:r w:rsidRPr="00575270">
        <w:rPr>
          <w:rFonts w:eastAsiaTheme="minorEastAsia" w:hint="eastAsia"/>
          <w:color w:themeColor="text1" w:val="000000"/>
          <w:kern w:val="0"/>
          <w:sz w:val="24"/>
          <w:szCs w:val="24"/>
        </w:rPr>
        <w:t xml:space="preserve">  </w:t>
      </w:r>
      <w:r w:rsidRPr="00575270">
        <w:rPr>
          <w:rFonts w:eastAsiaTheme="minorEastAsia" w:hint="eastAsia"/>
          <w:color w:themeColor="text1" w:val="000000"/>
          <w:kern w:val="0"/>
          <w:sz w:val="24"/>
          <w:szCs w:val="24"/>
        </w:rPr>
        <w:t>基金中基金</w:t>
      </w:r>
    </w:p>
    <w:p w:rsidP="001F3E2A" w:rsidR="001F3E2A" w:rsidRDefault="001F3E2A" w:rsidRPr="00575270">
      <w:pPr>
        <w:adjustRightInd w:val="0"/>
        <w:snapToGrid w:val="0"/>
        <w:spacing w:line="360" w:lineRule="auto"/>
        <w:rPr>
          <w:rFonts w:eastAsiaTheme="minorEastAsia"/>
          <w:b/>
          <w:color w:themeColor="text1" w:val="000000"/>
          <w:kern w:val="0"/>
          <w:sz w:val="24"/>
          <w:szCs w:val="24"/>
        </w:rPr>
      </w:pPr>
      <w:r w:rsidRPr="00575270">
        <w:rPr>
          <w:rFonts w:eastAsiaTheme="minorEastAsia"/>
          <w:b/>
          <w:color w:themeColor="text1" w:val="000000"/>
          <w:kern w:val="0"/>
          <w:sz w:val="24"/>
          <w:szCs w:val="24"/>
        </w:rPr>
        <w:t>6.</w:t>
      </w:r>
      <w:r w:rsidRPr="00575270">
        <w:rPr>
          <w:rFonts w:eastAsiaTheme="minorEastAsia" w:hint="eastAsia"/>
          <w:b/>
          <w:color w:themeColor="text1" w:val="000000"/>
          <w:kern w:val="0"/>
          <w:sz w:val="24"/>
          <w:szCs w:val="24"/>
        </w:rPr>
        <w:t/>
      </w:r>
      <w:r w:rsidRPr="00575270">
        <w:rPr>
          <w:rFonts w:eastAsiaTheme="minorEastAsia"/>
          <w:b/>
          <w:color w:themeColor="text1" w:val="000000"/>
          <w:kern w:val="0"/>
          <w:sz w:val="24"/>
          <w:szCs w:val="24"/>
        </w:rPr>
        <w:t>1</w:t>
      </w:r>
      <w:r w:rsidRPr="00575270">
        <w:rPr>
          <w:rFonts w:eastAsiaTheme="minorEastAsia" w:hint="eastAsia"/>
          <w:b/>
          <w:color w:themeColor="text1" w:val="000000"/>
          <w:kern w:val="0"/>
          <w:sz w:val="24"/>
          <w:szCs w:val="24"/>
        </w:rPr>
        <w:t xml:space="preserve"> </w:t>
      </w:r>
      <w:r w:rsidRPr="00575270">
        <w:rPr>
          <w:rFonts w:eastAsiaTheme="minorEastAsia" w:hint="eastAsia"/>
          <w:b/>
          <w:color w:themeColor="text1" w:val="000000"/>
          <w:kern w:val="0"/>
          <w:sz w:val="24"/>
          <w:szCs w:val="24"/>
        </w:rPr>
        <w:t>报告期末按公允价值占基金资产净值比例大小排序的前十名基金投资明细</w:t>
      </w:r>
    </w:p>
    <w:p w:rsidP="001F3E2A" w:rsidR="001F3E2A" w:rsidRDefault="001F3E2A" w:rsidRPr="00575270">
      <w:pPr>
        <w:autoSpaceDE w:val="0"/>
        <w:autoSpaceDN w:val="0"/>
        <w:adjustRightInd w:val="0"/>
        <w:spacing w:line="360" w:lineRule="auto"/>
        <w:ind w:firstLine="480" w:firstLineChars="200"/>
        <w:jc w:val="left"/>
        <w:rPr>
          <w:rFonts w:eastAsiaTheme="minorEastAsia"/>
          <w:color w:themeColor="text1" w:val="000000"/>
          <w:sz w:val="24"/>
          <w:szCs w:val="24"/>
        </w:rPr>
      </w:pPr>
      <w:r w:rsidRPr="00575270">
        <w:rPr>
          <w:rFonts w:eastAsiaTheme="minorEastAsia"/>
          <w:color w:themeColor="text1" w:val="000000"/>
          <w:sz w:val="24"/>
          <w:szCs w:val="24"/>
        </w:rPr>
        <w:t>本基金本报告期末未持有基金。</w:t>
      </w:r>
    </w:p>
    <w:p w:rsidP="0011537B" w:rsidR="001F3E2A" w:rsidRDefault="001F3E2A" w:rsidRPr="00575270">
      <w:pPr>
        <w:adjustRightInd w:val="0"/>
        <w:snapToGrid w:val="0"/>
        <w:spacing w:beforeLines="50" w:line="360" w:lineRule="auto"/>
        <w:rPr>
          <w:rFonts w:eastAsiaTheme="minorEastAsia"/>
          <w:b/>
          <w:color w:themeColor="text1" w:val="000000"/>
          <w:kern w:val="0"/>
          <w:sz w:val="24"/>
          <w:szCs w:val="24"/>
        </w:rPr>
      </w:pPr>
      <w:r w:rsidRPr="00575270">
        <w:rPr>
          <w:rFonts w:eastAsiaTheme="minorEastAsia"/>
          <w:b/>
          <w:color w:themeColor="text1" w:val="000000"/>
          <w:kern w:val="0"/>
          <w:sz w:val="24"/>
          <w:szCs w:val="24"/>
        </w:rPr>
        <w:t>6.</w:t>
      </w:r>
      <w:r w:rsidRPr="00575270">
        <w:rPr>
          <w:rFonts w:eastAsiaTheme="minorEastAsia" w:hint="eastAsia"/>
          <w:b/>
          <w:color w:themeColor="text1" w:val="000000"/>
          <w:kern w:val="0"/>
          <w:sz w:val="24"/>
          <w:szCs w:val="24"/>
        </w:rPr>
        <w:t/>
      </w:r>
      <w:r w:rsidRPr="00575270">
        <w:rPr>
          <w:rFonts w:eastAsiaTheme="minorEastAsia"/>
          <w:b/>
          <w:color w:themeColor="text1" w:val="000000"/>
          <w:kern w:val="0"/>
          <w:sz w:val="24"/>
          <w:szCs w:val="24"/>
        </w:rPr>
        <w:t>2</w:t>
      </w:r>
      <w:r w:rsidRPr="00575270">
        <w:rPr>
          <w:rFonts w:eastAsiaTheme="minorEastAsia" w:hint="eastAsia"/>
          <w:b/>
          <w:color w:themeColor="text1" w:val="000000"/>
          <w:kern w:val="0"/>
          <w:sz w:val="24"/>
          <w:szCs w:val="24"/>
        </w:rPr>
        <w:t xml:space="preserve"> </w:t>
      </w:r>
      <w:r w:rsidRPr="00575270">
        <w:rPr>
          <w:rFonts w:eastAsiaTheme="minorEastAsia" w:hint="eastAsia"/>
          <w:b/>
          <w:color w:themeColor="text1" w:val="000000"/>
          <w:kern w:val="0"/>
          <w:sz w:val="24"/>
          <w:szCs w:val="24"/>
        </w:rPr>
        <w:t>当期交易及持有基金产生的费用</w:t>
      </w:r>
    </w:p>
    <w:p w:rsidP="001F3E2A" w:rsidR="001F3E2A" w:rsidRDefault="001F3E2A" w:rsidRPr="00575270">
      <w:pPr>
        <w:autoSpaceDE w:val="0"/>
        <w:autoSpaceDN w:val="0"/>
        <w:adjustRightInd w:val="0"/>
        <w:spacing w:line="360" w:lineRule="auto"/>
        <w:ind w:firstLine="480" w:firstLineChars="200"/>
        <w:jc w:val="left"/>
        <w:rPr>
          <w:rFonts w:eastAsiaTheme="minorEastAsia"/>
          <w:color w:themeColor="text1" w:val="000000"/>
          <w:sz w:val="24"/>
          <w:szCs w:val="24"/>
        </w:rPr>
      </w:pPr>
      <w:r w:rsidRPr="00575270">
        <w:rPr>
          <w:rFonts w:eastAsiaTheme="minorEastAsia"/>
          <w:color w:themeColor="text1" w:val="000000"/>
          <w:sz w:val="24"/>
          <w:szCs w:val="24"/>
        </w:rPr>
        <w:t>本基金本报告期内未交易或持有基金。</w:t>
      </w:r>
    </w:p>
    <w:p w:rsidP="0011537B" w:rsidR="001F3E2A" w:rsidRDefault="001F3E2A" w:rsidRPr="00575270">
      <w:pPr>
        <w:adjustRightInd w:val="0"/>
        <w:snapToGrid w:val="0"/>
        <w:spacing w:beforeLines="50" w:line="360" w:lineRule="auto"/>
        <w:rPr>
          <w:rFonts w:eastAsiaTheme="minorEastAsia"/>
          <w:b/>
          <w:color w:themeColor="text1" w:val="000000"/>
          <w:kern w:val="0"/>
          <w:sz w:val="24"/>
          <w:szCs w:val="24"/>
        </w:rPr>
      </w:pPr>
      <w:r w:rsidRPr="00575270">
        <w:rPr>
          <w:rFonts w:eastAsiaTheme="minorEastAsia"/>
          <w:b/>
          <w:color w:themeColor="text1" w:val="000000"/>
          <w:kern w:val="0"/>
          <w:sz w:val="24"/>
          <w:szCs w:val="24"/>
        </w:rPr>
        <w:t>6.</w:t>
      </w:r>
      <w:r w:rsidRPr="00575270">
        <w:rPr>
          <w:rFonts w:eastAsiaTheme="minorEastAsia" w:hint="eastAsia"/>
          <w:b/>
          <w:color w:themeColor="text1" w:val="000000"/>
          <w:kern w:val="0"/>
          <w:sz w:val="24"/>
          <w:szCs w:val="24"/>
        </w:rPr>
        <w:t/>
      </w:r>
      <w:r w:rsidRPr="00575270">
        <w:rPr>
          <w:rFonts w:eastAsiaTheme="minorEastAsia"/>
          <w:b/>
          <w:color w:themeColor="text1" w:val="000000"/>
          <w:kern w:val="0"/>
          <w:sz w:val="24"/>
          <w:szCs w:val="24"/>
        </w:rPr>
        <w:t>3</w:t>
      </w:r>
      <w:r w:rsidRPr="00575270">
        <w:rPr>
          <w:rFonts w:eastAsiaTheme="minorEastAsia" w:hint="eastAsia"/>
          <w:b/>
          <w:color w:themeColor="text1" w:val="000000"/>
          <w:kern w:val="0"/>
          <w:sz w:val="24"/>
          <w:szCs w:val="24"/>
        </w:rPr>
        <w:t xml:space="preserve"> </w:t>
      </w:r>
      <w:r w:rsidRPr="00575270">
        <w:rPr>
          <w:rFonts w:eastAsiaTheme="minorEastAsia" w:hint="eastAsia"/>
          <w:b/>
          <w:color w:themeColor="text1" w:val="000000"/>
          <w:kern w:val="0"/>
          <w:sz w:val="24"/>
          <w:szCs w:val="24"/>
        </w:rPr>
        <w:t>本报告期持有的基金发生的重大影响事件</w:t>
      </w:r>
    </w:p>
    <w:tbl>
      <w:tblPr>
        <w:tblStyle w:val="af7"/>
        <w:tblW w:type="auto" w:w="0"/>
        <w:tblBorders>
          <w:top w:color="auto" w:space="0" w:sz="0" w:val="none"/>
          <w:left w:color="auto" w:space="0" w:sz="0" w:val="none"/>
          <w:bottom w:color="auto" w:space="0" w:sz="0" w:val="none"/>
          <w:right w:color="auto" w:space="0" w:sz="0" w:val="none"/>
          <w:insideH w:color="auto" w:space="0" w:sz="0" w:val="none"/>
          <w:insideV w:color="auto" w:space="0" w:sz="0" w:val="none"/>
        </w:tblBorders>
        <w:tblLook w:val="04A0"/>
      </w:tblPr>
      <w:tblGrid>
        <w:gridCol w:w="9242"/>
      </w:tblGrid>
      <w:tr w:rsidR="001F3E2A" w:rsidRPr="00575270" w:rsidTr="00D9393A">
        <w:tc>
          <w:tcPr>
            <w:tcW w:type="dxa" w:w="9036"/>
          </w:tcPr>
          <w:p w:rsidP="00CD14C0" w:rsidR="001F3E2A" w:rsidRDefault="001F3E2A" w:rsidRPr="00575270">
            <w:pPr>
              <w:autoSpaceDE w:val="0"/>
              <w:autoSpaceDN w:val="0"/>
              <w:adjustRightInd w:val="0"/>
              <w:spacing w:line="360" w:lineRule="auto"/>
              <w:ind w:firstLine="480" w:firstLineChars="200"/>
              <w:jc w:val="left"/>
              <w:rPr>
                <w:rFonts w:eastAsiaTheme="minorEastAsia"/>
                <w:color w:themeColor="text1" w:val="000000"/>
                <w:sz w:val="24"/>
                <w:szCs w:val="24"/>
              </w:rPr>
            </w:pPr>
            <w:r w:rsidRPr="00575270">
              <w:rPr>
                <w:rFonts w:eastAsiaTheme="minorEastAsia"/>
                <w:color w:themeColor="text1" w:val="000000"/>
                <w:sz w:val="24"/>
                <w:szCs w:val="24"/>
              </w:rPr>
              <w:t/>
            </w:r>
            <w:r w:rsidRPr="00575270">
              <w:rPr>
                <w:rFonts w:eastAsiaTheme="minorEastAsia" w:hint="eastAsia"/>
                <w:color w:themeColor="text1" w:val="000000"/>
                <w:sz w:val="24"/>
                <w:szCs w:val="24"/>
              </w:rPr>
              <w:t/>
            </w:r>
            <w:r w:rsidRPr="00575270">
              <w:rPr>
                <w:rFonts w:eastAsiaTheme="minorEastAsia"/>
                <w:color w:themeColor="text1" w:val="000000"/>
                <w:sz w:val="24"/>
                <w:szCs w:val="24"/>
              </w:rPr>
              <w:t/>
            </w:r>
            <w:r w:rsidRPr="00575270">
              <w:rPr>
                <w:rFonts w:eastAsiaTheme="minorEastAsia" w:hint="eastAsia"/>
                <w:color w:themeColor="text1" w:val="000000"/>
                <w:sz w:val="24"/>
                <w:szCs w:val="24"/>
              </w:rPr>
              <w:t>无。</w:t>
            </w:r>
          </w:p>
        </w:tc>
      </w:tr>
    </w:tbl>
    <w:p w:rsidP="00C15CAC" w:rsidR="001F3E2A" w:rsidRDefault="001F3E2A" w:rsidRPr="00414345">
      <w:pPr>
        <w:spacing w:before="29" w:line="288" w:lineRule="auto"/>
        <w:ind w:firstLine="480" w:firstLineChars="200"/>
        <w:rPr>
          <w:color w:val="000000"/>
          <w:sz w:val="24"/>
          <w:szCs w:val="24"/>
        </w:rPr>
      </w:pPr>
    </w:p>
    <w:p w:rsidP="0011537B" w:rsidR="004061AC" w:rsidRDefault="0072794E" w:rsidRPr="005A3D62">
      <w:pPr>
        <w:pStyle w:val="1"/>
        <w:spacing w:afterLines="100" w:beforeLines="100" w:line="360" w:lineRule="auto"/>
        <w:jc w:val="center"/>
        <w:rPr>
          <w:rFonts w:eastAsiaTheme="minorEastAsia"/>
          <w:color w:themeColor="text1" w:val="000000"/>
          <w:kern w:val="0"/>
          <w:sz w:val="24"/>
          <w:szCs w:val="24"/>
        </w:rPr>
      </w:pPr>
      <w:bookmarkStart w:id="2" w:name="_GoBack"/>
      <w:r w:rsidRPr="005A3D62">
        <w:rPr>
          <w:rFonts w:eastAsiaTheme="minorEastAsia"/>
          <w:color w:themeColor="text1" w:val="000000"/>
          <w:kern w:val="0"/>
          <w:sz w:val="24"/>
          <w:szCs w:val="24"/>
        </w:rPr>
        <w:t/>
      </w:r>
      <w:r w:rsidR="004061AC" w:rsidRPr="005A3D62">
        <w:rPr>
          <w:rFonts w:eastAsiaTheme="minorEastAsia"/>
          <w:color w:themeColor="text1" w:val="000000"/>
          <w:kern w:val="0"/>
          <w:sz w:val="24"/>
          <w:szCs w:val="24"/>
        </w:rPr>
        <w:t>§</w:t>
      </w:r>
      <w:r w:rsidRPr="005A3D62">
        <w:rPr>
          <w:rFonts w:eastAsiaTheme="minorEastAsia"/>
          <w:color w:themeColor="text1" w:val="000000"/>
          <w:kern w:val="0"/>
          <w:sz w:val="24"/>
          <w:szCs w:val="24"/>
        </w:rPr>
        <w:t>7</w:t>
      </w:r>
      <w:r w:rsidR="004061AC" w:rsidRPr="005A3D62">
        <w:rPr>
          <w:rFonts w:eastAsiaTheme="minorEastAsia"/>
          <w:color w:themeColor="text1" w:val="000000"/>
          <w:kern w:val="0"/>
          <w:sz w:val="24"/>
          <w:szCs w:val="24"/>
        </w:rPr>
        <w:t xml:space="preserve">  </w:t>
      </w:r>
      <w:r w:rsidR="004061AC" w:rsidRPr="005A3D62">
        <w:rPr>
          <w:rFonts w:eastAsiaTheme="minorEastAsia"/>
          <w:color w:themeColor="text1" w:val="000000"/>
          <w:kern w:val="0"/>
          <w:sz w:val="24"/>
          <w:szCs w:val="24"/>
        </w:rPr>
        <w:t>开放式基金份额变动</w:t>
      </w:r>
    </w:p>
    <w:bookmarkEnd w:id="2"/>
    <w:p w:rsidP="00C15CAC" w:rsidR="004061AC" w:rsidRDefault="004061AC" w:rsidRPr="00414345">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type="dxa" w:w="8868"/>
        <w:jc w:val="center"/>
        <w:tblLayout w:type="fixed"/>
        <w:tblCellMar>
          <w:top w:type="dxa" w:w="-1"/>
          <w:bottom w:type="dxa" w:w="-1"/>
        </w:tblCellMar>
        <w:tblLook w:val="0000"/>
      </w:tblPr>
      <w:tblGrid>
        <w:gridCol w:w="4734"/>
        <w:gridCol w:w="4134"/>
      </w:tblGrid>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8F60F2"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
            </w:r>
            <w:r w:rsidR="006D7FF8" w:rsidRPr="00414345">
              <w:rPr>
                <w:color w:val="000000"/>
                <w:sz w:val="24"/>
                <w:szCs w:val="24"/>
              </w:rPr>
              <w:t/>
            </w:r>
            <w:r w:rsidR="00355364" w:rsidRPr="00414345">
              <w:rPr>
                <w:color w:val="000000"/>
                <w:sz w:val="24"/>
                <w:szCs w:val="24"/>
              </w:rPr>
              <w:t/>
            </w:r>
            <w:r w:rsidR="006D7FF8" w:rsidRPr="00414345">
              <w:rPr>
                <w:color w:val="000000"/>
                <w:sz w:val="24"/>
                <w:szCs w:val="24"/>
              </w:rPr>
              <w:t>81,414,801.46</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FE179F"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90,021.67</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12,057,723.86</w:t>
            </w:r>
          </w:p>
        </w:tc>
      </w:tr>
      <w:tr w:rsidR="004061AC"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35076C" w:rsidR="004061AC" w:rsidRDefault="00FE179F"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lastRenderedPageBreak/>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4061AC" w:rsidRDefault="004061AC"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C15CAC" w:rsidR="006D7FF8" w:rsidRDefault="006D7FF8" w:rsidRPr="00414345">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type="dxa" w:w="4025"/>
            <w:tcBorders>
              <w:top w:color="000000" w:space="0" w:sz="8" w:val="single"/>
              <w:left w:color="000000" w:space="0" w:sz="8" w:val="single"/>
              <w:bottom w:color="000000" w:space="0" w:sz="8" w:val="single"/>
              <w:right w:color="000000" w:space="0" w:sz="8" w:val="single"/>
            </w:tcBorders>
            <w:vAlign w:val="center"/>
          </w:tcPr>
          <w:p w:rsidP="00C15CAC" w:rsidR="006D7FF8" w:rsidRDefault="006D7FF8" w:rsidRPr="00414345">
            <w:pPr>
              <w:autoSpaceDE w:val="0"/>
              <w:autoSpaceDN w:val="0"/>
              <w:adjustRightInd w:val="0"/>
              <w:spacing w:before="29" w:line="288" w:lineRule="auto"/>
              <w:ind w:left="17"/>
              <w:jc w:val="right"/>
              <w:rPr>
                <w:color w:val="000000"/>
                <w:sz w:val="24"/>
                <w:szCs w:val="24"/>
              </w:rPr>
            </w:pPr>
            <w:r w:rsidRPr="00414345">
              <w:rPr>
                <w:color w:val="000000"/>
                <w:sz w:val="24"/>
                <w:szCs w:val="24"/>
              </w:rPr>
              <w:t/>
            </w:r>
            <w:r w:rsidR="00355364" w:rsidRPr="00414345">
              <w:rPr>
                <w:color w:val="000000"/>
                <w:sz w:val="24"/>
                <w:szCs w:val="24"/>
              </w:rPr>
              <w:t/>
            </w:r>
            <w:r w:rsidRPr="00414345">
              <w:rPr>
                <w:color w:val="000000"/>
                <w:sz w:val="24"/>
                <w:szCs w:val="24"/>
              </w:rPr>
              <w:t>69,447,099.27</w:t>
            </w:r>
          </w:p>
        </w:tc>
      </w:tr>
    </w:tbl>
    <w:p>
      <w:pPr>
        <w:autoSpaceDE w:val="0"/>
        <w:autoSpaceDN w:val="0"/>
        <w:adjustRightInd w:val="0"/>
        <w:spacing w:before="29" w:line="288" w:lineRule="auto"/>
        <w:jc w:val="left"/>
        <w:rPr>
          <w:color w:val="000000"/>
          <w:sz w:val="24"/>
          <w:szCs w:val="24"/>
        </w:rPr>
      </w:pPr>
      <w:r>
        <w:rPr>
          <w:color w:val="000000"/>
          <w:sz w:val="24"/>
          <w:szCs w:val="24"/>
        </w:rPr>
        <w:t>注：1、如果本报告期间发生转换入、红利再投业务，则总申购份额中包含该业务；</w:t>
      </w:r>
    </w:p>
    <w:p w:rsidP="00C15CAC" w:rsidR="004061AC" w:rsidRDefault="00F743D4" w:rsidRPr="00414345">
      <w:pPr>
        <w:autoSpaceDE w:val="0"/>
        <w:autoSpaceDN w:val="0"/>
        <w:adjustRightInd w:val="0"/>
        <w:spacing w:before="29" w:line="288" w:lineRule="auto"/>
        <w:jc w:val="left"/>
        <w:rPr>
          <w:color w:val="000000"/>
          <w:sz w:val="24"/>
          <w:szCs w:val="24"/>
        </w:rPr>
      </w:pPr>
      <w:r w:rsidRPr="00414345">
        <w:rPr>
          <w:color w:val="000000"/>
          <w:sz w:val="24"/>
          <w:szCs w:val="24"/>
        </w:rPr>
        <w:t/>
      </w:r>
      <w:r w:rsidR="004061AC" w:rsidRPr="00414345">
        <w:rPr>
          <w:color w:val="000000"/>
          <w:sz w:val="24"/>
          <w:szCs w:val="24"/>
        </w:rPr>
        <w:t>　　2、如果本报告期间发生转换出业务，则总赎回份额中包含该业务。</w:t>
      </w:r>
    </w:p>
    <w:p w:rsidP="00C15CAC" w:rsidR="00320E90" w:rsidRDefault="00320E90">
      <w:pPr>
        <w:autoSpaceDE w:val="0"/>
        <w:autoSpaceDN w:val="0"/>
        <w:adjustRightInd w:val="0"/>
        <w:spacing w:before="29" w:line="288" w:lineRule="auto"/>
        <w:jc w:val="left"/>
        <w:rPr>
          <w:color w:val="000000"/>
          <w:sz w:val="24"/>
          <w:szCs w:val="24"/>
        </w:rPr>
      </w:pPr>
    </w:p>
    <w:p w:rsidP="0011537B" w:rsidR="00ED2620" w:rsidRDefault="00ED2620" w:rsidRPr="00ED2620">
      <w:pPr>
        <w:pStyle w:val="1"/>
        <w:tabs>
          <w:tab w:pos="4156" w:val="center"/>
          <w:tab w:pos="8312" w:val="right"/>
        </w:tabs>
        <w:spacing w:afterLines="100" w:beforeLines="100" w:line="288" w:lineRule="auto"/>
        <w:jc w:val="center"/>
        <w:rPr>
          <w:sz w:val="24"/>
          <w:szCs w:val="24"/>
        </w:rPr>
      </w:pPr>
      <w:r w:rsidRPr="00ED2620">
        <w:rPr>
          <w:rFonts w:eastAsiaTheme="minorEastAsia"/>
          <w:color w:val="000000"/>
          <w:kern w:val="0"/>
          <w:sz w:val="24"/>
          <w:szCs w:val="24"/>
        </w:rPr>
        <w:t/>
      </w:r>
      <w:r w:rsidR="000A2FC0" w:rsidRPr="00414345">
        <w:rPr>
          <w:color w:val="000000"/>
          <w:kern w:val="0"/>
          <w:sz w:val="24"/>
          <w:szCs w:val="24"/>
        </w:rPr>
        <w:t>§</w:t>
      </w:r>
      <w:r w:rsidR="00406DA6">
        <w:rPr>
          <w:rFonts w:eastAsiaTheme="minorEastAsia"/>
          <w:color w:val="000000"/>
          <w:kern w:val="0"/>
          <w:sz w:val="24"/>
          <w:szCs w:val="24"/>
        </w:rPr>
        <w:t/>
      </w:r>
      <w:r w:rsidR="00406DA6">
        <w:rPr>
          <w:rFonts w:eastAsiaTheme="minorEastAsia" w:hint="eastAsia"/>
          <w:color w:val="000000"/>
          <w:kern w:val="0"/>
          <w:sz w:val="24"/>
          <w:szCs w:val="24"/>
        </w:rPr>
        <w:t/>
      </w:r>
      <w:r w:rsidRPr="00ED2620">
        <w:rPr>
          <w:rFonts w:eastAsiaTheme="minorEastAsia"/>
          <w:color w:val="000000"/>
          <w:kern w:val="0"/>
          <w:sz w:val="24"/>
          <w:szCs w:val="24"/>
        </w:rPr>
        <w:t xml:space="preserve">8  </w:t>
      </w:r>
      <w:r w:rsidRPr="00ED2620">
        <w:rPr>
          <w:sz w:val="24"/>
          <w:szCs w:val="24"/>
        </w:rPr>
        <w:t>基金管理人运用固有资金投资本基金情况</w:t>
      </w:r>
    </w:p>
    <w:p w:rsidP="00C15CAC" w:rsidR="00ED2620" w:rsidRDefault="00ED2620" w:rsidRPr="00ED2620">
      <w:pPr>
        <w:spacing w:line="288" w:lineRule="auto"/>
        <w:jc w:val="left"/>
        <w:rPr>
          <w:sz w:val="24"/>
          <w:szCs w:val="24"/>
        </w:rPr>
      </w:pPr>
      <w:r w:rsidRPr="00ED2620">
        <w:rPr>
          <w:b/>
          <w:sz w:val="24"/>
        </w:rPr>
        <w:t xml:space="preserve">8.1 </w:t>
      </w:r>
      <w:r w:rsidRPr="00ED2620">
        <w:rPr>
          <w:b/>
          <w:sz w:val="24"/>
        </w:rPr>
        <w:t>基金管理人持有本基金份额变动情况</w:t>
      </w:r>
    </w:p>
    <w:p w:rsidP="00C15CAC" w:rsidR="00410630" w:rsidRDefault="00ED2620">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
      </w:r>
      <w:r w:rsidR="006075E6">
        <w:rPr>
          <w:rFonts w:eastAsiaTheme="minorEastAsia" w:hint="eastAsia"/>
          <w:color w:val="000000"/>
          <w:sz w:val="24"/>
        </w:rPr>
        <w:t/>
      </w:r>
      <w:r w:rsidRPr="00ED2620">
        <w:rPr>
          <w:rFonts w:eastAsiaTheme="minorEastAsia"/>
          <w:color w:val="000000"/>
          <w:sz w:val="24"/>
        </w:rPr>
        <w:t>本报告期内未发生基金管理人运用固有资金投资本基金的情况。</w:t>
      </w:r>
    </w:p>
    <w:p w:rsidP="00C15CAC" w:rsidR="00410630" w:rsidRDefault="00410630">
      <w:pPr>
        <w:autoSpaceDE w:val="0"/>
        <w:autoSpaceDN w:val="0"/>
        <w:adjustRightInd w:val="0"/>
        <w:spacing w:before="29" w:line="288" w:lineRule="auto"/>
        <w:jc w:val="left"/>
        <w:rPr>
          <w:rFonts w:eastAsiaTheme="minorEastAsia"/>
          <w:color w:val="000000"/>
          <w:sz w:val="24"/>
        </w:rPr>
      </w:pPr>
    </w:p>
    <w:p w:rsidP="00BB5E0E" w:rsidR="00410630" w:rsidRDefault="00410630" w:rsidRPr="00BB5E0E">
      <w:pPr>
        <w:spacing w:line="288" w:lineRule="auto"/>
        <w:jc w:val="left"/>
        <w:rPr>
          <w:b/>
          <w:sz w:val="24"/>
        </w:rPr>
      </w:pPr>
      <w:r w:rsidRPr="00410630">
        <w:rPr>
          <w:b/>
          <w:sz w:val="24"/>
        </w:rPr>
        <w:t>8.2</w:t>
      </w:r>
      <w:r w:rsidRPr="00410630">
        <w:rPr>
          <w:rFonts w:hint="eastAsia"/>
          <w:b/>
          <w:sz w:val="24"/>
        </w:rPr>
        <w:t>基金管理人运用固有资金投资本基金交易明细</w:t>
      </w:r>
    </w:p>
    <w:p w:rsidP="00C15CAC" w:rsidR="00320300" w:rsidRDefault="00320300" w:rsidRPr="00414345">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P="00C15CAC" w:rsidR="00480B35" w:rsidRDefault="00480B35" w:rsidRPr="00414345">
      <w:pPr>
        <w:autoSpaceDE w:val="0"/>
        <w:autoSpaceDN w:val="0"/>
        <w:adjustRightInd w:val="0"/>
        <w:spacing w:before="29" w:line="288" w:lineRule="auto"/>
        <w:jc w:val="left"/>
        <w:rPr>
          <w:color w:val="000000"/>
          <w:sz w:val="24"/>
        </w:rPr>
      </w:pPr>
    </w:p>
    <w:p w:rsidP="0011537B" w:rsidR="003C50AD" w:rsidRDefault="003C50AD" w:rsidRPr="00220C32">
      <w:pPr>
        <w:pStyle w:val="1"/>
        <w:spacing w:afterLines="100" w:beforeLines="100" w:line="360" w:lineRule="auto"/>
        <w:jc w:val="center"/>
        <w:rPr>
          <w:rFonts w:asciiTheme="minorEastAsia" w:eastAsiaTheme="minorEastAsia" w:hAnsiTheme="minorEastAsia"/>
          <w:color w:themeColor="text1" w:val="000000"/>
          <w:kern w:val="0"/>
          <w:sz w:val="24"/>
          <w:szCs w:val="24"/>
        </w:rPr>
      </w:pPr>
      <w:r w:rsidRPr="00220C32">
        <w:rPr>
          <w:rFonts w:asciiTheme="minorEastAsia" w:eastAsiaTheme="minorEastAsia" w:hAnsiTheme="minorEastAsia" w:hint="eastAsia"/>
          <w:color w:themeColor="text1" w:val="000000"/>
          <w:kern w:val="0"/>
          <w:sz w:val="24"/>
          <w:szCs w:val="24"/>
        </w:rPr>
        <w:t>§9</w:t>
      </w:r>
      <w:r w:rsidRPr="00220C32">
        <w:rPr>
          <w:rFonts w:asciiTheme="minorEastAsia" w:eastAsiaTheme="minorEastAsia" w:hAnsiTheme="minorEastAsia"/>
          <w:color w:themeColor="text1" w:val="000000"/>
          <w:kern w:val="0"/>
          <w:sz w:val="24"/>
          <w:szCs w:val="24"/>
        </w:rPr>
        <w:t xml:space="preserve">  </w:t>
      </w:r>
      <w:r w:rsidRPr="00220C32">
        <w:rPr>
          <w:rFonts w:asciiTheme="minorEastAsia" w:eastAsiaTheme="minorEastAsia" w:hAnsiTheme="minorEastAsia" w:hint="eastAsia"/>
          <w:color w:themeColor="text1" w:val="000000"/>
          <w:kern w:val="0"/>
          <w:sz w:val="24"/>
          <w:szCs w:val="24"/>
        </w:rPr>
        <w:t>影响投资者决策的其他重要信息</w:t>
      </w:r>
    </w:p>
    <w:p w:rsidP="003C50AD" w:rsidR="003C50AD" w:rsidRDefault="003C50AD" w:rsidRPr="009A5C99">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b/>
          <w:color w:val="000000"/>
          <w:kern w:val="0"/>
          <w:sz w:val="24"/>
          <w:szCs w:val="24"/>
        </w:rPr>
        <w:t/>
      </w:r>
      <w:r w:rsidRPr="009A5C99">
        <w:rPr>
          <w:rFonts w:ascii="宋体" w:hAnsi="宋体"/>
          <w:b/>
          <w:bCs/>
          <w:color w:val="000000"/>
          <w:kern w:val="0"/>
          <w:sz w:val="24"/>
          <w:szCs w:val="24"/>
        </w:rPr>
        <w:t>9.</w:t>
      </w:r>
      <w:r w:rsidRPr="009A5C99">
        <w:rPr>
          <w:rFonts w:ascii="宋体" w:hAnsi="宋体" w:hint="eastAsia"/>
          <w:b/>
          <w:bCs/>
          <w:color w:val="000000"/>
          <w:kern w:val="0"/>
          <w:sz w:val="24"/>
          <w:szCs w:val="24"/>
        </w:rPr>
        <w:t>1 报告期内单一投资者持有基金份额比例达到或超过20%的情况</w:t>
      </w:r>
    </w:p>
    <w:tbl>
      <w:tblPr>
        <w:tblW w:type="dxa" w:w="9212"/>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4A0"/>
      </w:tblPr>
      <w:tblGrid>
        <w:gridCol w:w="993"/>
        <w:gridCol w:w="992"/>
        <w:gridCol w:w="1843"/>
        <w:gridCol w:w="851"/>
        <w:gridCol w:w="850"/>
        <w:gridCol w:w="1134"/>
        <w:gridCol w:w="1419"/>
        <w:gridCol w:w="1130"/>
      </w:tblGrid>
      <w:tr w:rsidR="003C50AD" w:rsidRPr="004F4D27" w:rsidTr="00424D30">
        <w:tc>
          <w:tcPr>
            <w:tcW w:type="dxa" w:w="993"/>
            <w:vMerge w:val="restart"/>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投资者类别</w:t>
            </w:r>
            <w:r w:rsidRPr="004F4D27">
              <w:rPr>
                <w:rFonts w:ascii="宋体" w:hAnsi="宋体"/>
                <w:color w:val="000000"/>
                <w:kern w:val="0"/>
              </w:rPr>
              <w:t xml:space="preserve">  </w:t>
            </w:r>
          </w:p>
        </w:tc>
        <w:tc>
          <w:tcPr>
            <w:tcW w:type="dxa" w:w="5670"/>
            <w:gridSpan w:val="5"/>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报告期内持有基金份额变化情况</w:t>
            </w:r>
          </w:p>
        </w:tc>
        <w:tc>
          <w:tcPr>
            <w:tcW w:type="dxa" w:w="2549"/>
            <w:gridSpan w:val="2"/>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报告期末持有基金情况</w:t>
            </w:r>
          </w:p>
        </w:tc>
      </w:tr>
      <w:tr w:rsidR="003C50AD" w:rsidRPr="004F4D27" w:rsidTr="00424D30">
        <w:tc>
          <w:tcPr>
            <w:tcW w:type="dxa" w:w="993"/>
            <w:vMerge/>
            <w:vAlign w:val="center"/>
          </w:tcPr>
          <w:p w:rsidP="00424D30" w:rsidR="003C50AD" w:rsidRDefault="003C50AD" w:rsidRPr="004F4D27">
            <w:pPr>
              <w:autoSpaceDE w:val="0"/>
              <w:autoSpaceDN w:val="0"/>
              <w:adjustRightInd w:val="0"/>
              <w:jc w:val="center"/>
              <w:rPr>
                <w:rFonts w:ascii="宋体" w:hAnsi="宋体"/>
                <w:b/>
                <w:bCs/>
                <w:color w:val="000000"/>
                <w:kern w:val="0"/>
              </w:rPr>
            </w:pPr>
          </w:p>
        </w:tc>
        <w:tc>
          <w:tcPr>
            <w:tcW w:type="dxa" w:w="992"/>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序号</w:t>
            </w:r>
          </w:p>
        </w:tc>
        <w:tc>
          <w:tcPr>
            <w:tcW w:type="dxa" w:w="1843"/>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持有基金份额比例达到或者超过20%的时间区间</w:t>
            </w:r>
          </w:p>
        </w:tc>
        <w:tc>
          <w:tcPr>
            <w:tcW w:type="dxa" w:w="851"/>
            <w:vAlign w:val="center"/>
          </w:tcPr>
          <w:p w:rsidP="00424D30" w:rsidR="003C50AD" w:rsidRDefault="003C50AD" w:rsidRPr="004F4D27">
            <w:pPr>
              <w:widowControl/>
              <w:jc w:val="center"/>
              <w:rPr>
                <w:rFonts w:ascii="宋体" w:hAnsi="宋体"/>
                <w:b/>
                <w:bCs/>
                <w:color w:val="000000"/>
                <w:kern w:val="0"/>
              </w:rPr>
            </w:pPr>
            <w:r w:rsidRPr="004F4D27">
              <w:rPr>
                <w:rFonts w:ascii="宋体" w:hAnsi="宋体" w:hint="eastAsia"/>
                <w:color w:val="000000"/>
                <w:kern w:val="0"/>
              </w:rPr>
              <w:t>期初份额</w:t>
            </w:r>
          </w:p>
        </w:tc>
        <w:tc>
          <w:tcPr>
            <w:tcW w:type="dxa" w:w="850"/>
            <w:vAlign w:val="center"/>
          </w:tcPr>
          <w:p w:rsidP="00424D30" w:rsidR="003C50AD" w:rsidRDefault="003C50AD" w:rsidRPr="004F4D27">
            <w:pPr>
              <w:widowControl/>
              <w:jc w:val="center"/>
              <w:rPr>
                <w:rFonts w:ascii="宋体" w:hAnsi="宋体"/>
                <w:b/>
                <w:bCs/>
                <w:color w:val="000000"/>
                <w:kern w:val="0"/>
              </w:rPr>
            </w:pPr>
            <w:r w:rsidRPr="004F4D27">
              <w:rPr>
                <w:rFonts w:ascii="宋体" w:hAnsi="宋体" w:hint="eastAsia"/>
                <w:color w:val="000000"/>
                <w:kern w:val="0"/>
              </w:rPr>
              <w:t>申购份额</w:t>
            </w:r>
          </w:p>
        </w:tc>
        <w:tc>
          <w:tcPr>
            <w:tcW w:type="dxa" w:w="1134"/>
            <w:vAlign w:val="center"/>
          </w:tcPr>
          <w:p w:rsidP="00424D30" w:rsidR="003C50AD" w:rsidRDefault="003C50AD" w:rsidRPr="004F4D27">
            <w:pPr>
              <w:widowControl/>
              <w:jc w:val="center"/>
              <w:rPr>
                <w:rFonts w:ascii="宋体" w:hAnsi="宋体"/>
                <w:b/>
                <w:bCs/>
                <w:color w:val="000000"/>
                <w:kern w:val="0"/>
              </w:rPr>
            </w:pPr>
            <w:r w:rsidRPr="004F4D27">
              <w:rPr>
                <w:rFonts w:ascii="宋体" w:hAnsi="宋体" w:hint="eastAsia"/>
                <w:color w:val="000000"/>
                <w:kern w:val="0"/>
              </w:rPr>
              <w:t>赎回份额</w:t>
            </w:r>
          </w:p>
        </w:tc>
        <w:tc>
          <w:tcPr>
            <w:tcW w:type="dxa" w:w="1419"/>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持有份额</w:t>
            </w:r>
          </w:p>
        </w:tc>
        <w:tc>
          <w:tcPr>
            <w:tcW w:type="dxa" w:w="1130"/>
            <w:vAlign w:val="center"/>
          </w:tcPr>
          <w:p w:rsidP="00424D30" w:rsidR="003C50AD" w:rsidRDefault="003C50AD" w:rsidRPr="004F4D27">
            <w:pPr>
              <w:autoSpaceDE w:val="0"/>
              <w:autoSpaceDN w:val="0"/>
              <w:adjustRightInd w:val="0"/>
              <w:jc w:val="center"/>
              <w:rPr>
                <w:rFonts w:ascii="宋体" w:hAnsi="宋体"/>
                <w:b/>
                <w:bCs/>
                <w:color w:val="000000"/>
                <w:kern w:val="0"/>
              </w:rPr>
            </w:pPr>
            <w:r w:rsidRPr="004F4D27">
              <w:rPr>
                <w:rFonts w:ascii="宋体" w:hAnsi="宋体" w:hint="eastAsia"/>
                <w:color w:val="000000"/>
                <w:kern w:val="0"/>
              </w:rPr>
              <w:t>份额占比</w:t>
            </w:r>
          </w:p>
        </w:tc>
      </w:tr>
      <w:tr>
        <w:tc>
          <w:tcPr>
            <w:vMerge w:val="restart"/>
          </w:tcPr>
          <w:p/>
          <w:p>
            <w:r>
              <w:rPr>
                <w:rFonts w:ascii="宋体" w:hAnsi="宋体" w:hint="eastAsia"/>
                <w:bCs/>
                <w:color w:val="000000"/>
                <w:kern w:val="0"/>
              </w:rPr>
              <w:t>个人</w:t>
            </w:r>
          </w:p>
        </w:tc>
        <w:tc>
          <w:tcPr>
            <w:vAlign w:val="center"/>
          </w:tcPr>
          <w:p>
            <w:pPr>
              <w:jc w:val="center"/>
            </w:pPr>
            <w:r>
              <w:rPr>
                <w:rFonts w:ascii="宋体" w:hAnsi="宋体"/>
                <w:kern w:val="0"/>
              </w:rPr>
              <w:t>1</w:t>
            </w:r>
          </w:p>
        </w:tc>
        <w:tc>
          <w:tcPr>
            <w:vAlign w:val="center"/>
          </w:tcPr>
          <w:p>
            <w:pPr>
              <w:jc w:val="center"/>
            </w:pPr>
            <w:r>
              <w:rPr>
                <w:rFonts w:ascii="宋体" w:hAnsi="宋体"/>
                <w:kern w:val="0"/>
              </w:rPr>
              <w:t>2018/10/1-2018/12/31</w:t>
            </w:r>
          </w:p>
        </w:tc>
        <w:tc>
          <w:tcPr>
            <w:vAlign w:val="center"/>
          </w:tcPr>
          <w:p>
            <w:pPr>
              <w:jc w:val="center"/>
            </w:pPr>
            <w:r>
              <w:rPr>
                <w:rFonts w:ascii="宋体" w:hAnsi="宋体"/>
                <w:kern w:val="0"/>
              </w:rPr>
              <w:t>15,000,350.00</w:t>
            </w:r>
          </w:p>
        </w:tc>
        <w:tc>
          <w:tcPr>
            <w:vAlign w:val="center"/>
          </w:tcPr>
          <w:p>
            <w:pPr>
              <w:jc w:val="center"/>
            </w:pPr>
            <w:r>
              <w:rPr>
                <w:rFonts w:ascii="宋体" w:hAnsi="宋体"/>
                <w:kern w:val="0"/>
              </w:rPr>
              <w:t>-</w:t>
            </w:r>
          </w:p>
        </w:tc>
        <w:tc>
          <w:tcPr>
            <w:vAlign w:val="center"/>
          </w:tcPr>
          <w:p>
            <w:pPr>
              <w:jc w:val="center"/>
            </w:pPr>
            <w:r>
              <w:rPr>
                <w:rFonts w:ascii="宋体" w:hAnsi="宋体"/>
                <w:kern w:val="0"/>
              </w:rPr>
              <w:t>-</w:t>
            </w:r>
          </w:p>
        </w:tc>
        <w:tc>
          <w:tcPr>
            <w:vAlign w:val="center"/>
          </w:tcPr>
          <w:p>
            <w:pPr>
              <w:jc w:val="center"/>
            </w:pPr>
            <w:r>
              <w:rPr>
                <w:rFonts w:ascii="宋体" w:hAnsi="宋体"/>
                <w:kern w:val="0"/>
              </w:rPr>
              <w:t>15,000,350.00</w:t>
            </w:r>
          </w:p>
        </w:tc>
        <w:tc>
          <w:tcPr>
            <w:vAlign w:val="center"/>
          </w:tcPr>
          <w:p>
            <w:pPr>
              <w:jc w:val="center"/>
            </w:pPr>
            <w:r>
              <w:rPr>
                <w:rFonts w:ascii="宋体" w:hAnsi="宋体"/>
                <w:kern w:val="0"/>
              </w:rPr>
              <w:t>21.60%</w:t>
            </w:r>
          </w:p>
        </w:tc>
      </w:tr>
    </w:tbl>
    <w:tbl>
      <w:tblPr>
        <w:tblW w:type="dxa" w:w="9212"/>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4A0"/>
      </w:tblPr>
      <w:tblGrid>
        <w:gridCol w:w="9212"/>
      </w:tblGrid>
      <w:tr w:rsidR="003C50AD" w:rsidRPr="004F4D27" w:rsidTr="00424D30">
        <w:tc>
          <w:tcPr>
            <w:tcW w:type="dxa" w:w="9212"/>
            <w:vAlign w:val="center"/>
          </w:tcPr>
          <w:p w:rsidP="00424D30" w:rsidR="003C50AD" w:rsidRDefault="003C50AD" w:rsidRPr="004F4D27">
            <w:pPr>
              <w:autoSpaceDE w:val="0"/>
              <w:autoSpaceDN w:val="0"/>
              <w:adjustRightInd w:val="0"/>
              <w:jc w:val="center"/>
              <w:rPr>
                <w:rFonts w:ascii="宋体" w:hAnsi="宋体"/>
                <w:kern w:val="0"/>
              </w:rPr>
            </w:pPr>
            <w:r w:rsidRPr="004F4D27">
              <w:rPr>
                <w:rFonts w:ascii="宋体" w:hAnsi="宋体"/>
                <w:color w:val="000000"/>
                <w:kern w:val="0"/>
              </w:rPr>
              <w:t>产品特有风险</w:t>
            </w:r>
            <w:r w:rsidRPr="004F4D27">
              <w:rPr>
                <w:rFonts w:ascii="宋体" w:hAnsi="宋体"/>
                <w:kern w:val="0"/>
              </w:rPr>
              <w:t/>
            </w:r>
            <w:r w:rsidRPr="004F4D27">
              <w:rPr>
                <w:rFonts w:ascii="宋体" w:hAnsi="宋体" w:hint="eastAsia"/>
                <w:kern w:val="0"/>
              </w:rPr>
              <w:t/>
            </w:r>
            <w:r w:rsidRPr="004F4D27">
              <w:rPr>
                <w:rFonts w:ascii="宋体" w:hAnsi="宋体"/>
                <w:kern w:val="0"/>
              </w:rPr>
              <w:t/>
            </w:r>
          </w:p>
        </w:tc>
      </w:tr>
      <w:tr w:rsidR="003C50AD" w:rsidRPr="004F4D27" w:rsidTr="00424D30">
        <w:tc>
          <w:tcPr>
            <w:tcW w:type="dxa" w:w="9212"/>
            <w:vAlign w:val="center"/>
          </w:tcPr>
          <w:p w:rsidP="00424D30" w:rsidR="003C50AD" w:rsidRDefault="003C50AD" w:rsidRPr="004F4D27">
            <w:pPr>
              <w:autoSpaceDE w:val="0"/>
              <w:autoSpaceDN w:val="0"/>
              <w:adjustRightInd w:val="0"/>
              <w:jc w:val="left"/>
              <w:rPr>
                <w:rFonts w:ascii="宋体" w:hAnsi="宋体"/>
                <w:kern w:val="0"/>
              </w:rPr>
            </w:pPr>
            <w:r w:rsidRPr="004F4D27">
              <w:rPr>
                <w:rFonts w:ascii="宋体" w:hAnsi="宋体" w:hint="eastAsia"/>
                <w:kern w:val="0"/>
              </w:rPr>
              <w:t/>
            </w:r>
            <w:r w:rsidRPr="004F4D27">
              <w:rPr>
                <w:rFonts w:ascii="宋体" w:hAnsi="宋体"/>
                <w:kern w:val="0"/>
              </w:rPr>
              <w:t/>
            </w:r>
            <w:r w:rsidRPr="004F4D27">
              <w:rPr>
                <w:rFonts w:ascii="宋体" w:hAnsi="宋体" w:hint="eastAsia"/>
                <w:kern w:val="0"/>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r w:rsidRPr="004F4D27">
              <w:rPr>
                <w:rFonts w:ascii="宋体" w:hAnsi="宋体"/>
                <w:kern w:val="0"/>
              </w:rPr>
              <w:t/>
            </w:r>
          </w:p>
        </w:tc>
      </w:tr>
    </w:tbl>
    <w:p w:rsidP="0011537B" w:rsidR="00B22DEE" w:rsidRDefault="004061AC" w:rsidRPr="00E02660">
      <w:pPr>
        <w:pStyle w:val="1"/>
        <w:spacing w:afterLines="100" w:beforeLines="100"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
      </w:r>
      <w:r w:rsidR="00676095" w:rsidRPr="00414345">
        <w:rPr>
          <w:color w:val="000000"/>
          <w:kern w:val="0"/>
          <w:sz w:val="24"/>
          <w:szCs w:val="24"/>
        </w:rPr>
        <w:t/>
      </w:r>
      <w:r w:rsidR="00D02347" w:rsidRPr="00414345">
        <w:rPr>
          <w:color w:val="000000"/>
          <w:kern w:val="0"/>
          <w:sz w:val="24"/>
          <w:szCs w:val="24"/>
        </w:rPr>
        <w:t>10</w:t>
      </w:r>
      <w:r w:rsidR="00834E74">
        <w:rPr>
          <w:color w:val="000000"/>
          <w:kern w:val="0"/>
          <w:sz w:val="24"/>
          <w:szCs w:val="24"/>
        </w:rPr>
        <w:t xml:space="preserve">  </w:t>
      </w:r>
      <w:r w:rsidRPr="00414345">
        <w:rPr>
          <w:color w:val="000000"/>
          <w:kern w:val="0"/>
          <w:sz w:val="24"/>
          <w:szCs w:val="24"/>
        </w:rPr>
        <w:t>备查文件目录</w:t>
      </w: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pPr>
        <w:spacing w:before="29" w:line="288" w:lineRule="auto"/>
        <w:ind w:firstLine="480" w:firstLineChars="200"/>
        <w:rPr>
          <w:color w:val="000000"/>
          <w:sz w:val="24"/>
          <w:szCs w:val="24"/>
        </w:rPr>
      </w:pPr>
      <w:r>
        <w:rPr>
          <w:color w:val="000000"/>
          <w:sz w:val="24"/>
          <w:szCs w:val="24"/>
        </w:rPr>
        <w:t xml:space="preserve">1、中国证监会准予交银施罗德荣和保本混合型证券投资基金募集注册的文件； </w:t>
      </w:r>
    </w:p>
    <w:p>
      <w:pPr>
        <w:spacing w:before="29" w:line="288" w:lineRule="auto"/>
        <w:ind w:firstLine="480" w:firstLineChars="200"/>
        <w:rPr>
          <w:color w:val="000000"/>
          <w:sz w:val="24"/>
          <w:szCs w:val="24"/>
        </w:rPr>
      </w:pPr>
      <w:r>
        <w:rPr>
          <w:color w:val="000000"/>
          <w:sz w:val="24"/>
          <w:szCs w:val="24"/>
        </w:rPr>
        <w:t xml:space="preserve">2、《交银施罗德安心收益债券型证券投资基金基金合同》； </w:t>
      </w:r>
    </w:p>
    <w:p>
      <w:pPr>
        <w:spacing w:before="29" w:line="288" w:lineRule="auto"/>
        <w:ind w:firstLine="480" w:firstLineChars="200"/>
        <w:rPr>
          <w:color w:val="000000"/>
          <w:sz w:val="24"/>
          <w:szCs w:val="24"/>
        </w:rPr>
      </w:pPr>
      <w:r>
        <w:rPr>
          <w:color w:val="000000"/>
          <w:sz w:val="24"/>
          <w:szCs w:val="24"/>
        </w:rPr>
        <w:t xml:space="preserve">3、《交银施罗德安心收益债券型证券投资基金招募说明书》； </w:t>
      </w:r>
    </w:p>
    <w:p>
      <w:pPr>
        <w:spacing w:before="29" w:line="288" w:lineRule="auto"/>
        <w:ind w:firstLine="480" w:firstLineChars="200"/>
        <w:rPr>
          <w:color w:val="000000"/>
          <w:sz w:val="24"/>
          <w:szCs w:val="24"/>
        </w:rPr>
      </w:pPr>
      <w:r>
        <w:rPr>
          <w:color w:val="000000"/>
          <w:sz w:val="24"/>
          <w:szCs w:val="24"/>
        </w:rPr>
        <w:t xml:space="preserve">4、《交银施罗德安心收益债券型证券投资基金托管协议》； </w:t>
      </w:r>
    </w:p>
    <w:p>
      <w:pPr>
        <w:spacing w:before="29" w:line="288" w:lineRule="auto"/>
        <w:ind w:firstLine="480" w:firstLineChars="200"/>
        <w:rPr>
          <w:color w:val="000000"/>
          <w:sz w:val="24"/>
          <w:szCs w:val="24"/>
        </w:rPr>
      </w:pPr>
      <w:r>
        <w:rPr>
          <w:color w:val="000000"/>
          <w:sz w:val="24"/>
          <w:szCs w:val="24"/>
        </w:rPr>
        <w:t xml:space="preserve">5、《交银施罗德荣和保本混合型证券投资基金基金合同》； </w:t>
      </w:r>
    </w:p>
    <w:p>
      <w:pPr>
        <w:spacing w:before="29" w:line="288" w:lineRule="auto"/>
        <w:ind w:firstLine="480" w:firstLineChars="200"/>
        <w:rPr>
          <w:color w:val="000000"/>
          <w:sz w:val="24"/>
          <w:szCs w:val="24"/>
        </w:rPr>
      </w:pPr>
      <w:r>
        <w:rPr>
          <w:color w:val="000000"/>
          <w:sz w:val="24"/>
          <w:szCs w:val="24"/>
        </w:rPr>
        <w:t xml:space="preserve">6、《交银施罗德荣和保本混合型证券投资基金招募说明书》； </w:t>
      </w:r>
    </w:p>
    <w:p>
      <w:pPr>
        <w:spacing w:before="29" w:line="288" w:lineRule="auto"/>
        <w:ind w:firstLine="480" w:firstLineChars="200"/>
        <w:rPr>
          <w:color w:val="000000"/>
          <w:sz w:val="24"/>
          <w:szCs w:val="24"/>
        </w:rPr>
      </w:pPr>
      <w:r>
        <w:rPr>
          <w:color w:val="000000"/>
          <w:sz w:val="24"/>
          <w:szCs w:val="24"/>
        </w:rPr>
        <w:t xml:space="preserve">7、《交银施罗德荣和保本混合型证券投资基金托管协议》； </w:t>
      </w:r>
    </w:p>
    <w:p>
      <w:pPr>
        <w:spacing w:before="29" w:line="288" w:lineRule="auto"/>
        <w:ind w:firstLine="480" w:firstLineChars="200"/>
        <w:rPr>
          <w:color w:val="000000"/>
          <w:sz w:val="24"/>
          <w:szCs w:val="24"/>
        </w:rPr>
      </w:pPr>
      <w:r>
        <w:rPr>
          <w:color w:val="000000"/>
          <w:sz w:val="24"/>
          <w:szCs w:val="24"/>
        </w:rPr>
        <w:t>8、《交银施罗德荣和保本混合型证券投资基金保证合同》；</w:t>
      </w:r>
    </w:p>
    <w:p>
      <w:pPr>
        <w:spacing w:before="29" w:line="288" w:lineRule="auto"/>
        <w:ind w:firstLine="480" w:firstLineChars="200"/>
        <w:rPr>
          <w:color w:val="000000"/>
          <w:sz w:val="24"/>
          <w:szCs w:val="24"/>
        </w:rPr>
      </w:pPr>
      <w:r>
        <w:rPr>
          <w:color w:val="000000"/>
          <w:sz w:val="24"/>
          <w:szCs w:val="24"/>
        </w:rPr>
        <w:t xml:space="preserve">9、基金管理人业务资格批件、营业执照； </w:t>
      </w:r>
    </w:p>
    <w:p>
      <w:pPr>
        <w:spacing w:before="29" w:line="288" w:lineRule="auto"/>
        <w:ind w:firstLine="480" w:firstLineChars="200"/>
        <w:rPr>
          <w:color w:val="000000"/>
          <w:sz w:val="24"/>
          <w:szCs w:val="24"/>
        </w:rPr>
      </w:pPr>
      <w:r>
        <w:rPr>
          <w:color w:val="000000"/>
          <w:sz w:val="24"/>
          <w:szCs w:val="24"/>
        </w:rPr>
        <w:t xml:space="preserve">10、基金托管人业务资格批件、营业执照； </w:t>
      </w:r>
    </w:p>
    <w:p>
      <w:pPr>
        <w:spacing w:before="29" w:line="288" w:lineRule="auto"/>
        <w:ind w:firstLine="480" w:firstLineChars="200"/>
        <w:rPr>
          <w:color w:val="000000"/>
          <w:sz w:val="24"/>
          <w:szCs w:val="24"/>
        </w:rPr>
      </w:pPr>
      <w:r>
        <w:rPr>
          <w:color w:val="000000"/>
          <w:sz w:val="24"/>
          <w:szCs w:val="24"/>
        </w:rPr>
        <w:t xml:space="preserve">11、关于申请募集注册交银施罗德荣和保本混合型证券投资基金的法律意见书； </w:t>
      </w:r>
    </w:p>
    <w:p>
      <w:pPr>
        <w:spacing w:before="29" w:line="288" w:lineRule="auto"/>
        <w:ind w:firstLine="480" w:firstLineChars="200"/>
        <w:rPr>
          <w:color w:val="000000"/>
          <w:sz w:val="24"/>
          <w:szCs w:val="24"/>
        </w:rPr>
      </w:pPr>
      <w:r>
        <w:rPr>
          <w:color w:val="000000"/>
          <w:sz w:val="24"/>
          <w:szCs w:val="24"/>
        </w:rPr>
        <w:t>12、关于修改《交银施罗德荣和保本混合型证券投资基金基金合同》的法律意见书</w:t>
      </w:r>
    </w:p>
    <w:p w:rsidP="00C15CAC" w:rsidR="004061AC" w:rsidRDefault="006D7FF8" w:rsidRPr="00414345">
      <w:pPr>
        <w:spacing w:before="29" w:line="288" w:lineRule="auto"/>
        <w:ind w:firstLine="480" w:firstLineChars="200"/>
        <w:rPr>
          <w:color w:val="000000"/>
          <w:sz w:val="24"/>
          <w:szCs w:val="24"/>
        </w:rPr>
      </w:pPr>
      <w:r w:rsidRPr="00414345">
        <w:rPr>
          <w:color w:val="000000"/>
          <w:sz w:val="24"/>
          <w:szCs w:val="24"/>
        </w:rPr>
        <w:t>13、报告期内交银施罗德荣和保本混合型证券投资基金、交银施罗德安心收益债券型证券投资基金在指定报刊上各项公告的原稿。</w:t>
      </w:r>
    </w:p>
    <w:p w:rsidP="00C15CAC" w:rsidR="006A48FD" w:rsidRDefault="006A48FD" w:rsidRPr="00414345">
      <w:pPr>
        <w:spacing w:before="29" w:line="288" w:lineRule="auto"/>
        <w:ind w:firstLine="480" w:firstLineChars="200"/>
        <w:rPr>
          <w:color w:val="000000"/>
          <w:sz w:val="24"/>
          <w:szCs w:val="24"/>
        </w:rPr>
      </w:pP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P="00C15CAC" w:rsidR="004061AC" w:rsidRDefault="006D7FF8" w:rsidRPr="00414345">
      <w:pPr>
        <w:spacing w:before="29" w:line="288" w:lineRule="auto"/>
        <w:ind w:firstLine="480" w:firstLineChars="200"/>
        <w:rPr>
          <w:color w:val="000000"/>
          <w:sz w:val="24"/>
          <w:szCs w:val="24"/>
        </w:rPr>
      </w:pPr>
      <w:r w:rsidRPr="00414345">
        <w:rPr>
          <w:color w:val="000000"/>
          <w:sz w:val="24"/>
          <w:szCs w:val="24"/>
        </w:rPr>
        <w:t>备查文件存放于基金管理人的办公场所。</w:t>
      </w:r>
    </w:p>
    <w:p w:rsidP="00C15CAC" w:rsidR="006A48FD" w:rsidRDefault="006A48FD" w:rsidRPr="00414345">
      <w:pPr>
        <w:spacing w:before="29" w:line="288" w:lineRule="auto"/>
        <w:ind w:firstLine="480" w:firstLineChars="200"/>
        <w:rPr>
          <w:color w:val="000000"/>
          <w:sz w:val="24"/>
          <w:szCs w:val="24"/>
        </w:rPr>
      </w:pPr>
    </w:p>
    <w:p w:rsidP="00C15CAC" w:rsidR="004061AC" w:rsidRDefault="00D02347" w:rsidRPr="00414345">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w:r>
      <w:r w:rsidR="00676095" w:rsidRPr="00414345">
        <w:rPr>
          <w:b/>
          <w:bCs/>
          <w:color w:val="000000"/>
          <w:kern w:val="0"/>
          <w:sz w:val="24"/>
          <w:szCs w:val="24"/>
        </w:rPr>
        <w:t/>
      </w:r>
      <w:r w:rsidRPr="00414345">
        <w:rPr>
          <w:b/>
          <w:bCs/>
          <w:color w:val="000000"/>
          <w:kern w:val="0"/>
          <w:sz w:val="24"/>
          <w:szCs w:val="24"/>
        </w:rPr>
        <w:t>10</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pPr>
        <w:spacing w:before="29" w:line="288" w:lineRule="auto"/>
        <w:ind w:firstLine="480" w:firstLineChars="200"/>
        <w:rPr>
          <w:color w:val="000000"/>
          <w:sz w:val="24"/>
          <w:szCs w:val="24"/>
        </w:rPr>
      </w:pPr>
      <w:r>
        <w:rPr>
          <w:color w:val="000000"/>
          <w:sz w:val="24"/>
          <w:szCs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rsidP="00C15CAC" w:rsidR="00A90049" w:rsidRDefault="006D7FF8" w:rsidRPr="00414345">
      <w:pPr>
        <w:spacing w:before="29" w:line="288" w:lineRule="auto"/>
        <w:ind w:firstLine="480" w:firstLineChars="200"/>
        <w:rPr>
          <w:color w:val="000000"/>
          <w:sz w:val="24"/>
          <w:szCs w:val="24"/>
        </w:rPr>
      </w:pPr>
      <w:r w:rsidRPr="00414345">
        <w:rPr>
          <w:color w:val="000000"/>
          <w:sz w:val="24"/>
          <w:szCs w:val="24"/>
        </w:rPr>
        <w:t>投资者对本报告书如有疑问，可咨询本基金管理人交银施罗德基金管理有限公司。本公司客户服务中心电话：400-700-5000（免长途话费），021-61055000，电子邮件：services@jysld.com。</w:t>
      </w:r>
    </w:p>
    <w:p w:rsidP="00C15CAC" w:rsidR="002C3C7A" w:rsidRDefault="002C3C7A" w:rsidRPr="00414345">
      <w:pPr>
        <w:spacing w:before="29" w:line="288" w:lineRule="auto"/>
        <w:ind w:firstLine="480" w:firstLineChars="200"/>
        <w:rPr>
          <w:color w:val="000000"/>
          <w:sz w:val="24"/>
          <w:szCs w:val="24"/>
        </w:rPr>
      </w:pPr>
    </w:p>
    <w:sectPr w:rsidR="002C3C7A" w:rsidRPr="00414345" w:rsidSect="00000678">
      <w:pgSz w:code="9" w:h="16838" w:w="11906"/>
      <w:pgMar w:bottom="1440" w:footer="992" w:gutter="0" w:header="851" w:left="1440" w:right="1440" w:top="1440"/>
      <w:cols w:space="425"/>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AF4" w:rsidRDefault="004B2AF4" w:rsidP="00876D65">
      <w:r>
        <w:separator/>
      </w:r>
    </w:p>
  </w:endnote>
  <w:endnote w:type="continuationSeparator" w:id="0">
    <w:p w:rsidR="004B2AF4" w:rsidRDefault="004B2AF4" w:rsidP="0087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Arial"/>
    <w:charset w:val="00"/>
    <w:family w:val="auto"/>
    <w:pitch w:val="default"/>
    <w:sig w:usb0="00000003" w:usb1="00000000" w:usb2="00000000" w:usb3="00000000" w:csb0="00000001" w:csb1="00000000"/>
  </w:font>
  <w:font w:name="方正仿宋简体">
    <w:altName w:val="微软雅黑"/>
    <w:charset w:val="86"/>
    <w:family w:val="auto"/>
    <w:pitch w:val="default"/>
    <w:sig w:usb0="00000000" w:usb1="080E0000" w:usb2="00000000" w:usb3="00000000" w:csb0="00040000" w:csb1="00000000"/>
  </w:font>
</w:fonts>
</file>

<file path=word/footer1.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D9393A" w:rsidRDefault="00D9393A">
    <w:pPr>
      <w:pStyle w:val="a6"/>
    </w:pPr>
  </w:p>
</w:ftr>
</file>

<file path=word/footer2.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P="004D340C" w:rsidR="004D340C" w:rsidRDefault="004D340C" w:rsidRPr="001D0DB0">
    <w:pPr>
      <w:pStyle w:val="a6"/>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11537B">
      <w:rPr>
        <w:noProof/>
        <w:kern w:val="0"/>
        <w:szCs w:val="21"/>
      </w:rPr>
      <w:t>19</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11537B">
      <w:rPr>
        <w:noProof/>
        <w:kern w:val="0"/>
        <w:szCs w:val="21"/>
      </w:rPr>
      <w:t>25</w:t>
    </w:r>
    <w:r w:rsidR="00381EE8">
      <w:rPr>
        <w:kern w:val="0"/>
        <w:szCs w:val="21"/>
      </w:rPr>
      <w:fldChar w:fldCharType="end"/>
    </w:r>
    <w:r>
      <w:rPr>
        <w:rFonts w:hint="eastAsia"/>
        <w:kern w:val="0"/>
        <w:szCs w:val="21"/>
      </w:rPr>
      <w:t>页</w:t>
    </w:r>
  </w:p>
</w:ftr>
</file>

<file path=word/footer3.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D9393A" w:rsidRDefault="00D9393A">
    <w:pPr>
      <w:pStyle w:val="a6"/>
    </w:pPr>
  </w:p>
</w:ftr>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1" w:type="separator">
    <w:p w:rsidP="00876D65" w:rsidR="004B2AF4" w:rsidRDefault="004B2AF4">
      <w:r>
        <w:separator/>
      </w:r>
    </w:p>
  </w:footnote>
  <w:footnote w:id="0" w:type="continuationSeparator">
    <w:p w:rsidP="00876D65" w:rsidR="004B2AF4" w:rsidRDefault="004B2AF4">
      <w:r>
        <w:continuationSeparator/>
      </w:r>
    </w:p>
  </w:footnote>
</w:footnotes>
</file>

<file path=word/header1.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D9393A" w:rsidRDefault="00D9393A">
    <w:pPr>
      <w:pStyle w:val="a9"/>
    </w:pPr>
  </w:p>
</w:hdr>
</file>

<file path=word/header2.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P="00090A26" w:rsidR="00171EF0" w:rsidRDefault="00DC456F" w:rsidRPr="00DC456F">
    <w:pPr>
      <w:pStyle w:val="a9"/>
      <w:pBdr>
        <w:bottom w:color="auto" w:space="0" w:sz="6" w:val="single"/>
      </w:pBdr>
      <w:jc w:val="right"/>
      <w:rPr>
        <w:sz w:val="24"/>
        <w:szCs w:val="24"/>
      </w:rPr>
    </w:pPr>
    <w:r w:rsidRPr="003E676C">
      <w:rPr>
        <w:sz w:val="24"/>
        <w:szCs w:val="24"/>
      </w:rPr>
      <w:t>交银施罗德安心收益债券型证券投资基金2018年第4季度报告</w:t>
    </w:r>
  </w:p>
</w:hdr>
</file>

<file path=word/header3.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D9393A" w:rsidRDefault="00D9393A">
    <w:pPr>
      <w:pStyle w:val="a9"/>
    </w:pPr>
  </w:p>
</w:hdr>
</file>

<file path=word/numbering.xml><?xml version="1.0" encoding="utf-8"?>
<w:numberin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abstractNum w:abstractNumId="0">
    <w:nsid w:val="17055987"/>
    <w:multiLevelType w:val="hybridMultilevel"/>
    <w:tmpl w:val="6DACDB38"/>
    <w:lvl w:ilvl="0" w:tplc="307C87E8">
      <w:start w:val="2006"/>
      <w:numFmt w:val="bullet"/>
      <w:lvlText w:val="●"/>
      <w:lvlJc w:val="left"/>
      <w:pPr>
        <w:tabs>
          <w:tab w:pos="780" w:val="num"/>
        </w:tabs>
        <w:ind w:hanging="360" w:left="780"/>
      </w:pPr>
      <w:rPr>
        <w:rFonts w:ascii="Times New Roman" w:eastAsia="宋体" w:hAnsi="Times New Roman" w:hint="default"/>
      </w:rPr>
    </w:lvl>
    <w:lvl w:ilvl="1" w:tplc="04090003">
      <w:start w:val="1"/>
      <w:numFmt w:val="bullet"/>
      <w:lvlText w:val=""/>
      <w:lvlJc w:val="left"/>
      <w:pPr>
        <w:tabs>
          <w:tab w:pos="1260" w:val="num"/>
        </w:tabs>
        <w:ind w:hanging="420" w:left="1260"/>
      </w:pPr>
      <w:rPr>
        <w:rFonts w:ascii="Wingdings" w:cs="Wingdings" w:hAnsi="Wingdings" w:hint="default"/>
      </w:rPr>
    </w:lvl>
    <w:lvl w:ilvl="2" w:tplc="04090005">
      <w:start w:val="1"/>
      <w:numFmt w:val="bullet"/>
      <w:lvlText w:val=""/>
      <w:lvlJc w:val="left"/>
      <w:pPr>
        <w:tabs>
          <w:tab w:pos="1680" w:val="num"/>
        </w:tabs>
        <w:ind w:hanging="420" w:left="1680"/>
      </w:pPr>
      <w:rPr>
        <w:rFonts w:ascii="Wingdings" w:cs="Wingdings" w:hAnsi="Wingdings" w:hint="default"/>
      </w:rPr>
    </w:lvl>
    <w:lvl w:ilvl="3" w:tplc="04090001">
      <w:start w:val="1"/>
      <w:numFmt w:val="bullet"/>
      <w:lvlText w:val=""/>
      <w:lvlJc w:val="left"/>
      <w:pPr>
        <w:tabs>
          <w:tab w:pos="2100" w:val="num"/>
        </w:tabs>
        <w:ind w:hanging="420" w:left="2100"/>
      </w:pPr>
      <w:rPr>
        <w:rFonts w:ascii="Wingdings" w:cs="Wingdings" w:hAnsi="Wingdings" w:hint="default"/>
      </w:rPr>
    </w:lvl>
    <w:lvl w:ilvl="4" w:tplc="04090003">
      <w:start w:val="1"/>
      <w:numFmt w:val="bullet"/>
      <w:lvlText w:val=""/>
      <w:lvlJc w:val="left"/>
      <w:pPr>
        <w:tabs>
          <w:tab w:pos="2520" w:val="num"/>
        </w:tabs>
        <w:ind w:hanging="420" w:left="2520"/>
      </w:pPr>
      <w:rPr>
        <w:rFonts w:ascii="Wingdings" w:cs="Wingdings" w:hAnsi="Wingdings" w:hint="default"/>
      </w:rPr>
    </w:lvl>
    <w:lvl w:ilvl="5" w:tplc="04090005">
      <w:start w:val="1"/>
      <w:numFmt w:val="bullet"/>
      <w:lvlText w:val=""/>
      <w:lvlJc w:val="left"/>
      <w:pPr>
        <w:tabs>
          <w:tab w:pos="2940" w:val="num"/>
        </w:tabs>
        <w:ind w:hanging="420" w:left="2940"/>
      </w:pPr>
      <w:rPr>
        <w:rFonts w:ascii="Wingdings" w:cs="Wingdings" w:hAnsi="Wingdings" w:hint="default"/>
      </w:rPr>
    </w:lvl>
    <w:lvl w:ilvl="6" w:tplc="04090001">
      <w:start w:val="1"/>
      <w:numFmt w:val="bullet"/>
      <w:lvlText w:val=""/>
      <w:lvlJc w:val="left"/>
      <w:pPr>
        <w:tabs>
          <w:tab w:pos="3360" w:val="num"/>
        </w:tabs>
        <w:ind w:hanging="420" w:left="3360"/>
      </w:pPr>
      <w:rPr>
        <w:rFonts w:ascii="Wingdings" w:cs="Wingdings" w:hAnsi="Wingdings" w:hint="default"/>
      </w:rPr>
    </w:lvl>
    <w:lvl w:ilvl="7" w:tplc="04090003">
      <w:start w:val="1"/>
      <w:numFmt w:val="bullet"/>
      <w:lvlText w:val=""/>
      <w:lvlJc w:val="left"/>
      <w:pPr>
        <w:tabs>
          <w:tab w:pos="3780" w:val="num"/>
        </w:tabs>
        <w:ind w:hanging="420" w:left="3780"/>
      </w:pPr>
      <w:rPr>
        <w:rFonts w:ascii="Wingdings" w:cs="Wingdings" w:hAnsi="Wingdings" w:hint="default"/>
      </w:rPr>
    </w:lvl>
    <w:lvl w:ilvl="8" w:tplc="04090005">
      <w:start w:val="1"/>
      <w:numFmt w:val="bullet"/>
      <w:lvlText w:val=""/>
      <w:lvlJc w:val="left"/>
      <w:pPr>
        <w:tabs>
          <w:tab w:pos="4200" w:val="num"/>
        </w:tabs>
        <w:ind w:hanging="420" w:left="4200"/>
      </w:pPr>
      <w:rPr>
        <w:rFonts w:ascii="Wingdings" w:cs="Wingdings" w:hAnsi="Wingdings" w:hint="default"/>
      </w:rPr>
    </w:lvl>
  </w:abstractNum>
  <w:abstractNum w:abstractNumId="1">
    <w:nsid w:val="57E8240C"/>
    <w:multiLevelType w:val="hybridMultilevel"/>
    <w:tmpl w:val="300A7112"/>
    <w:lvl w:ilvl="0" w:tplc="3782FDB8">
      <w:start w:val="1"/>
      <w:numFmt w:val="decimal"/>
      <w:lvlText w:val="（%1）"/>
      <w:lvlJc w:val="left"/>
      <w:pPr>
        <w:tabs>
          <w:tab w:pos="1200" w:val="num"/>
        </w:tabs>
        <w:ind w:hanging="720" w:left="1200"/>
      </w:pPr>
      <w:rPr>
        <w:rFonts w:hint="eastAsia"/>
        <w:sz w:val="24"/>
        <w:szCs w:val="24"/>
      </w:rPr>
    </w:lvl>
    <w:lvl w:ilvl="1" w:tplc="04090019">
      <w:start w:val="1"/>
      <w:numFmt w:val="lowerLetter"/>
      <w:lvlText w:val="%2)"/>
      <w:lvlJc w:val="left"/>
      <w:pPr>
        <w:tabs>
          <w:tab w:pos="1320" w:val="num"/>
        </w:tabs>
        <w:ind w:hanging="420" w:left="1320"/>
      </w:pPr>
    </w:lvl>
    <w:lvl w:ilvl="2" w:tplc="0409001B">
      <w:start w:val="1"/>
      <w:numFmt w:val="lowerRoman"/>
      <w:lvlText w:val="%3."/>
      <w:lvlJc w:val="right"/>
      <w:pPr>
        <w:tabs>
          <w:tab w:pos="1740" w:val="num"/>
        </w:tabs>
        <w:ind w:hanging="420" w:left="1740"/>
      </w:pPr>
    </w:lvl>
    <w:lvl w:ilvl="3" w:tplc="0409000F">
      <w:start w:val="1"/>
      <w:numFmt w:val="decimal"/>
      <w:lvlText w:val="%4."/>
      <w:lvlJc w:val="left"/>
      <w:pPr>
        <w:tabs>
          <w:tab w:pos="2160" w:val="num"/>
        </w:tabs>
        <w:ind w:hanging="420" w:left="2160"/>
      </w:pPr>
    </w:lvl>
    <w:lvl w:ilvl="4" w:tplc="04090019">
      <w:start w:val="1"/>
      <w:numFmt w:val="lowerLetter"/>
      <w:lvlText w:val="%5)"/>
      <w:lvlJc w:val="left"/>
      <w:pPr>
        <w:tabs>
          <w:tab w:pos="2580" w:val="num"/>
        </w:tabs>
        <w:ind w:hanging="420" w:left="2580"/>
      </w:pPr>
    </w:lvl>
    <w:lvl w:ilvl="5" w:tplc="0409001B">
      <w:start w:val="1"/>
      <w:numFmt w:val="lowerRoman"/>
      <w:lvlText w:val="%6."/>
      <w:lvlJc w:val="right"/>
      <w:pPr>
        <w:tabs>
          <w:tab w:pos="3000" w:val="num"/>
        </w:tabs>
        <w:ind w:hanging="420" w:left="3000"/>
      </w:pPr>
    </w:lvl>
    <w:lvl w:ilvl="6" w:tplc="0409000F">
      <w:start w:val="1"/>
      <w:numFmt w:val="decimal"/>
      <w:lvlText w:val="%7."/>
      <w:lvlJc w:val="left"/>
      <w:pPr>
        <w:tabs>
          <w:tab w:pos="3420" w:val="num"/>
        </w:tabs>
        <w:ind w:hanging="420" w:left="3420"/>
      </w:pPr>
    </w:lvl>
    <w:lvl w:ilvl="7" w:tplc="04090019">
      <w:start w:val="1"/>
      <w:numFmt w:val="lowerLetter"/>
      <w:lvlText w:val="%8)"/>
      <w:lvlJc w:val="left"/>
      <w:pPr>
        <w:tabs>
          <w:tab w:pos="3840" w:val="num"/>
        </w:tabs>
        <w:ind w:hanging="420" w:left="3840"/>
      </w:pPr>
    </w:lvl>
    <w:lvl w:ilvl="8" w:tplc="0409001B">
      <w:start w:val="1"/>
      <w:numFmt w:val="lowerRoman"/>
      <w:lvlText w:val="%9."/>
      <w:lvlJc w:val="right"/>
      <w:pPr>
        <w:tabs>
          <w:tab w:pos="4260" w:val="num"/>
        </w:tabs>
        <w:ind w:hanging="420" w:left="4260"/>
      </w:pPr>
    </w:lvl>
  </w:abstractNum>
  <w:abstractNum w:abstractNumId="2">
    <w:nsid w:val="7EC34207"/>
    <w:multiLevelType w:val="hybridMultilevel"/>
    <w:tmpl w:val="58FC50DE"/>
    <w:lvl w:ilvl="0" w:tplc="788C0680">
      <w:start w:val="1"/>
      <w:numFmt w:val="japaneseCounting"/>
      <w:lvlText w:val="%1、"/>
      <w:lvlJc w:val="left"/>
      <w:pPr>
        <w:tabs>
          <w:tab w:pos="480" w:val="num"/>
        </w:tabs>
        <w:ind w:hanging="480" w:left="480"/>
      </w:pPr>
      <w:rPr>
        <w:rFonts w:eastAsia="宋体" w:hint="eastAsia"/>
        <w:color w:val="auto"/>
      </w:rPr>
    </w:lvl>
    <w:lvl w:ilvl="1" w:tplc="D5ACC954">
      <w:start w:val="1"/>
      <w:numFmt w:val="japaneseCounting"/>
      <w:lvlText w:val="(%2)"/>
      <w:lvlJc w:val="left"/>
      <w:pPr>
        <w:tabs>
          <w:tab w:pos="810" w:val="num"/>
        </w:tabs>
        <w:ind w:hanging="390" w:left="810"/>
      </w:pPr>
      <w:rPr>
        <w:rFonts w:hint="eastAsia"/>
      </w:rPr>
    </w:lvl>
    <w:lvl w:ilvl="2" w:tplc="E2F6B948">
      <w:start w:val="1"/>
      <w:numFmt w:val="decimal"/>
      <w:lvlText w:val="%3、"/>
      <w:lvlJc w:val="left"/>
      <w:pPr>
        <w:tabs>
          <w:tab w:pos="1200" w:val="num"/>
        </w:tabs>
        <w:ind w:hanging="360" w:left="1200"/>
      </w:pPr>
      <w:rPr>
        <w:rFonts w:hint="eastAsia"/>
      </w:rPr>
    </w:lvl>
    <w:lvl w:ilvl="3" w:tplc="0409000F">
      <w:start w:val="1"/>
      <w:numFmt w:val="decimal"/>
      <w:lvlText w:val="%4."/>
      <w:lvlJc w:val="left"/>
      <w:pPr>
        <w:tabs>
          <w:tab w:pos="1680" w:val="num"/>
        </w:tabs>
        <w:ind w:hanging="420" w:left="1680"/>
      </w:pPr>
    </w:lvl>
    <w:lvl w:ilvl="4" w:tplc="04090019">
      <w:start w:val="1"/>
      <w:numFmt w:val="lowerLetter"/>
      <w:lvlText w:val="%5)"/>
      <w:lvlJc w:val="left"/>
      <w:pPr>
        <w:tabs>
          <w:tab w:pos="2100" w:val="num"/>
        </w:tabs>
        <w:ind w:hanging="420" w:left="2100"/>
      </w:pPr>
    </w:lvl>
    <w:lvl w:ilvl="5" w:tplc="0409001B">
      <w:start w:val="1"/>
      <w:numFmt w:val="lowerRoman"/>
      <w:lvlText w:val="%6."/>
      <w:lvlJc w:val="right"/>
      <w:pPr>
        <w:tabs>
          <w:tab w:pos="2520" w:val="num"/>
        </w:tabs>
        <w:ind w:hanging="420" w:left="2520"/>
      </w:pPr>
    </w:lvl>
    <w:lvl w:ilvl="6" w:tplc="0409000F">
      <w:start w:val="1"/>
      <w:numFmt w:val="decimal"/>
      <w:lvlText w:val="%7."/>
      <w:lvlJc w:val="left"/>
      <w:pPr>
        <w:tabs>
          <w:tab w:pos="2940" w:val="num"/>
        </w:tabs>
        <w:ind w:hanging="420" w:left="2940"/>
      </w:pPr>
    </w:lvl>
    <w:lvl w:ilvl="7" w:tplc="04090019">
      <w:start w:val="1"/>
      <w:numFmt w:val="lowerLetter"/>
      <w:lvlText w:val="%8)"/>
      <w:lvlJc w:val="left"/>
      <w:pPr>
        <w:tabs>
          <w:tab w:pos="3360" w:val="num"/>
        </w:tabs>
        <w:ind w:hanging="420" w:left="3360"/>
      </w:pPr>
    </w:lvl>
    <w:lvl w:ilvl="8" w:tplc="0409001B">
      <w:start w:val="1"/>
      <w:numFmt w:val="lowerRoman"/>
      <w:lvlText w:val="%9."/>
      <w:lvlJc w:val="right"/>
      <w:pPr>
        <w:tabs>
          <w:tab w:pos="3780" w:val="num"/>
        </w:tabs>
        <w:ind w:hanging="420" w:left="378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spidmax="8194"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7D5"/>
    <w:rsid w:val="00171EF0"/>
    <w:rsid w:val="001761D2"/>
    <w:rsid w:val="00176C21"/>
    <w:rsid w:val="001830D7"/>
    <w:rsid w:val="00185A34"/>
    <w:rsid w:val="001934F6"/>
    <w:rsid w:val="00196E6C"/>
    <w:rsid w:val="001A73E8"/>
    <w:rsid w:val="001B0A62"/>
    <w:rsid w:val="001B2F35"/>
    <w:rsid w:val="001B4DD6"/>
    <w:rsid w:val="001B5607"/>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70E2"/>
    <w:rsid w:val="0035076C"/>
    <w:rsid w:val="00352719"/>
    <w:rsid w:val="0035383E"/>
    <w:rsid w:val="00355364"/>
    <w:rsid w:val="00364CCB"/>
    <w:rsid w:val="00365798"/>
    <w:rsid w:val="00381EE8"/>
    <w:rsid w:val="0039085F"/>
    <w:rsid w:val="00394069"/>
    <w:rsid w:val="00396809"/>
    <w:rsid w:val="003A58DC"/>
    <w:rsid w:val="003A6061"/>
    <w:rsid w:val="003B3494"/>
    <w:rsid w:val="003B5E08"/>
    <w:rsid w:val="003B6FBC"/>
    <w:rsid w:val="003C32C0"/>
    <w:rsid w:val="003C50AD"/>
    <w:rsid w:val="003D742E"/>
    <w:rsid w:val="003E62FB"/>
    <w:rsid w:val="003E6867"/>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7F58"/>
    <w:rsid w:val="00433805"/>
    <w:rsid w:val="00443869"/>
    <w:rsid w:val="00443ABF"/>
    <w:rsid w:val="00460575"/>
    <w:rsid w:val="00463EC0"/>
    <w:rsid w:val="00464787"/>
    <w:rsid w:val="00471408"/>
    <w:rsid w:val="00480B35"/>
    <w:rsid w:val="004858E0"/>
    <w:rsid w:val="00491C81"/>
    <w:rsid w:val="004934E9"/>
    <w:rsid w:val="004943C2"/>
    <w:rsid w:val="004949F3"/>
    <w:rsid w:val="004A11A7"/>
    <w:rsid w:val="004A459C"/>
    <w:rsid w:val="004A7B1D"/>
    <w:rsid w:val="004B2AF4"/>
    <w:rsid w:val="004C0914"/>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9FA"/>
    <w:rsid w:val="005B2E9C"/>
    <w:rsid w:val="005B3CC0"/>
    <w:rsid w:val="005B4F93"/>
    <w:rsid w:val="005B73D2"/>
    <w:rsid w:val="005D2B36"/>
    <w:rsid w:val="005E475E"/>
    <w:rsid w:val="005F118D"/>
    <w:rsid w:val="005F399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4C04"/>
    <w:rsid w:val="007B5AFB"/>
    <w:rsid w:val="007B5F21"/>
    <w:rsid w:val="007C395A"/>
    <w:rsid w:val="007C5862"/>
    <w:rsid w:val="007D0922"/>
    <w:rsid w:val="007D100C"/>
    <w:rsid w:val="007E2686"/>
    <w:rsid w:val="007E57C0"/>
    <w:rsid w:val="007F29B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5186"/>
    <w:rsid w:val="009C60F7"/>
    <w:rsid w:val="009D0952"/>
    <w:rsid w:val="009E19A9"/>
    <w:rsid w:val="009E31DA"/>
    <w:rsid w:val="009E402C"/>
    <w:rsid w:val="009E7C6A"/>
    <w:rsid w:val="009F3659"/>
    <w:rsid w:val="009F4861"/>
    <w:rsid w:val="009F61BE"/>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B11A78"/>
    <w:rsid w:val="00B11BE5"/>
    <w:rsid w:val="00B12B7D"/>
    <w:rsid w:val="00B16985"/>
    <w:rsid w:val="00B22DEE"/>
    <w:rsid w:val="00B27479"/>
    <w:rsid w:val="00B32AA7"/>
    <w:rsid w:val="00B34678"/>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70E0"/>
    <w:rsid w:val="00BD7473"/>
    <w:rsid w:val="00BD7703"/>
    <w:rsid w:val="00BE14ED"/>
    <w:rsid w:val="00BE420D"/>
    <w:rsid w:val="00BE5388"/>
    <w:rsid w:val="00BF0019"/>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473F"/>
    <w:rsid w:val="00CF04CF"/>
    <w:rsid w:val="00CF2D3E"/>
    <w:rsid w:val="00CF6572"/>
    <w:rsid w:val="00D01FE6"/>
    <w:rsid w:val="00D02347"/>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E27F7"/>
    <w:rsid w:val="00DE4B43"/>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8194"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nhideWhenUsed="0"/>
    <w:lsdException w:name="heading 2" w:qFormat="1"/>
    <w:lsdException w:name="heading 3" w:qFormat="1"/>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uiPriority="35"/>
    <w:lsdException w:name="footnote reference" w:uiPriority="0"/>
    <w:lsdException w:name="Title" w:qFormat="1" w:semiHidden="0" w:unhideWhenUsed="0"/>
    <w:lsdException w:name="Default Paragraph Font" w:uiPriority="1"/>
    <w:lsdException w:name="Subtitle" w:qFormat="1" w:semiHidden="0" w:uiPriority="11" w:unhideWhenUsed="0"/>
    <w:lsdException w:name="Date" w:uiPriority="0"/>
    <w:lsdException w:name="Strong" w:qFormat="1" w:semiHidden="0" w:uiPriority="22" w:unhideWhenUsed="0"/>
    <w:lsdException w:name="Emphasis" w:qFormat="1" w:semiHidden="0" w:uiPriority="20" w:unhideWhenUsed="0"/>
    <w:lsdException w:name="Table Grid" w:qFormat="1" w:semiHidden="0" w:uiPriority="0"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4061AC"/>
    <w:pPr>
      <w:widowControl w:val="0"/>
      <w:jc w:val="both"/>
    </w:pPr>
    <w:rPr>
      <w:rFonts w:ascii="Times New Roman" w:cs="Times New Roman" w:eastAsia="宋体" w:hAnsi="Times New Roman"/>
      <w:szCs w:val="21"/>
    </w:rPr>
  </w:style>
  <w:style w:styleId="1" w:type="paragraph">
    <w:name w:val="heading 1"/>
    <w:basedOn w:val="a"/>
    <w:next w:val="a"/>
    <w:link w:val="1Char"/>
    <w:uiPriority w:val="99"/>
    <w:qFormat/>
    <w:rsid w:val="004061AC"/>
    <w:pPr>
      <w:keepNext/>
      <w:keepLines/>
      <w:spacing w:after="330" w:before="340" w:line="578" w:lineRule="auto"/>
      <w:outlineLvl w:val="0"/>
    </w:pPr>
    <w:rPr>
      <w:b/>
      <w:bCs/>
      <w:kern w:val="44"/>
      <w:sz w:val="44"/>
      <w:szCs w:val="44"/>
    </w:rPr>
  </w:style>
  <w:style w:styleId="2" w:type="paragraph">
    <w:name w:val="heading 2"/>
    <w:basedOn w:val="a"/>
    <w:next w:val="a0"/>
    <w:link w:val="2Char"/>
    <w:uiPriority w:val="99"/>
    <w:qFormat/>
    <w:rsid w:val="004061AC"/>
    <w:pPr>
      <w:keepNext/>
      <w:keepLines/>
      <w:spacing w:after="260" w:before="260" w:line="360" w:lineRule="auto"/>
      <w:outlineLvl w:val="1"/>
    </w:pPr>
    <w:rPr>
      <w:rFonts w:ascii="Arial" w:cs="Arial" w:hAnsi="Arial"/>
      <w:b/>
      <w:bCs/>
      <w:sz w:val="24"/>
      <w:szCs w:val="24"/>
    </w:rPr>
  </w:style>
  <w:style w:styleId="3" w:type="paragraph">
    <w:name w:val="heading 3"/>
    <w:basedOn w:val="a"/>
    <w:next w:val="a"/>
    <w:link w:val="3Char"/>
    <w:uiPriority w:val="99"/>
    <w:qFormat/>
    <w:rsid w:val="004061AC"/>
    <w:pPr>
      <w:keepNext/>
      <w:keepLines/>
      <w:spacing w:after="260" w:before="260" w:line="416" w:lineRule="auto"/>
      <w:outlineLvl w:val="2"/>
    </w:pPr>
    <w:rPr>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qFormat/>
    <w:tblPr>
      <w:tblInd w:type="dxa" w:w="0"/>
      <w:tblCellMar>
        <w:top w:type="dxa" w:w="0"/>
        <w:left w:type="dxa" w:w="108"/>
        <w:bottom w:type="dxa" w:w="0"/>
        <w:right w:type="dxa" w:w="108"/>
      </w:tblCellMar>
    </w:tblPr>
  </w:style>
  <w:style w:default="1" w:styleId="a3" w:type="numbering">
    <w:name w:val="No List"/>
    <w:uiPriority w:val="99"/>
    <w:semiHidden/>
    <w:unhideWhenUsed/>
  </w:style>
  <w:style w:customStyle="1" w:styleId="1Char" w:type="character">
    <w:name w:val="标题 1 Char"/>
    <w:basedOn w:val="a1"/>
    <w:link w:val="1"/>
    <w:uiPriority w:val="99"/>
    <w:rsid w:val="004061AC"/>
    <w:rPr>
      <w:rFonts w:ascii="Times New Roman" w:cs="Times New Roman" w:eastAsia="宋体" w:hAnsi="Times New Roman"/>
      <w:b/>
      <w:bCs/>
      <w:kern w:val="44"/>
      <w:sz w:val="44"/>
      <w:szCs w:val="44"/>
    </w:rPr>
  </w:style>
  <w:style w:customStyle="1" w:styleId="2Char" w:type="character">
    <w:name w:val="标题 2 Char"/>
    <w:basedOn w:val="a1"/>
    <w:link w:val="2"/>
    <w:uiPriority w:val="99"/>
    <w:rsid w:val="004061AC"/>
    <w:rPr>
      <w:rFonts w:ascii="Arial" w:cs="Arial" w:eastAsia="宋体" w:hAnsi="Arial"/>
      <w:b/>
      <w:bCs/>
      <w:sz w:val="24"/>
      <w:szCs w:val="24"/>
    </w:rPr>
  </w:style>
  <w:style w:customStyle="1" w:styleId="3Char" w:type="character">
    <w:name w:val="标题 3 Char"/>
    <w:basedOn w:val="a1"/>
    <w:link w:val="3"/>
    <w:uiPriority w:val="99"/>
    <w:rsid w:val="004061AC"/>
    <w:rPr>
      <w:rFonts w:ascii="Times New Roman" w:cs="Times New Roman" w:eastAsia="宋体" w:hAnsi="Times New Roman"/>
      <w:b/>
      <w:bCs/>
      <w:sz w:val="32"/>
      <w:szCs w:val="32"/>
    </w:rPr>
  </w:style>
  <w:style w:styleId="a0" w:type="paragraph">
    <w:name w:val="Normal Indent"/>
    <w:basedOn w:val="a"/>
    <w:uiPriority w:val="99"/>
    <w:rsid w:val="004061AC"/>
    <w:pPr>
      <w:ind w:firstLine="420" w:firstLineChars="200"/>
    </w:pPr>
  </w:style>
  <w:style w:styleId="a4" w:type="paragraph">
    <w:name w:val="Body Text Indent"/>
    <w:basedOn w:val="a"/>
    <w:link w:val="Char"/>
    <w:uiPriority w:val="99"/>
    <w:rsid w:val="004061AC"/>
    <w:pPr>
      <w:widowControl/>
      <w:spacing w:after="100" w:afterAutospacing="1" w:before="100" w:beforeAutospacing="1"/>
      <w:jc w:val="left"/>
    </w:pPr>
    <w:rPr>
      <w:rFonts w:ascii="Arial Unicode MS" w:cs="Arial Unicode MS" w:eastAsia="Arial Unicode MS" w:hAnsi="Arial Unicode MS"/>
      <w:kern w:val="0"/>
      <w:sz w:val="24"/>
      <w:szCs w:val="24"/>
    </w:rPr>
  </w:style>
  <w:style w:customStyle="1" w:styleId="Char" w:type="character">
    <w:name w:val="正文文本缩进 Char"/>
    <w:basedOn w:val="a1"/>
    <w:link w:val="a4"/>
    <w:uiPriority w:val="99"/>
    <w:rsid w:val="004061AC"/>
    <w:rPr>
      <w:rFonts w:ascii="Arial Unicode MS" w:cs="Arial Unicode MS" w:eastAsia="Arial Unicode MS" w:hAnsi="Arial Unicode MS"/>
      <w:kern w:val="0"/>
      <w:sz w:val="24"/>
      <w:szCs w:val="24"/>
    </w:rPr>
  </w:style>
  <w:style w:styleId="a5" w:type="paragraph">
    <w:name w:val="Plain Text"/>
    <w:basedOn w:val="a"/>
    <w:link w:val="Char0"/>
    <w:uiPriority w:val="99"/>
    <w:rsid w:val="004061AC"/>
    <w:rPr>
      <w:rFonts w:ascii="宋体" w:cs="宋体" w:hAnsi="Courier New"/>
    </w:rPr>
  </w:style>
  <w:style w:customStyle="1" w:styleId="Char0" w:type="character">
    <w:name w:val="纯文本 Char"/>
    <w:basedOn w:val="a1"/>
    <w:link w:val="a5"/>
    <w:uiPriority w:val="99"/>
    <w:rsid w:val="004061AC"/>
    <w:rPr>
      <w:rFonts w:ascii="宋体" w:cs="宋体" w:eastAsia="宋体" w:hAnsi="Courier New"/>
      <w:szCs w:val="21"/>
    </w:rPr>
  </w:style>
  <w:style w:styleId="20" w:type="paragraph">
    <w:name w:val="Body Text Indent 2"/>
    <w:basedOn w:val="a"/>
    <w:link w:val="2Char0"/>
    <w:uiPriority w:val="99"/>
    <w:rsid w:val="004061AC"/>
    <w:pPr>
      <w:spacing w:line="560" w:lineRule="exact"/>
      <w:ind w:firstLine="480" w:firstLineChars="200"/>
    </w:pPr>
    <w:rPr>
      <w:rFonts w:ascii="宋体" w:cs="宋体" w:hAnsi="宋体"/>
      <w:color w:val="FF0000"/>
      <w:sz w:val="24"/>
      <w:szCs w:val="24"/>
    </w:rPr>
  </w:style>
  <w:style w:customStyle="1" w:styleId="2Char0" w:type="character">
    <w:name w:val="正文文本缩进 2 Char"/>
    <w:basedOn w:val="a1"/>
    <w:link w:val="20"/>
    <w:uiPriority w:val="99"/>
    <w:rsid w:val="004061AC"/>
    <w:rPr>
      <w:rFonts w:ascii="宋体" w:cs="宋体" w:eastAsia="宋体" w:hAnsi="宋体"/>
      <w:color w:val="FF0000"/>
      <w:sz w:val="24"/>
      <w:szCs w:val="24"/>
    </w:rPr>
  </w:style>
  <w:style w:styleId="a6" w:type="paragraph">
    <w:name w:val="footer"/>
    <w:basedOn w:val="a"/>
    <w:link w:val="Char1"/>
    <w:rsid w:val="004061AC"/>
    <w:pPr>
      <w:tabs>
        <w:tab w:pos="4153" w:val="center"/>
        <w:tab w:pos="8306" w:val="right"/>
      </w:tabs>
      <w:snapToGrid w:val="0"/>
      <w:jc w:val="left"/>
    </w:pPr>
    <w:rPr>
      <w:sz w:val="18"/>
      <w:szCs w:val="18"/>
    </w:rPr>
  </w:style>
  <w:style w:customStyle="1" w:styleId="Char1" w:type="character">
    <w:name w:val="页脚 Char"/>
    <w:basedOn w:val="a1"/>
    <w:link w:val="a6"/>
    <w:uiPriority w:val="99"/>
    <w:rsid w:val="004061AC"/>
    <w:rPr>
      <w:rFonts w:ascii="Times New Roman" w:cs="Times New Roman" w:eastAsia="宋体" w:hAnsi="Times New Roman"/>
      <w:sz w:val="18"/>
      <w:szCs w:val="18"/>
    </w:rPr>
  </w:style>
  <w:style w:styleId="a7" w:type="character">
    <w:name w:val="page number"/>
    <w:basedOn w:val="a1"/>
    <w:uiPriority w:val="99"/>
    <w:rsid w:val="004061AC"/>
  </w:style>
  <w:style w:styleId="a8" w:type="character">
    <w:name w:val="Hyperlink"/>
    <w:basedOn w:val="a1"/>
    <w:uiPriority w:val="99"/>
    <w:rsid w:val="004061AC"/>
    <w:rPr>
      <w:color w:val="0000FF"/>
      <w:u w:val="single"/>
    </w:rPr>
  </w:style>
  <w:style w:styleId="30" w:type="paragraph">
    <w:name w:val="Body Text Indent 3"/>
    <w:basedOn w:val="a"/>
    <w:link w:val="3Char0"/>
    <w:uiPriority w:val="99"/>
    <w:rsid w:val="004061AC"/>
    <w:pPr>
      <w:spacing w:line="560" w:lineRule="exact"/>
      <w:ind w:firstLine="420" w:firstLineChars="200"/>
    </w:pPr>
    <w:rPr>
      <w:rFonts w:ascii="Arial" w:cs="Arial" w:hAnsi="Arial"/>
      <w:color w:val="FF0000"/>
    </w:rPr>
  </w:style>
  <w:style w:customStyle="1" w:styleId="3Char0" w:type="character">
    <w:name w:val="正文文本缩进 3 Char"/>
    <w:basedOn w:val="a1"/>
    <w:link w:val="30"/>
    <w:uiPriority w:val="99"/>
    <w:rsid w:val="004061AC"/>
    <w:rPr>
      <w:rFonts w:ascii="Arial" w:cs="Arial" w:eastAsia="宋体" w:hAnsi="Arial"/>
      <w:color w:val="FF0000"/>
      <w:szCs w:val="21"/>
    </w:rPr>
  </w:style>
  <w:style w:styleId="a9" w:type="paragraph">
    <w:name w:val="header"/>
    <w:basedOn w:val="a"/>
    <w:link w:val="Char2"/>
    <w:uiPriority w:val="99"/>
    <w:rsid w:val="004061AC"/>
    <w:pPr>
      <w:pBdr>
        <w:bottom w:color="auto" w:space="1" w:sz="6" w:val="single"/>
      </w:pBdr>
      <w:tabs>
        <w:tab w:pos="4153" w:val="center"/>
        <w:tab w:pos="8306" w:val="right"/>
      </w:tabs>
      <w:snapToGrid w:val="0"/>
      <w:jc w:val="center"/>
    </w:pPr>
    <w:rPr>
      <w:sz w:val="18"/>
      <w:szCs w:val="18"/>
    </w:rPr>
  </w:style>
  <w:style w:customStyle="1" w:styleId="Char2" w:type="character">
    <w:name w:val="页眉 Char"/>
    <w:basedOn w:val="a1"/>
    <w:link w:val="a9"/>
    <w:uiPriority w:val="99"/>
    <w:rsid w:val="004061AC"/>
    <w:rPr>
      <w:rFonts w:ascii="Times New Roman" w:cs="Times New Roman" w:eastAsia="宋体" w:hAnsi="Times New Roman"/>
      <w:sz w:val="18"/>
      <w:szCs w:val="18"/>
    </w:rPr>
  </w:style>
  <w:style w:styleId="aa" w:type="character">
    <w:name w:val="FollowedHyperlink"/>
    <w:basedOn w:val="a1"/>
    <w:uiPriority w:val="99"/>
    <w:rsid w:val="004061AC"/>
    <w:rPr>
      <w:color w:val="800080"/>
      <w:u w:val="single"/>
    </w:rPr>
  </w:style>
  <w:style w:styleId="ab" w:type="paragraph">
    <w:name w:val="List"/>
    <w:basedOn w:val="ac"/>
    <w:uiPriority w:val="99"/>
    <w:rsid w:val="004061AC"/>
    <w:pPr>
      <w:spacing w:after="220" w:line="220" w:lineRule="atLeast"/>
      <w:ind w:hanging="360" w:left="1440"/>
    </w:pPr>
  </w:style>
  <w:style w:styleId="ac" w:type="paragraph">
    <w:name w:val="Body Text"/>
    <w:basedOn w:val="a"/>
    <w:link w:val="Char3"/>
    <w:uiPriority w:val="99"/>
    <w:rsid w:val="004061AC"/>
    <w:pPr>
      <w:spacing w:after="120"/>
    </w:pPr>
  </w:style>
  <w:style w:customStyle="1" w:styleId="Char3" w:type="character">
    <w:name w:val="正文文本 Char"/>
    <w:basedOn w:val="a1"/>
    <w:link w:val="ac"/>
    <w:uiPriority w:val="99"/>
    <w:rsid w:val="004061AC"/>
    <w:rPr>
      <w:rFonts w:ascii="Times New Roman" w:cs="Times New Roman" w:eastAsia="宋体" w:hAnsi="Times New Roman"/>
      <w:szCs w:val="21"/>
    </w:rPr>
  </w:style>
  <w:style w:styleId="ad" w:type="paragraph">
    <w:name w:val="Date"/>
    <w:basedOn w:val="a"/>
    <w:next w:val="a"/>
    <w:link w:val="Char4"/>
    <w:rsid w:val="004061AC"/>
    <w:rPr>
      <w:sz w:val="24"/>
      <w:szCs w:val="24"/>
    </w:rPr>
  </w:style>
  <w:style w:customStyle="1" w:styleId="Char4" w:type="character">
    <w:name w:val="日期 Char"/>
    <w:basedOn w:val="a1"/>
    <w:link w:val="ad"/>
    <w:rsid w:val="004061AC"/>
    <w:rPr>
      <w:rFonts w:ascii="Times New Roman" w:cs="Times New Roman" w:eastAsia="宋体" w:hAnsi="Times New Roman"/>
      <w:sz w:val="24"/>
      <w:szCs w:val="24"/>
    </w:rPr>
  </w:style>
  <w:style w:customStyle="1" w:styleId="c1" w:type="character">
    <w:name w:val="c1"/>
    <w:basedOn w:val="a1"/>
    <w:uiPriority w:val="99"/>
    <w:rsid w:val="004061AC"/>
    <w:rPr>
      <w:color w:val="000000"/>
      <w:sz w:val="18"/>
      <w:szCs w:val="18"/>
    </w:rPr>
  </w:style>
  <w:style w:styleId="10" w:type="paragraph">
    <w:name w:val="index 1"/>
    <w:basedOn w:val="a"/>
    <w:next w:val="a"/>
    <w:autoRedefine/>
    <w:uiPriority w:val="99"/>
    <w:semiHidden/>
    <w:rsid w:val="004061AC"/>
    <w:pPr>
      <w:jc w:val="right"/>
    </w:pPr>
    <w:rPr>
      <w:color w:val="008000"/>
    </w:rPr>
  </w:style>
  <w:style w:customStyle="1" w:styleId="font5" w:type="paragraph">
    <w:name w:val="font5"/>
    <w:basedOn w:val="a"/>
    <w:uiPriority w:val="99"/>
    <w:rsid w:val="004061AC"/>
    <w:pPr>
      <w:widowControl/>
      <w:spacing w:after="100" w:afterAutospacing="1" w:before="100" w:beforeAutospacing="1"/>
      <w:jc w:val="left"/>
    </w:pPr>
    <w:rPr>
      <w:rFonts w:ascii="宋体" w:cs="宋体" w:hAnsi="宋体"/>
      <w:kern w:val="0"/>
      <w:sz w:val="18"/>
      <w:szCs w:val="18"/>
    </w:rPr>
  </w:style>
  <w:style w:customStyle="1" w:styleId="xl24" w:type="paragraph">
    <w:name w:val="xl24"/>
    <w:basedOn w:val="a"/>
    <w:uiPriority w:val="99"/>
    <w:rsid w:val="004061AC"/>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szCs w:val="24"/>
    </w:rPr>
  </w:style>
  <w:style w:customStyle="1" w:styleId="xl26" w:type="paragraph">
    <w:name w:val="xl26"/>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7" w:type="paragraph">
    <w:name w:val="xl27"/>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29" w:type="paragraph">
    <w:name w:val="xl29"/>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0" w:type="paragraph">
    <w:name w:val="xl30"/>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szCs w:val="24"/>
    </w:rPr>
  </w:style>
  <w:style w:customStyle="1" w:styleId="xl31" w:type="paragraph">
    <w:name w:val="xl31"/>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uiPriority w:val="99"/>
    <w:rsid w:val="004061AC"/>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uiPriority w:val="99"/>
    <w:rsid w:val="004061AC"/>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uiPriority w:val="99"/>
    <w:rsid w:val="004061AC"/>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styleId="ae" w:type="paragraph">
    <w:name w:val="Balloon Text"/>
    <w:basedOn w:val="a"/>
    <w:link w:val="Char5"/>
    <w:uiPriority w:val="99"/>
    <w:semiHidden/>
    <w:rsid w:val="004061AC"/>
    <w:rPr>
      <w:sz w:val="18"/>
      <w:szCs w:val="18"/>
    </w:rPr>
  </w:style>
  <w:style w:customStyle="1" w:styleId="Char5" w:type="character">
    <w:name w:val="批注框文本 Char"/>
    <w:basedOn w:val="a1"/>
    <w:link w:val="ae"/>
    <w:uiPriority w:val="99"/>
    <w:semiHidden/>
    <w:rsid w:val="004061AC"/>
    <w:rPr>
      <w:rFonts w:ascii="Times New Roman" w:cs="Times New Roman" w:eastAsia="宋体" w:hAnsi="Times New Roman"/>
      <w:sz w:val="18"/>
      <w:szCs w:val="18"/>
    </w:rPr>
  </w:style>
  <w:style w:styleId="af" w:type="character">
    <w:name w:val="annotation reference"/>
    <w:basedOn w:val="a1"/>
    <w:uiPriority w:val="99"/>
    <w:semiHidden/>
    <w:rsid w:val="004061AC"/>
    <w:rPr>
      <w:sz w:val="21"/>
      <w:szCs w:val="21"/>
    </w:rPr>
  </w:style>
  <w:style w:styleId="af0" w:type="paragraph">
    <w:name w:val="annotation text"/>
    <w:basedOn w:val="a"/>
    <w:link w:val="Char6"/>
    <w:uiPriority w:val="99"/>
    <w:semiHidden/>
    <w:rsid w:val="004061AC"/>
    <w:pPr>
      <w:jc w:val="left"/>
    </w:pPr>
  </w:style>
  <w:style w:customStyle="1" w:styleId="Char6" w:type="character">
    <w:name w:val="批注文字 Char"/>
    <w:basedOn w:val="a1"/>
    <w:link w:val="af0"/>
    <w:uiPriority w:val="99"/>
    <w:semiHidden/>
    <w:rsid w:val="004061AC"/>
    <w:rPr>
      <w:rFonts w:ascii="Times New Roman" w:cs="Times New Roman" w:eastAsia="宋体" w:hAnsi="Times New Roman"/>
      <w:szCs w:val="21"/>
    </w:rPr>
  </w:style>
  <w:style w:styleId="af1" w:type="paragraph">
    <w:name w:val="annotation subject"/>
    <w:basedOn w:val="af0"/>
    <w:next w:val="af0"/>
    <w:link w:val="Char7"/>
    <w:uiPriority w:val="99"/>
    <w:semiHidden/>
    <w:rsid w:val="004061AC"/>
    <w:rPr>
      <w:b/>
      <w:bCs/>
    </w:rPr>
  </w:style>
  <w:style w:customStyle="1" w:styleId="Char7" w:type="character">
    <w:name w:val="批注主题 Char"/>
    <w:basedOn w:val="Char6"/>
    <w:link w:val="af1"/>
    <w:uiPriority w:val="99"/>
    <w:semiHidden/>
    <w:rsid w:val="004061AC"/>
    <w:rPr>
      <w:rFonts w:ascii="Times New Roman" w:cs="Times New Roman" w:eastAsia="宋体" w:hAnsi="Times New Roman"/>
      <w:b/>
      <w:bCs/>
      <w:szCs w:val="21"/>
    </w:rPr>
  </w:style>
  <w:style w:customStyle="1" w:styleId="Char8" w:type="paragraph">
    <w:name w:val="Char"/>
    <w:basedOn w:val="a"/>
    <w:uiPriority w:val="99"/>
    <w:rsid w:val="004061AC"/>
  </w:style>
  <w:style w:styleId="af2" w:type="paragraph">
    <w:name w:val="Document Map"/>
    <w:basedOn w:val="a"/>
    <w:link w:val="Char9"/>
    <w:uiPriority w:val="99"/>
    <w:semiHidden/>
    <w:rsid w:val="004061AC"/>
    <w:pPr>
      <w:shd w:color="auto" w:fill="000080" w:val="clear"/>
    </w:pPr>
  </w:style>
  <w:style w:customStyle="1" w:styleId="Char9" w:type="character">
    <w:name w:val="文档结构图 Char"/>
    <w:basedOn w:val="a1"/>
    <w:link w:val="af2"/>
    <w:uiPriority w:val="99"/>
    <w:semiHidden/>
    <w:rsid w:val="004061AC"/>
    <w:rPr>
      <w:rFonts w:ascii="Times New Roman" w:cs="Times New Roman" w:eastAsia="宋体" w:hAnsi="Times New Roman"/>
      <w:szCs w:val="21"/>
      <w:shd w:color="auto" w:fill="000080" w:val="clear"/>
    </w:rPr>
  </w:style>
  <w:style w:customStyle="1" w:styleId="af3" w:type="paragraph">
    <w:name w:val="正文 + (符号) 宋体"/>
    <w:aliases w:val="小四,紧缩量  0.2 磅"/>
    <w:basedOn w:val="a"/>
    <w:uiPriority w:val="99"/>
    <w:rsid w:val="004061AC"/>
    <w:pPr>
      <w:autoSpaceDE w:val="0"/>
      <w:autoSpaceDN w:val="0"/>
      <w:adjustRightInd w:val="0"/>
      <w:ind w:firstLine="1229" w:firstLineChars="512" w:right="1409" w:rightChars="671"/>
      <w:jc w:val="distribute"/>
    </w:pPr>
    <w:rPr>
      <w:sz w:val="24"/>
      <w:szCs w:val="24"/>
    </w:rPr>
  </w:style>
  <w:style w:styleId="af4" w:type="paragraph">
    <w:name w:val="footnote text"/>
    <w:basedOn w:val="a"/>
    <w:link w:val="Chara"/>
    <w:rsid w:val="004061AC"/>
    <w:pPr>
      <w:snapToGrid w:val="0"/>
      <w:jc w:val="left"/>
    </w:pPr>
    <w:rPr>
      <w:sz w:val="18"/>
      <w:szCs w:val="18"/>
    </w:rPr>
  </w:style>
  <w:style w:customStyle="1" w:styleId="Chara" w:type="character">
    <w:name w:val="脚注文本 Char"/>
    <w:basedOn w:val="a1"/>
    <w:link w:val="af4"/>
    <w:rsid w:val="004061AC"/>
    <w:rPr>
      <w:rFonts w:ascii="Times New Roman" w:cs="Times New Roman" w:eastAsia="宋体" w:hAnsi="Times New Roman"/>
      <w:sz w:val="18"/>
      <w:szCs w:val="18"/>
    </w:rPr>
  </w:style>
  <w:style w:styleId="af5" w:type="character">
    <w:name w:val="footnote reference"/>
    <w:basedOn w:val="a1"/>
    <w:rsid w:val="004061AC"/>
    <w:rPr>
      <w:vertAlign w:val="superscript"/>
    </w:rPr>
  </w:style>
  <w:style w:styleId="af6" w:type="paragraph">
    <w:name w:val="Normal (Web)"/>
    <w:basedOn w:val="a"/>
    <w:uiPriority w:val="99"/>
    <w:rsid w:val="004061AC"/>
    <w:pPr>
      <w:widowControl/>
      <w:spacing w:after="100" w:afterAutospacing="1" w:before="100" w:beforeAutospacing="1"/>
      <w:jc w:val="left"/>
    </w:pPr>
    <w:rPr>
      <w:rFonts w:ascii="宋体" w:cs="宋体" w:hAnsi="宋体"/>
      <w:kern w:val="0"/>
      <w:sz w:val="24"/>
      <w:szCs w:val="24"/>
    </w:rPr>
  </w:style>
  <w:style w:styleId="af7" w:type="table">
    <w:name w:val="Table Grid"/>
    <w:basedOn w:val="a2"/>
    <w:qFormat/>
    <w:rsid w:val="004061AC"/>
    <w:pPr>
      <w:widowControl w:val="0"/>
      <w:jc w:val="both"/>
    </w:pPr>
    <w:rPr>
      <w:rFonts w:ascii="Times New Roman" w:cs="Times New Roman" w:eastAsia="宋体" w:hAnsi="Times New Roman"/>
      <w:kern w:val="0"/>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customStyle="1" w:styleId="Char10" w:type="paragraph">
    <w:name w:val="Char1"/>
    <w:basedOn w:val="a"/>
    <w:uiPriority w:val="99"/>
    <w:rsid w:val="004061AC"/>
  </w:style>
  <w:style w:customStyle="1" w:styleId="CharCharCharCharCharChar1CharCharChar" w:type="paragraph">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customStyle="1" w:styleId="CharCharCharCharCharChar1CharCharChar2" w:type="paragraph">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styleId="af8" w:type="paragraph">
    <w:name w:val="Title"/>
    <w:basedOn w:val="a"/>
    <w:next w:val="a"/>
    <w:link w:val="Charb"/>
    <w:uiPriority w:val="99"/>
    <w:qFormat/>
    <w:rsid w:val="004061AC"/>
    <w:pPr>
      <w:spacing w:after="60" w:before="240"/>
      <w:jc w:val="center"/>
      <w:outlineLvl w:val="0"/>
    </w:pPr>
    <w:rPr>
      <w:rFonts w:ascii="Cambria" w:cs="Cambria" w:hAnsi="Cambria"/>
      <w:b/>
      <w:bCs/>
      <w:sz w:val="32"/>
      <w:szCs w:val="32"/>
    </w:rPr>
  </w:style>
  <w:style w:customStyle="1" w:styleId="Charb" w:type="character">
    <w:name w:val="标题 Char"/>
    <w:basedOn w:val="a1"/>
    <w:link w:val="af8"/>
    <w:uiPriority w:val="99"/>
    <w:rsid w:val="004061AC"/>
    <w:rPr>
      <w:rFonts w:ascii="Cambria" w:cs="Cambria" w:eastAsia="宋体" w:hAnsi="Cambria"/>
      <w:b/>
      <w:bCs/>
      <w:sz w:val="32"/>
      <w:szCs w:val="32"/>
    </w:rPr>
  </w:style>
  <w:style w:customStyle="1" w:styleId="CharCharCharCharCharChar1CharCharChar1" w:type="paragraph">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styleId="af9" w:type="paragraph">
    <w:name w:val="No Spacing"/>
    <w:link w:val="Charc"/>
    <w:uiPriority w:val="1"/>
    <w:qFormat/>
    <w:rsid w:val="004061AC"/>
    <w:rPr>
      <w:rFonts w:ascii="Calibri" w:cs="Calibri" w:eastAsia="宋体" w:hAnsi="Calibri"/>
      <w:kern w:val="0"/>
      <w:sz w:val="22"/>
    </w:rPr>
  </w:style>
  <w:style w:customStyle="1" w:styleId="Charc" w:type="character">
    <w:name w:val="无间隔 Char"/>
    <w:basedOn w:val="a1"/>
    <w:link w:val="af9"/>
    <w:uiPriority w:val="1"/>
    <w:locked/>
    <w:rsid w:val="004061AC"/>
    <w:rPr>
      <w:rFonts w:ascii="Calibri" w:cs="Calibri" w:eastAsia="宋体" w:hAnsi="Calibri"/>
      <w:kern w:val="0"/>
      <w:sz w:val="22"/>
    </w:rPr>
  </w:style>
  <w:style w:customStyle="1" w:styleId="t1" w:type="character">
    <w:name w:val="t1"/>
    <w:basedOn w:val="a1"/>
    <w:uiPriority w:val="99"/>
    <w:rsid w:val="004061AC"/>
    <w:rPr>
      <w:color w:val="auto"/>
    </w:rPr>
  </w:style>
  <w:style w:styleId="afa" w:type="paragraph">
    <w:name w:val="List Paragraph"/>
    <w:basedOn w:val="a"/>
    <w:uiPriority w:val="34"/>
    <w:qFormat/>
    <w:rsid w:val="00154BE1"/>
    <w:pPr>
      <w:ind w:firstLine="420" w:firstLineChars="200"/>
    </w:pPr>
  </w:style>
  <w:style w:customStyle="1" w:styleId="Default" w:type="paragraph">
    <w:name w:val="Default"/>
    <w:rsid w:val="00275745"/>
    <w:pPr>
      <w:widowControl w:val="0"/>
      <w:autoSpaceDE w:val="0"/>
      <w:autoSpaceDN w:val="0"/>
      <w:adjustRightInd w:val="0"/>
    </w:pPr>
    <w:rPr>
      <w:rFonts w:ascii="FangSong" w:cs="FangSong" w:eastAsia="宋体" w:hAnsi="FangSong"/>
      <w:color w:val="000000"/>
      <w:kern w:val="0"/>
      <w:sz w:val="24"/>
      <w:szCs w:val="24"/>
    </w:rPr>
  </w:style>
  <w:style w:styleId="afb" w:type="character">
    <w:name w:val="Strong"/>
    <w:basedOn w:val="a1"/>
    <w:uiPriority w:val="22"/>
    <w:qFormat/>
    <w:rsid w:val="00E52DBC"/>
    <w:rPr>
      <w:b/>
      <w:bCs/>
    </w:rPr>
  </w:style>
</w:styles>
</file>

<file path=word/webSettings.xml><?xml version="1.0" encoding="utf-8"?>
<w:webSettings xmlns:r="http://schemas.openxmlformats.org/officeDocument/2006/relationships" xmlns:w="http://schemas.openxmlformats.org/wordprocessingml/2006/main">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1.jpeg" Type="http://schemas.openxmlformats.org/officeDocument/2006/relationships/image"/>
<Relationship Id="rId15" Target="fontTable.xml" Type="http://schemas.openxmlformats.org/officeDocument/2006/relationships/fontTable"/>
<Relationship Id="rId16"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65BAF-6A5D-4E6F-B945-BE15026D6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1809</TotalTime>
  <Pages>25</Pages>
  <Words>4136</Words>
  <Characters>23578</Characters>
  <Application>Microsoft Office Word</Application>
  <DocSecurity>0</DocSecurity>
  <Lines>196</Lines>
  <Paragraphs>55</Paragraphs>
  <ScaleCrop>false</ScaleCrop>
  <Company/>
  <LinksUpToDate>false</LinksUpToDate>
  <CharactersWithSpaces>27659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cp:lastModifiedBy>Administrator</cp:lastModifiedBy>
  <dcterms:modified xsi:type="dcterms:W3CDTF">2018-09-13T02:58:00Z</dcterms:modified>
  <cp:revision>578</cp:revision>
</cp:coreProperties>
</file>