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交银施罗德沪港深价值精选灵活配置混合型证券投资基金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A4C7B" w:rsidRDefault="00D91CE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18</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交银沪港深价值精选混合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11</w:t>
            </w:r>
            <w:r w:rsidRPr="00414345">
              <w:rPr>
                <w:color w:val="000000"/>
                <w:kern w:val="0"/>
                <w:sz w:val="24"/>
                <w:szCs w:val="24"/>
              </w:rPr>
              <w:t>月</w:t>
            </w:r>
            <w:r w:rsidRPr="00414345">
              <w:rPr>
                <w:color w:val="000000"/>
                <w:kern w:val="0"/>
                <w:sz w:val="24"/>
                <w:szCs w:val="24"/>
              </w:rPr>
              <w:t>7</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452,307,574.66</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本基金通过优化资产配置和灵活运用多种投资策略，把握沪港通及后续资本市场开放政策带来的投资机会，力争实现基金资产的长期稳定增值。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恒生指数收益率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3A4C7B" w:rsidRDefault="00D91CEA">
            <w:pPr>
              <w:adjustRightInd w:val="0"/>
              <w:spacing w:before="29" w:line="288" w:lineRule="auto"/>
              <w:ind w:left="17"/>
              <w:jc w:val="left"/>
              <w:rPr>
                <w:color w:val="000000"/>
                <w:sz w:val="24"/>
                <w:szCs w:val="24"/>
              </w:rPr>
            </w:pPr>
            <w:r>
              <w:rPr>
                <w:color w:val="000000"/>
                <w:kern w:val="0"/>
                <w:sz w:val="24"/>
                <w:szCs w:val="24"/>
              </w:rPr>
              <w:t>本基金是一只混合型基金，其风险和预期收益高于债</w:t>
            </w:r>
            <w:r>
              <w:rPr>
                <w:color w:val="000000"/>
                <w:kern w:val="0"/>
                <w:sz w:val="24"/>
                <w:szCs w:val="24"/>
              </w:rPr>
              <w:lastRenderedPageBreak/>
              <w:t>券型基金和货币市场基金，低于股票型基金。属于承担较高风险、预期收益较高的证券投资基金品种。</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017E11" w:rsidRPr="00414345" w:rsidTr="00017E1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017E11" w:rsidRPr="00414345" w:rsidTr="00017E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-22,538,316.93</w:t>
            </w:r>
          </w:p>
        </w:tc>
      </w:tr>
      <w:tr w:rsidR="00017E11" w:rsidRPr="00414345" w:rsidTr="00017E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-34,366,405.57</w:t>
            </w:r>
          </w:p>
        </w:tc>
      </w:tr>
      <w:tr w:rsidR="00017E11" w:rsidRPr="00414345" w:rsidTr="00017E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-0.0758</w:t>
            </w:r>
          </w:p>
        </w:tc>
      </w:tr>
      <w:tr w:rsidR="00017E11" w:rsidRPr="00414345" w:rsidTr="00017E1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447,230,211.07</w:t>
            </w:r>
          </w:p>
        </w:tc>
      </w:tr>
      <w:tr w:rsidR="00017E11" w:rsidRPr="00414345" w:rsidTr="00017E1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0.989</w:t>
            </w:r>
          </w:p>
        </w:tc>
      </w:tr>
    </w:tbl>
    <w:p w:rsidR="003A4C7B" w:rsidRDefault="00D91C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A4C7B">
        <w:trPr>
          <w:jc w:val="center"/>
        </w:trPr>
        <w:tc>
          <w:tcPr>
            <w:tcW w:w="1701" w:type="dxa"/>
            <w:vAlign w:val="center"/>
          </w:tcPr>
          <w:p w:rsidR="003A4C7B" w:rsidRDefault="00D91CEA">
            <w:pPr>
              <w:jc w:val="left"/>
            </w:pPr>
            <w:r>
              <w:rPr>
                <w:color w:val="000000"/>
                <w:sz w:val="24"/>
                <w:szCs w:val="24"/>
              </w:rPr>
              <w:t>过去三个月</w:t>
            </w:r>
          </w:p>
        </w:tc>
        <w:tc>
          <w:tcPr>
            <w:tcW w:w="1045" w:type="dxa"/>
            <w:vAlign w:val="center"/>
          </w:tcPr>
          <w:p w:rsidR="003A4C7B" w:rsidRDefault="00D91CEA">
            <w:pPr>
              <w:jc w:val="center"/>
            </w:pPr>
            <w:r>
              <w:rPr>
                <w:color w:val="000000"/>
                <w:sz w:val="24"/>
                <w:szCs w:val="24"/>
              </w:rPr>
              <w:t>-7.05%</w:t>
            </w:r>
          </w:p>
        </w:tc>
        <w:tc>
          <w:tcPr>
            <w:tcW w:w="1344" w:type="dxa"/>
            <w:vAlign w:val="center"/>
          </w:tcPr>
          <w:p w:rsidR="003A4C7B" w:rsidRDefault="00D91CEA">
            <w:pPr>
              <w:jc w:val="center"/>
            </w:pPr>
            <w:r>
              <w:rPr>
                <w:color w:val="000000"/>
                <w:sz w:val="24"/>
                <w:szCs w:val="24"/>
              </w:rPr>
              <w:t>0.76%</w:t>
            </w:r>
          </w:p>
        </w:tc>
        <w:tc>
          <w:tcPr>
            <w:tcW w:w="1194" w:type="dxa"/>
            <w:vAlign w:val="center"/>
          </w:tcPr>
          <w:p w:rsidR="003A4C7B" w:rsidRDefault="00D91CEA">
            <w:pPr>
              <w:jc w:val="center"/>
            </w:pPr>
            <w:r>
              <w:rPr>
                <w:color w:val="000000"/>
                <w:sz w:val="24"/>
                <w:szCs w:val="24"/>
              </w:rPr>
              <w:t>-7.25%</w:t>
            </w:r>
          </w:p>
        </w:tc>
        <w:tc>
          <w:tcPr>
            <w:tcW w:w="1492" w:type="dxa"/>
            <w:vAlign w:val="center"/>
          </w:tcPr>
          <w:p w:rsidR="003A4C7B" w:rsidRDefault="00D91CEA">
            <w:pPr>
              <w:jc w:val="center"/>
            </w:pPr>
            <w:r>
              <w:rPr>
                <w:color w:val="000000"/>
                <w:sz w:val="24"/>
                <w:szCs w:val="24"/>
              </w:rPr>
              <w:t>1.21%</w:t>
            </w:r>
          </w:p>
        </w:tc>
        <w:tc>
          <w:tcPr>
            <w:tcW w:w="1194" w:type="dxa"/>
            <w:vAlign w:val="center"/>
          </w:tcPr>
          <w:p w:rsidR="003A4C7B" w:rsidRDefault="00D91CEA">
            <w:pPr>
              <w:jc w:val="center"/>
            </w:pPr>
            <w:r>
              <w:rPr>
                <w:color w:val="000000"/>
                <w:sz w:val="24"/>
                <w:szCs w:val="24"/>
              </w:rPr>
              <w:t>0.20%</w:t>
            </w:r>
          </w:p>
        </w:tc>
        <w:tc>
          <w:tcPr>
            <w:tcW w:w="898" w:type="dxa"/>
            <w:vAlign w:val="center"/>
          </w:tcPr>
          <w:p w:rsidR="003A4C7B" w:rsidRDefault="00D91CEA">
            <w:pPr>
              <w:jc w:val="center"/>
            </w:pPr>
            <w:r>
              <w:rPr>
                <w:color w:val="000000"/>
                <w:sz w:val="24"/>
                <w:szCs w:val="24"/>
              </w:rPr>
              <w:t>-0.45%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交银施罗德沪港深价值精选灵活配置混合型证券投资基金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7</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A4C7B">
        <w:trPr>
          <w:jc w:val="center"/>
        </w:trPr>
        <w:tc>
          <w:tcPr>
            <w:tcW w:w="846" w:type="dxa"/>
            <w:vAlign w:val="center"/>
          </w:tcPr>
          <w:p w:rsidR="003A4C7B" w:rsidRDefault="00D91CEA">
            <w:pPr>
              <w:jc w:val="center"/>
            </w:pPr>
            <w:r>
              <w:rPr>
                <w:color w:val="000000"/>
                <w:sz w:val="24"/>
                <w:szCs w:val="24"/>
              </w:rPr>
              <w:t>陈俊华</w:t>
            </w:r>
          </w:p>
        </w:tc>
        <w:tc>
          <w:tcPr>
            <w:tcW w:w="845" w:type="dxa"/>
            <w:vAlign w:val="center"/>
          </w:tcPr>
          <w:p w:rsidR="003A4C7B" w:rsidRDefault="00D91CEA">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lastRenderedPageBreak/>
              <w:t>(QDII)</w:t>
            </w:r>
            <w:r>
              <w:rPr>
                <w:color w:val="000000"/>
                <w:sz w:val="24"/>
                <w:szCs w:val="24"/>
              </w:rPr>
              <w:t>、交银沪港深价值精选混合的基金经理，公司跨境投资副总监</w:t>
            </w:r>
          </w:p>
        </w:tc>
        <w:tc>
          <w:tcPr>
            <w:tcW w:w="1549" w:type="dxa"/>
            <w:vAlign w:val="center"/>
          </w:tcPr>
          <w:p w:rsidR="003A4C7B" w:rsidRDefault="00D91CEA">
            <w:pPr>
              <w:jc w:val="center"/>
            </w:pPr>
            <w:r>
              <w:rPr>
                <w:color w:val="000000"/>
                <w:sz w:val="24"/>
                <w:szCs w:val="24"/>
              </w:rPr>
              <w:lastRenderedPageBreak/>
              <w:t>2016-11-07</w:t>
            </w:r>
          </w:p>
        </w:tc>
        <w:tc>
          <w:tcPr>
            <w:tcW w:w="1548" w:type="dxa"/>
            <w:vAlign w:val="center"/>
          </w:tcPr>
          <w:p w:rsidR="003A4C7B" w:rsidRDefault="00D91CEA">
            <w:pPr>
              <w:jc w:val="center"/>
            </w:pPr>
            <w:r>
              <w:rPr>
                <w:color w:val="000000"/>
                <w:sz w:val="24"/>
                <w:szCs w:val="24"/>
              </w:rPr>
              <w:t>-</w:t>
            </w:r>
          </w:p>
        </w:tc>
        <w:tc>
          <w:tcPr>
            <w:tcW w:w="1407" w:type="dxa"/>
            <w:vAlign w:val="center"/>
          </w:tcPr>
          <w:p w:rsidR="003A4C7B" w:rsidRDefault="00D91CEA">
            <w:pPr>
              <w:jc w:val="center"/>
            </w:pPr>
            <w:r>
              <w:rPr>
                <w:color w:val="000000"/>
                <w:sz w:val="24"/>
                <w:szCs w:val="24"/>
              </w:rPr>
              <w:t>13</w:t>
            </w:r>
            <w:r>
              <w:rPr>
                <w:color w:val="000000"/>
                <w:sz w:val="24"/>
                <w:szCs w:val="24"/>
              </w:rPr>
              <w:t>年</w:t>
            </w:r>
          </w:p>
        </w:tc>
        <w:tc>
          <w:tcPr>
            <w:tcW w:w="2673" w:type="dxa"/>
            <w:vAlign w:val="center"/>
          </w:tcPr>
          <w:p w:rsidR="003A4C7B" w:rsidRDefault="00D91CEA">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A4C7B" w:rsidRDefault="00D91CE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A4C7B" w:rsidRDefault="00D91CE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A4C7B" w:rsidRDefault="00D91CE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w:t>
      </w:r>
      <w:r w:rsidRPr="00414345">
        <w:rPr>
          <w:color w:val="000000"/>
          <w:sz w:val="24"/>
          <w:szCs w:val="24"/>
        </w:rPr>
        <w:lastRenderedPageBreak/>
        <w:t>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A4C7B" w:rsidRDefault="00D91CEA">
      <w:pPr>
        <w:spacing w:before="29" w:line="288" w:lineRule="auto"/>
        <w:ind w:firstLineChars="200" w:firstLine="480"/>
        <w:rPr>
          <w:color w:val="000000"/>
          <w:sz w:val="24"/>
          <w:szCs w:val="24"/>
        </w:rPr>
      </w:pPr>
      <w:r>
        <w:rPr>
          <w:color w:val="000000"/>
          <w:sz w:val="24"/>
          <w:szCs w:val="24"/>
        </w:rPr>
        <w:t>2018</w:t>
      </w:r>
      <w:r>
        <w:rPr>
          <w:color w:val="000000"/>
          <w:sz w:val="24"/>
          <w:szCs w:val="24"/>
        </w:rPr>
        <w:t>年四季度，国内外宏观变动再次成为市场关注的焦点，带动市场波动较大。四季度，海外股市出现较大波动，造成海外资金在短暂流入新兴市场后，再次流出。国内经济环境方面，政策持续向好，十一月，中央召开民营企业家代表坐谈，给予民营经济以充分的支持。进口博览会阶段，中央亦再次阐明自上而下的鼓励创新、加大开放的发展方向。但受到短期经济数据的波动，以及海外市场的波动，</w:t>
      </w:r>
      <w:r>
        <w:rPr>
          <w:color w:val="000000"/>
          <w:sz w:val="24"/>
          <w:szCs w:val="24"/>
        </w:rPr>
        <w:t>A</w:t>
      </w:r>
      <w:r>
        <w:rPr>
          <w:color w:val="000000"/>
          <w:sz w:val="24"/>
          <w:szCs w:val="24"/>
        </w:rPr>
        <w:t>股和港股在短暂企稳后，仍出现了较大回调，避险情绪进一步提升。目前</w:t>
      </w:r>
      <w:r>
        <w:rPr>
          <w:color w:val="000000"/>
          <w:sz w:val="24"/>
          <w:szCs w:val="24"/>
        </w:rPr>
        <w:t>全市场估值已经回落到历史较低水平，投资者关注的焦点是：</w:t>
      </w:r>
      <w:r>
        <w:rPr>
          <w:color w:val="000000"/>
          <w:sz w:val="24"/>
          <w:szCs w:val="24"/>
        </w:rPr>
        <w:t>2019</w:t>
      </w:r>
      <w:r>
        <w:rPr>
          <w:color w:val="000000"/>
          <w:sz w:val="24"/>
          <w:szCs w:val="24"/>
        </w:rPr>
        <w:t>数据究竟会如何？尽管大家已经进行了各种较为保守的预期，但面对海外宏观的不确定性，投资者仍持规避风险的态度，</w:t>
      </w:r>
      <w:r>
        <w:rPr>
          <w:color w:val="000000"/>
          <w:sz w:val="24"/>
          <w:szCs w:val="24"/>
        </w:rPr>
        <w:t>A</w:t>
      </w:r>
      <w:r>
        <w:rPr>
          <w:color w:val="000000"/>
          <w:sz w:val="24"/>
          <w:szCs w:val="24"/>
        </w:rPr>
        <w:t>股、港股交易量也出现了不同程度的收缩。</w:t>
      </w:r>
    </w:p>
    <w:p w:rsidR="003A4C7B" w:rsidRDefault="00D91CEA">
      <w:pPr>
        <w:spacing w:before="29" w:line="288" w:lineRule="auto"/>
        <w:ind w:firstLineChars="200" w:firstLine="480"/>
        <w:rPr>
          <w:color w:val="000000"/>
          <w:sz w:val="24"/>
          <w:szCs w:val="24"/>
        </w:rPr>
      </w:pPr>
      <w:r>
        <w:rPr>
          <w:color w:val="000000"/>
          <w:sz w:val="24"/>
          <w:szCs w:val="24"/>
        </w:rPr>
        <w:t>四季度，我们加大各行业、公司的调研，试图自下而上梳理企业实际的变化，布局</w:t>
      </w:r>
      <w:r>
        <w:rPr>
          <w:color w:val="000000"/>
          <w:sz w:val="24"/>
          <w:szCs w:val="24"/>
        </w:rPr>
        <w:t>2019</w:t>
      </w:r>
      <w:r>
        <w:rPr>
          <w:color w:val="000000"/>
          <w:sz w:val="24"/>
          <w:szCs w:val="24"/>
        </w:rPr>
        <w:t>年投资策略。与此同时，我们降低了一定的仓位，来抵御市场波动，同时对于仓位进行结构调整，布局在前期调整较大的行业龙头个股。整体操作起到了抵御风险的作用，但仍有个股产生了负收益。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2019</w:t>
      </w:r>
      <w:r w:rsidRPr="00414345">
        <w:rPr>
          <w:color w:val="000000"/>
          <w:sz w:val="24"/>
          <w:szCs w:val="24"/>
        </w:rPr>
        <w:t>年一季度，我们保持谨慎乐观。结构性机会有望较</w:t>
      </w:r>
      <w:r w:rsidRPr="00414345">
        <w:rPr>
          <w:color w:val="000000"/>
          <w:sz w:val="24"/>
          <w:szCs w:val="24"/>
        </w:rPr>
        <w:t>2018</w:t>
      </w:r>
      <w:r w:rsidRPr="00414345">
        <w:rPr>
          <w:color w:val="000000"/>
          <w:sz w:val="24"/>
          <w:szCs w:val="24"/>
        </w:rPr>
        <w:t>年增多，我们将一如既往坚持自下而上的选股策略。在资金流动性方面，不会更加收缩。在业绩方面，我们仍看好中国经济，尤其制造业韧性。我们辩证看待产业内部的结构调整。行业运行环境不景气，毛利率收缩，这并非完全是坏事，这亦会带来优势企业会获取更大的市场份额，行业格局趋向更好。虽然目前市场避险情绪浓厚，但比较全球经济增长速度，产业竞争优势，</w:t>
      </w:r>
      <w:r w:rsidRPr="00414345">
        <w:rPr>
          <w:color w:val="000000"/>
          <w:sz w:val="24"/>
          <w:szCs w:val="24"/>
        </w:rPr>
        <w:t>A</w:t>
      </w:r>
      <w:r w:rsidRPr="00414345">
        <w:rPr>
          <w:color w:val="000000"/>
          <w:sz w:val="24"/>
          <w:szCs w:val="24"/>
        </w:rPr>
        <w:t>股和港股市场仍是全球投资者关注的焦点。伴随年报业绩的逐步明朗，我们认为仍有优势个股将在</w:t>
      </w:r>
      <w:r w:rsidRPr="00414345">
        <w:rPr>
          <w:color w:val="000000"/>
          <w:sz w:val="24"/>
          <w:szCs w:val="24"/>
        </w:rPr>
        <w:t>2019</w:t>
      </w:r>
      <w:r w:rsidRPr="00414345">
        <w:rPr>
          <w:color w:val="000000"/>
          <w:sz w:val="24"/>
          <w:szCs w:val="24"/>
        </w:rPr>
        <w:t>年取得较好的收益。具体落实到行业，我们将聚焦在有全球竞争优势的制造业企业，积极寻找个股，同时我们仍然看好消费升级。我们将继续在</w:t>
      </w:r>
      <w:r w:rsidRPr="00414345">
        <w:rPr>
          <w:color w:val="000000"/>
          <w:sz w:val="24"/>
          <w:szCs w:val="24"/>
        </w:rPr>
        <w:t>A</w:t>
      </w:r>
      <w:r w:rsidRPr="00414345">
        <w:rPr>
          <w:color w:val="000000"/>
          <w:sz w:val="24"/>
          <w:szCs w:val="24"/>
        </w:rPr>
        <w:t>股、港股寻找拥有</w:t>
      </w:r>
      <w:r w:rsidRPr="00414345">
        <w:rPr>
          <w:color w:val="000000"/>
          <w:sz w:val="24"/>
          <w:szCs w:val="24"/>
        </w:rPr>
        <w:t>“</w:t>
      </w:r>
      <w:r w:rsidRPr="00414345">
        <w:rPr>
          <w:color w:val="000000"/>
          <w:sz w:val="24"/>
          <w:szCs w:val="24"/>
        </w:rPr>
        <w:t>稀缺性</w:t>
      </w:r>
      <w:r w:rsidRPr="00414345">
        <w:rPr>
          <w:color w:val="000000"/>
          <w:sz w:val="24"/>
          <w:szCs w:val="24"/>
        </w:rPr>
        <w:t>”</w:t>
      </w:r>
      <w:r w:rsidRPr="00414345">
        <w:rPr>
          <w:color w:val="000000"/>
          <w:sz w:val="24"/>
          <w:szCs w:val="24"/>
        </w:rPr>
        <w:t>的优质标的，努力为投资人赚取稳健的回报。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lastRenderedPageBreak/>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203,356,412.26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203,356,412.26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45.35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244,841,839.24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54.61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185,806.92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0.04</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448,384,058.42</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20,814,096.25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w:t>
            </w:r>
            <w:r w:rsidRPr="00414345">
              <w:rPr>
                <w:sz w:val="24"/>
                <w:szCs w:val="24"/>
              </w:rPr>
              <w:lastRenderedPageBreak/>
              <w:t>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lastRenderedPageBreak/>
              <w:t>28,679,784.96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2,506,000.00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5,010,068.56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42,111,678.05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26,300,912.58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125,422,540.40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28.04</w:t>
            </w:r>
          </w:p>
        </w:tc>
      </w:tr>
    </w:tbl>
    <w:p w:rsidR="00017E11" w:rsidRDefault="00017E11"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bookmarkStart w:id="0" w:name="_GoBack"/>
      <w:bookmarkEnd w:id="0"/>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3A4C7B">
        <w:trPr>
          <w:jc w:val="center"/>
        </w:trPr>
        <w:tc>
          <w:tcPr>
            <w:tcW w:w="2397" w:type="dxa"/>
            <w:vAlign w:val="center"/>
          </w:tcPr>
          <w:p w:rsidR="003A4C7B" w:rsidRDefault="00D91CEA">
            <w:pPr>
              <w:jc w:val="center"/>
            </w:pPr>
            <w:r>
              <w:rPr>
                <w:color w:val="000000"/>
                <w:sz w:val="24"/>
              </w:rPr>
              <w:t>通讯服务</w:t>
            </w:r>
          </w:p>
        </w:tc>
        <w:tc>
          <w:tcPr>
            <w:tcW w:w="3119" w:type="dxa"/>
            <w:vAlign w:val="center"/>
          </w:tcPr>
          <w:p w:rsidR="003A4C7B" w:rsidRDefault="00D91CEA">
            <w:pPr>
              <w:jc w:val="center"/>
            </w:pPr>
            <w:r>
              <w:rPr>
                <w:color w:val="000000"/>
                <w:sz w:val="24"/>
              </w:rPr>
              <w:t>17,965,780.04</w:t>
            </w:r>
          </w:p>
        </w:tc>
        <w:tc>
          <w:tcPr>
            <w:tcW w:w="3118" w:type="dxa"/>
            <w:vAlign w:val="center"/>
          </w:tcPr>
          <w:p w:rsidR="003A4C7B" w:rsidRDefault="00D91CEA">
            <w:pPr>
              <w:jc w:val="center"/>
            </w:pPr>
            <w:r>
              <w:rPr>
                <w:color w:val="000000"/>
                <w:sz w:val="24"/>
              </w:rPr>
              <w:t>4.02</w:t>
            </w:r>
          </w:p>
        </w:tc>
      </w:tr>
      <w:tr w:rsidR="003A4C7B">
        <w:trPr>
          <w:jc w:val="center"/>
        </w:trPr>
        <w:tc>
          <w:tcPr>
            <w:tcW w:w="2397" w:type="dxa"/>
            <w:vAlign w:val="center"/>
          </w:tcPr>
          <w:p w:rsidR="003A4C7B" w:rsidRDefault="00D91CEA">
            <w:pPr>
              <w:jc w:val="center"/>
            </w:pPr>
            <w:r>
              <w:rPr>
                <w:color w:val="000000"/>
                <w:sz w:val="24"/>
              </w:rPr>
              <w:t>非日常生活消费品</w:t>
            </w:r>
          </w:p>
        </w:tc>
        <w:tc>
          <w:tcPr>
            <w:tcW w:w="3119" w:type="dxa"/>
            <w:vAlign w:val="center"/>
          </w:tcPr>
          <w:p w:rsidR="003A4C7B" w:rsidRDefault="00D91CEA">
            <w:pPr>
              <w:jc w:val="center"/>
            </w:pPr>
            <w:r>
              <w:rPr>
                <w:color w:val="000000"/>
                <w:sz w:val="24"/>
              </w:rPr>
              <w:t>15,552,550.00</w:t>
            </w:r>
          </w:p>
        </w:tc>
        <w:tc>
          <w:tcPr>
            <w:tcW w:w="3118" w:type="dxa"/>
            <w:vAlign w:val="center"/>
          </w:tcPr>
          <w:p w:rsidR="003A4C7B" w:rsidRDefault="00D91CEA">
            <w:pPr>
              <w:jc w:val="center"/>
            </w:pPr>
            <w:r>
              <w:rPr>
                <w:color w:val="000000"/>
                <w:sz w:val="24"/>
              </w:rPr>
              <w:t>3.48</w:t>
            </w:r>
          </w:p>
        </w:tc>
      </w:tr>
      <w:tr w:rsidR="003A4C7B">
        <w:trPr>
          <w:jc w:val="center"/>
        </w:trPr>
        <w:tc>
          <w:tcPr>
            <w:tcW w:w="2397" w:type="dxa"/>
            <w:vAlign w:val="center"/>
          </w:tcPr>
          <w:p w:rsidR="003A4C7B" w:rsidRDefault="00D91CEA">
            <w:pPr>
              <w:jc w:val="center"/>
            </w:pPr>
            <w:r>
              <w:rPr>
                <w:color w:val="000000"/>
                <w:sz w:val="24"/>
              </w:rPr>
              <w:t>日常消费品</w:t>
            </w:r>
          </w:p>
        </w:tc>
        <w:tc>
          <w:tcPr>
            <w:tcW w:w="3119" w:type="dxa"/>
            <w:vAlign w:val="center"/>
          </w:tcPr>
          <w:p w:rsidR="003A4C7B" w:rsidRDefault="00D91CEA">
            <w:pPr>
              <w:jc w:val="center"/>
            </w:pPr>
            <w:r>
              <w:rPr>
                <w:color w:val="000000"/>
                <w:sz w:val="24"/>
              </w:rPr>
              <w:t>14,983,020.00</w:t>
            </w:r>
          </w:p>
        </w:tc>
        <w:tc>
          <w:tcPr>
            <w:tcW w:w="3118" w:type="dxa"/>
            <w:vAlign w:val="center"/>
          </w:tcPr>
          <w:p w:rsidR="003A4C7B" w:rsidRDefault="00D91CEA">
            <w:pPr>
              <w:jc w:val="center"/>
            </w:pPr>
            <w:r>
              <w:rPr>
                <w:color w:val="000000"/>
                <w:sz w:val="24"/>
              </w:rPr>
              <w:t>3.35</w:t>
            </w:r>
          </w:p>
        </w:tc>
      </w:tr>
      <w:tr w:rsidR="003A4C7B">
        <w:trPr>
          <w:jc w:val="center"/>
        </w:trPr>
        <w:tc>
          <w:tcPr>
            <w:tcW w:w="2397" w:type="dxa"/>
            <w:vAlign w:val="center"/>
          </w:tcPr>
          <w:p w:rsidR="003A4C7B" w:rsidRDefault="00D91CEA">
            <w:pPr>
              <w:jc w:val="center"/>
            </w:pPr>
            <w:r>
              <w:rPr>
                <w:color w:val="000000"/>
                <w:sz w:val="24"/>
              </w:rPr>
              <w:t>房地产</w:t>
            </w:r>
          </w:p>
        </w:tc>
        <w:tc>
          <w:tcPr>
            <w:tcW w:w="3119" w:type="dxa"/>
            <w:vAlign w:val="center"/>
          </w:tcPr>
          <w:p w:rsidR="003A4C7B" w:rsidRDefault="00D91CEA">
            <w:pPr>
              <w:jc w:val="center"/>
            </w:pPr>
            <w:r>
              <w:rPr>
                <w:color w:val="000000"/>
                <w:sz w:val="24"/>
              </w:rPr>
              <w:t>14,495,852.80</w:t>
            </w:r>
          </w:p>
        </w:tc>
        <w:tc>
          <w:tcPr>
            <w:tcW w:w="3118" w:type="dxa"/>
            <w:vAlign w:val="center"/>
          </w:tcPr>
          <w:p w:rsidR="003A4C7B" w:rsidRDefault="00D91CEA">
            <w:pPr>
              <w:jc w:val="center"/>
            </w:pPr>
            <w:r>
              <w:rPr>
                <w:color w:val="000000"/>
                <w:sz w:val="24"/>
              </w:rPr>
              <w:t>3.24</w:t>
            </w:r>
          </w:p>
        </w:tc>
      </w:tr>
      <w:tr w:rsidR="003A4C7B">
        <w:trPr>
          <w:jc w:val="center"/>
        </w:trPr>
        <w:tc>
          <w:tcPr>
            <w:tcW w:w="2397" w:type="dxa"/>
            <w:vAlign w:val="center"/>
          </w:tcPr>
          <w:p w:rsidR="003A4C7B" w:rsidRDefault="00D91CEA">
            <w:pPr>
              <w:jc w:val="center"/>
            </w:pPr>
            <w:r>
              <w:rPr>
                <w:color w:val="000000"/>
                <w:sz w:val="24"/>
              </w:rPr>
              <w:t>能源</w:t>
            </w:r>
          </w:p>
        </w:tc>
        <w:tc>
          <w:tcPr>
            <w:tcW w:w="3119" w:type="dxa"/>
            <w:vAlign w:val="center"/>
          </w:tcPr>
          <w:p w:rsidR="003A4C7B" w:rsidRDefault="00D91CEA">
            <w:pPr>
              <w:jc w:val="center"/>
            </w:pPr>
            <w:r>
              <w:rPr>
                <w:color w:val="000000"/>
                <w:sz w:val="24"/>
              </w:rPr>
              <w:t>9,795,916.00</w:t>
            </w:r>
          </w:p>
        </w:tc>
        <w:tc>
          <w:tcPr>
            <w:tcW w:w="3118" w:type="dxa"/>
            <w:vAlign w:val="center"/>
          </w:tcPr>
          <w:p w:rsidR="003A4C7B" w:rsidRDefault="00D91CEA">
            <w:pPr>
              <w:jc w:val="center"/>
            </w:pPr>
            <w:r>
              <w:rPr>
                <w:color w:val="000000"/>
                <w:sz w:val="24"/>
              </w:rPr>
              <w:t>2.19</w:t>
            </w:r>
          </w:p>
        </w:tc>
      </w:tr>
      <w:tr w:rsidR="003A4C7B">
        <w:trPr>
          <w:jc w:val="center"/>
        </w:trPr>
        <w:tc>
          <w:tcPr>
            <w:tcW w:w="2397" w:type="dxa"/>
            <w:vAlign w:val="center"/>
          </w:tcPr>
          <w:p w:rsidR="003A4C7B" w:rsidRDefault="00D91CEA">
            <w:pPr>
              <w:jc w:val="center"/>
            </w:pPr>
            <w:r>
              <w:rPr>
                <w:color w:val="000000"/>
                <w:sz w:val="24"/>
              </w:rPr>
              <w:t>工业</w:t>
            </w:r>
          </w:p>
        </w:tc>
        <w:tc>
          <w:tcPr>
            <w:tcW w:w="3119" w:type="dxa"/>
            <w:vAlign w:val="center"/>
          </w:tcPr>
          <w:p w:rsidR="003A4C7B" w:rsidRDefault="00D91CEA">
            <w:pPr>
              <w:jc w:val="center"/>
            </w:pPr>
            <w:r>
              <w:rPr>
                <w:color w:val="000000"/>
                <w:sz w:val="24"/>
              </w:rPr>
              <w:t>5,140,753.02</w:t>
            </w:r>
          </w:p>
        </w:tc>
        <w:tc>
          <w:tcPr>
            <w:tcW w:w="3118" w:type="dxa"/>
            <w:vAlign w:val="center"/>
          </w:tcPr>
          <w:p w:rsidR="003A4C7B" w:rsidRDefault="00D91CEA">
            <w:pPr>
              <w:jc w:val="center"/>
            </w:pPr>
            <w:r>
              <w:rPr>
                <w:color w:val="000000"/>
                <w:sz w:val="24"/>
              </w:rPr>
              <w:t>1.15</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77,933,871.86</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17.43</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A4C7B">
        <w:trPr>
          <w:jc w:val="center"/>
        </w:trPr>
        <w:tc>
          <w:tcPr>
            <w:tcW w:w="855" w:type="dxa"/>
            <w:vAlign w:val="center"/>
          </w:tcPr>
          <w:p w:rsidR="003A4C7B" w:rsidRDefault="00D91CEA">
            <w:pPr>
              <w:jc w:val="center"/>
            </w:pPr>
            <w:r>
              <w:rPr>
                <w:color w:val="000000"/>
                <w:sz w:val="24"/>
                <w:szCs w:val="24"/>
              </w:rPr>
              <w:lastRenderedPageBreak/>
              <w:t>1</w:t>
            </w:r>
          </w:p>
        </w:tc>
        <w:tc>
          <w:tcPr>
            <w:tcW w:w="1334" w:type="dxa"/>
            <w:vAlign w:val="center"/>
          </w:tcPr>
          <w:p w:rsidR="003A4C7B" w:rsidRDefault="00D91CEA">
            <w:pPr>
              <w:jc w:val="center"/>
            </w:pPr>
            <w:r>
              <w:rPr>
                <w:color w:val="000000"/>
                <w:sz w:val="24"/>
                <w:szCs w:val="24"/>
              </w:rPr>
              <w:t>600036</w:t>
            </w:r>
          </w:p>
        </w:tc>
        <w:tc>
          <w:tcPr>
            <w:tcW w:w="1777" w:type="dxa"/>
            <w:vAlign w:val="center"/>
          </w:tcPr>
          <w:p w:rsidR="003A4C7B" w:rsidRDefault="00D91CEA">
            <w:pPr>
              <w:jc w:val="center"/>
            </w:pPr>
            <w:r>
              <w:rPr>
                <w:color w:val="000000"/>
                <w:sz w:val="24"/>
                <w:szCs w:val="24"/>
              </w:rPr>
              <w:t>招商银行</w:t>
            </w:r>
          </w:p>
        </w:tc>
        <w:tc>
          <w:tcPr>
            <w:tcW w:w="1334" w:type="dxa"/>
            <w:vAlign w:val="center"/>
          </w:tcPr>
          <w:p w:rsidR="003A4C7B" w:rsidRDefault="00D91CEA">
            <w:pPr>
              <w:jc w:val="right"/>
            </w:pPr>
            <w:r>
              <w:rPr>
                <w:color w:val="000000"/>
                <w:sz w:val="24"/>
                <w:szCs w:val="24"/>
              </w:rPr>
              <w:t>900,000</w:t>
            </w:r>
          </w:p>
        </w:tc>
        <w:tc>
          <w:tcPr>
            <w:tcW w:w="1924" w:type="dxa"/>
            <w:vAlign w:val="center"/>
          </w:tcPr>
          <w:p w:rsidR="003A4C7B" w:rsidRDefault="00D91CEA">
            <w:pPr>
              <w:jc w:val="right"/>
            </w:pPr>
            <w:r>
              <w:rPr>
                <w:color w:val="000000"/>
                <w:sz w:val="24"/>
                <w:szCs w:val="24"/>
              </w:rPr>
              <w:t>22,680,000.00</w:t>
            </w:r>
          </w:p>
        </w:tc>
        <w:tc>
          <w:tcPr>
            <w:tcW w:w="1644" w:type="dxa"/>
            <w:vAlign w:val="center"/>
          </w:tcPr>
          <w:p w:rsidR="003A4C7B" w:rsidRDefault="00D91CEA">
            <w:pPr>
              <w:jc w:val="right"/>
            </w:pPr>
            <w:r>
              <w:rPr>
                <w:color w:val="000000"/>
                <w:sz w:val="24"/>
                <w:szCs w:val="24"/>
              </w:rPr>
              <w:t>5.07</w:t>
            </w:r>
          </w:p>
        </w:tc>
      </w:tr>
      <w:tr w:rsidR="003A4C7B">
        <w:trPr>
          <w:jc w:val="center"/>
        </w:trPr>
        <w:tc>
          <w:tcPr>
            <w:tcW w:w="855" w:type="dxa"/>
            <w:vAlign w:val="center"/>
          </w:tcPr>
          <w:p w:rsidR="003A4C7B" w:rsidRDefault="00D91CEA">
            <w:pPr>
              <w:jc w:val="center"/>
            </w:pPr>
            <w:r>
              <w:rPr>
                <w:color w:val="000000"/>
                <w:sz w:val="24"/>
                <w:szCs w:val="24"/>
              </w:rPr>
              <w:t>2</w:t>
            </w:r>
          </w:p>
        </w:tc>
        <w:tc>
          <w:tcPr>
            <w:tcW w:w="1334" w:type="dxa"/>
            <w:vAlign w:val="center"/>
          </w:tcPr>
          <w:p w:rsidR="003A4C7B" w:rsidRDefault="00D91CEA">
            <w:pPr>
              <w:jc w:val="center"/>
            </w:pPr>
            <w:r>
              <w:rPr>
                <w:color w:val="000000"/>
                <w:sz w:val="24"/>
                <w:szCs w:val="24"/>
              </w:rPr>
              <w:t>H00700</w:t>
            </w:r>
          </w:p>
        </w:tc>
        <w:tc>
          <w:tcPr>
            <w:tcW w:w="1777" w:type="dxa"/>
            <w:vAlign w:val="center"/>
          </w:tcPr>
          <w:p w:rsidR="003A4C7B" w:rsidRDefault="00D91CEA">
            <w:pPr>
              <w:jc w:val="center"/>
            </w:pPr>
            <w:r>
              <w:rPr>
                <w:color w:val="000000"/>
                <w:sz w:val="24"/>
                <w:szCs w:val="24"/>
              </w:rPr>
              <w:t>腾讯控股</w:t>
            </w:r>
          </w:p>
        </w:tc>
        <w:tc>
          <w:tcPr>
            <w:tcW w:w="1334" w:type="dxa"/>
            <w:vAlign w:val="center"/>
          </w:tcPr>
          <w:p w:rsidR="003A4C7B" w:rsidRDefault="00D91CEA">
            <w:pPr>
              <w:jc w:val="right"/>
            </w:pPr>
            <w:r>
              <w:rPr>
                <w:color w:val="000000"/>
                <w:sz w:val="24"/>
                <w:szCs w:val="24"/>
              </w:rPr>
              <w:t>65,300</w:t>
            </w:r>
          </w:p>
        </w:tc>
        <w:tc>
          <w:tcPr>
            <w:tcW w:w="1924" w:type="dxa"/>
            <w:vAlign w:val="center"/>
          </w:tcPr>
          <w:p w:rsidR="003A4C7B" w:rsidRDefault="00D91CEA">
            <w:pPr>
              <w:jc w:val="right"/>
            </w:pPr>
            <w:r>
              <w:rPr>
                <w:color w:val="000000"/>
                <w:sz w:val="24"/>
                <w:szCs w:val="24"/>
              </w:rPr>
              <w:t>17,965,780.04</w:t>
            </w:r>
          </w:p>
        </w:tc>
        <w:tc>
          <w:tcPr>
            <w:tcW w:w="1644" w:type="dxa"/>
            <w:vAlign w:val="center"/>
          </w:tcPr>
          <w:p w:rsidR="003A4C7B" w:rsidRDefault="00D91CEA">
            <w:pPr>
              <w:jc w:val="right"/>
            </w:pPr>
            <w:r>
              <w:rPr>
                <w:color w:val="000000"/>
                <w:sz w:val="24"/>
                <w:szCs w:val="24"/>
              </w:rPr>
              <w:t>4.02</w:t>
            </w:r>
          </w:p>
        </w:tc>
      </w:tr>
      <w:tr w:rsidR="003A4C7B">
        <w:trPr>
          <w:jc w:val="center"/>
        </w:trPr>
        <w:tc>
          <w:tcPr>
            <w:tcW w:w="855" w:type="dxa"/>
            <w:vAlign w:val="center"/>
          </w:tcPr>
          <w:p w:rsidR="003A4C7B" w:rsidRDefault="00D91CEA">
            <w:pPr>
              <w:jc w:val="center"/>
            </w:pPr>
            <w:r>
              <w:rPr>
                <w:color w:val="000000"/>
                <w:sz w:val="24"/>
                <w:szCs w:val="24"/>
              </w:rPr>
              <w:t>3</w:t>
            </w:r>
          </w:p>
        </w:tc>
        <w:tc>
          <w:tcPr>
            <w:tcW w:w="1334" w:type="dxa"/>
            <w:vAlign w:val="center"/>
          </w:tcPr>
          <w:p w:rsidR="003A4C7B" w:rsidRDefault="00D91CEA">
            <w:pPr>
              <w:jc w:val="center"/>
            </w:pPr>
            <w:r>
              <w:rPr>
                <w:color w:val="000000"/>
                <w:sz w:val="24"/>
                <w:szCs w:val="24"/>
              </w:rPr>
              <w:t>600900</w:t>
            </w:r>
          </w:p>
        </w:tc>
        <w:tc>
          <w:tcPr>
            <w:tcW w:w="1777" w:type="dxa"/>
            <w:vAlign w:val="center"/>
          </w:tcPr>
          <w:p w:rsidR="003A4C7B" w:rsidRDefault="00D91CEA">
            <w:pPr>
              <w:jc w:val="center"/>
            </w:pPr>
            <w:r>
              <w:rPr>
                <w:color w:val="000000"/>
                <w:sz w:val="24"/>
                <w:szCs w:val="24"/>
              </w:rPr>
              <w:t>长江电力</w:t>
            </w:r>
          </w:p>
        </w:tc>
        <w:tc>
          <w:tcPr>
            <w:tcW w:w="1334" w:type="dxa"/>
            <w:vAlign w:val="center"/>
          </w:tcPr>
          <w:p w:rsidR="003A4C7B" w:rsidRDefault="00D91CEA">
            <w:pPr>
              <w:jc w:val="right"/>
            </w:pPr>
            <w:r>
              <w:rPr>
                <w:color w:val="000000"/>
                <w:sz w:val="24"/>
                <w:szCs w:val="24"/>
              </w:rPr>
              <w:t>1,000,000</w:t>
            </w:r>
          </w:p>
        </w:tc>
        <w:tc>
          <w:tcPr>
            <w:tcW w:w="1924" w:type="dxa"/>
            <w:vAlign w:val="center"/>
          </w:tcPr>
          <w:p w:rsidR="003A4C7B" w:rsidRDefault="00D91CEA">
            <w:pPr>
              <w:jc w:val="right"/>
            </w:pPr>
            <w:r>
              <w:rPr>
                <w:color w:val="000000"/>
                <w:sz w:val="24"/>
                <w:szCs w:val="24"/>
              </w:rPr>
              <w:t>15,880,000.00</w:t>
            </w:r>
          </w:p>
        </w:tc>
        <w:tc>
          <w:tcPr>
            <w:tcW w:w="1644" w:type="dxa"/>
            <w:vAlign w:val="center"/>
          </w:tcPr>
          <w:p w:rsidR="003A4C7B" w:rsidRDefault="00D91CEA">
            <w:pPr>
              <w:jc w:val="right"/>
            </w:pPr>
            <w:r>
              <w:rPr>
                <w:color w:val="000000"/>
                <w:sz w:val="24"/>
                <w:szCs w:val="24"/>
              </w:rPr>
              <w:t>3.55</w:t>
            </w:r>
          </w:p>
        </w:tc>
      </w:tr>
      <w:tr w:rsidR="003A4C7B">
        <w:trPr>
          <w:jc w:val="center"/>
        </w:trPr>
        <w:tc>
          <w:tcPr>
            <w:tcW w:w="855" w:type="dxa"/>
            <w:vAlign w:val="center"/>
          </w:tcPr>
          <w:p w:rsidR="003A4C7B" w:rsidRDefault="00D91CEA">
            <w:pPr>
              <w:jc w:val="center"/>
            </w:pPr>
            <w:r>
              <w:rPr>
                <w:color w:val="000000"/>
                <w:sz w:val="24"/>
                <w:szCs w:val="24"/>
              </w:rPr>
              <w:t>4</w:t>
            </w:r>
          </w:p>
        </w:tc>
        <w:tc>
          <w:tcPr>
            <w:tcW w:w="1334" w:type="dxa"/>
            <w:vAlign w:val="center"/>
          </w:tcPr>
          <w:p w:rsidR="003A4C7B" w:rsidRDefault="00D91CEA">
            <w:pPr>
              <w:jc w:val="center"/>
            </w:pPr>
            <w:r>
              <w:rPr>
                <w:color w:val="000000"/>
                <w:sz w:val="24"/>
                <w:szCs w:val="24"/>
              </w:rPr>
              <w:t>H02313</w:t>
            </w:r>
          </w:p>
        </w:tc>
        <w:tc>
          <w:tcPr>
            <w:tcW w:w="1777" w:type="dxa"/>
            <w:vAlign w:val="center"/>
          </w:tcPr>
          <w:p w:rsidR="003A4C7B" w:rsidRDefault="00D91CEA">
            <w:pPr>
              <w:jc w:val="center"/>
            </w:pPr>
            <w:r>
              <w:rPr>
                <w:color w:val="000000"/>
                <w:sz w:val="24"/>
                <w:szCs w:val="24"/>
              </w:rPr>
              <w:t>申洲国际</w:t>
            </w:r>
          </w:p>
        </w:tc>
        <w:tc>
          <w:tcPr>
            <w:tcW w:w="1334" w:type="dxa"/>
            <w:vAlign w:val="center"/>
          </w:tcPr>
          <w:p w:rsidR="003A4C7B" w:rsidRDefault="00D91CEA">
            <w:pPr>
              <w:jc w:val="right"/>
            </w:pPr>
            <w:r>
              <w:rPr>
                <w:color w:val="000000"/>
                <w:sz w:val="24"/>
                <w:szCs w:val="24"/>
              </w:rPr>
              <w:t>200,000</w:t>
            </w:r>
          </w:p>
        </w:tc>
        <w:tc>
          <w:tcPr>
            <w:tcW w:w="1924" w:type="dxa"/>
            <w:vAlign w:val="center"/>
          </w:tcPr>
          <w:p w:rsidR="003A4C7B" w:rsidRDefault="00D91CEA">
            <w:pPr>
              <w:jc w:val="right"/>
            </w:pPr>
            <w:r>
              <w:rPr>
                <w:color w:val="000000"/>
                <w:sz w:val="24"/>
                <w:szCs w:val="24"/>
              </w:rPr>
              <w:t>15,552,550.00</w:t>
            </w:r>
          </w:p>
        </w:tc>
        <w:tc>
          <w:tcPr>
            <w:tcW w:w="1644" w:type="dxa"/>
            <w:vAlign w:val="center"/>
          </w:tcPr>
          <w:p w:rsidR="003A4C7B" w:rsidRDefault="00D91CEA">
            <w:pPr>
              <w:jc w:val="right"/>
            </w:pPr>
            <w:r>
              <w:rPr>
                <w:color w:val="000000"/>
                <w:sz w:val="24"/>
                <w:szCs w:val="24"/>
              </w:rPr>
              <w:t>3.48</w:t>
            </w:r>
          </w:p>
        </w:tc>
      </w:tr>
      <w:tr w:rsidR="003A4C7B">
        <w:trPr>
          <w:jc w:val="center"/>
        </w:trPr>
        <w:tc>
          <w:tcPr>
            <w:tcW w:w="855" w:type="dxa"/>
            <w:vAlign w:val="center"/>
          </w:tcPr>
          <w:p w:rsidR="003A4C7B" w:rsidRDefault="00D91CEA">
            <w:pPr>
              <w:jc w:val="center"/>
            </w:pPr>
            <w:r>
              <w:rPr>
                <w:color w:val="000000"/>
                <w:sz w:val="24"/>
                <w:szCs w:val="24"/>
              </w:rPr>
              <w:t>5</w:t>
            </w:r>
          </w:p>
        </w:tc>
        <w:tc>
          <w:tcPr>
            <w:tcW w:w="1334" w:type="dxa"/>
            <w:vAlign w:val="center"/>
          </w:tcPr>
          <w:p w:rsidR="003A4C7B" w:rsidRDefault="00D91CEA">
            <w:pPr>
              <w:jc w:val="center"/>
            </w:pPr>
            <w:r>
              <w:rPr>
                <w:color w:val="000000"/>
                <w:sz w:val="24"/>
                <w:szCs w:val="24"/>
              </w:rPr>
              <w:t>H01044</w:t>
            </w:r>
          </w:p>
        </w:tc>
        <w:tc>
          <w:tcPr>
            <w:tcW w:w="1777" w:type="dxa"/>
            <w:vAlign w:val="center"/>
          </w:tcPr>
          <w:p w:rsidR="003A4C7B" w:rsidRDefault="00D91CEA">
            <w:pPr>
              <w:jc w:val="center"/>
            </w:pPr>
            <w:r>
              <w:rPr>
                <w:color w:val="000000"/>
                <w:sz w:val="24"/>
                <w:szCs w:val="24"/>
              </w:rPr>
              <w:t>恒安国际</w:t>
            </w:r>
          </w:p>
        </w:tc>
        <w:tc>
          <w:tcPr>
            <w:tcW w:w="1334" w:type="dxa"/>
            <w:vAlign w:val="center"/>
          </w:tcPr>
          <w:p w:rsidR="003A4C7B" w:rsidRDefault="00D91CEA">
            <w:pPr>
              <w:jc w:val="right"/>
            </w:pPr>
            <w:r>
              <w:rPr>
                <w:color w:val="000000"/>
                <w:sz w:val="24"/>
                <w:szCs w:val="24"/>
              </w:rPr>
              <w:t>300,000</w:t>
            </w:r>
          </w:p>
        </w:tc>
        <w:tc>
          <w:tcPr>
            <w:tcW w:w="1924" w:type="dxa"/>
            <w:vAlign w:val="center"/>
          </w:tcPr>
          <w:p w:rsidR="003A4C7B" w:rsidRDefault="00D91CEA">
            <w:pPr>
              <w:jc w:val="right"/>
            </w:pPr>
            <w:r>
              <w:rPr>
                <w:color w:val="000000"/>
                <w:sz w:val="24"/>
                <w:szCs w:val="24"/>
              </w:rPr>
              <w:t>14,983,020.00</w:t>
            </w:r>
          </w:p>
        </w:tc>
        <w:tc>
          <w:tcPr>
            <w:tcW w:w="1644" w:type="dxa"/>
            <w:vAlign w:val="center"/>
          </w:tcPr>
          <w:p w:rsidR="003A4C7B" w:rsidRDefault="00D91CEA">
            <w:pPr>
              <w:jc w:val="right"/>
            </w:pPr>
            <w:r>
              <w:rPr>
                <w:color w:val="000000"/>
                <w:sz w:val="24"/>
                <w:szCs w:val="24"/>
              </w:rPr>
              <w:t>3.35</w:t>
            </w:r>
          </w:p>
        </w:tc>
      </w:tr>
      <w:tr w:rsidR="003A4C7B">
        <w:trPr>
          <w:jc w:val="center"/>
        </w:trPr>
        <w:tc>
          <w:tcPr>
            <w:tcW w:w="855" w:type="dxa"/>
            <w:vAlign w:val="center"/>
          </w:tcPr>
          <w:p w:rsidR="003A4C7B" w:rsidRDefault="00D91CEA">
            <w:pPr>
              <w:jc w:val="center"/>
            </w:pPr>
            <w:r>
              <w:rPr>
                <w:color w:val="000000"/>
                <w:sz w:val="24"/>
                <w:szCs w:val="24"/>
              </w:rPr>
              <w:t>6</w:t>
            </w:r>
          </w:p>
        </w:tc>
        <w:tc>
          <w:tcPr>
            <w:tcW w:w="1334" w:type="dxa"/>
            <w:vAlign w:val="center"/>
          </w:tcPr>
          <w:p w:rsidR="003A4C7B" w:rsidRDefault="00D91CEA">
            <w:pPr>
              <w:jc w:val="center"/>
            </w:pPr>
            <w:r>
              <w:rPr>
                <w:color w:val="000000"/>
                <w:sz w:val="24"/>
                <w:szCs w:val="24"/>
              </w:rPr>
              <w:t>H00817</w:t>
            </w:r>
          </w:p>
        </w:tc>
        <w:tc>
          <w:tcPr>
            <w:tcW w:w="1777" w:type="dxa"/>
            <w:vAlign w:val="center"/>
          </w:tcPr>
          <w:p w:rsidR="003A4C7B" w:rsidRDefault="00D91CEA">
            <w:pPr>
              <w:jc w:val="center"/>
            </w:pPr>
            <w:r>
              <w:rPr>
                <w:color w:val="000000"/>
                <w:sz w:val="24"/>
                <w:szCs w:val="24"/>
              </w:rPr>
              <w:t>中国金茂</w:t>
            </w:r>
          </w:p>
        </w:tc>
        <w:tc>
          <w:tcPr>
            <w:tcW w:w="1334" w:type="dxa"/>
            <w:vAlign w:val="center"/>
          </w:tcPr>
          <w:p w:rsidR="003A4C7B" w:rsidRDefault="00D91CEA">
            <w:pPr>
              <w:jc w:val="right"/>
            </w:pPr>
            <w:r>
              <w:rPr>
                <w:color w:val="000000"/>
                <w:sz w:val="24"/>
                <w:szCs w:val="24"/>
              </w:rPr>
              <w:t>4,700,000</w:t>
            </w:r>
          </w:p>
        </w:tc>
        <w:tc>
          <w:tcPr>
            <w:tcW w:w="1924" w:type="dxa"/>
            <w:vAlign w:val="center"/>
          </w:tcPr>
          <w:p w:rsidR="003A4C7B" w:rsidRDefault="00D91CEA">
            <w:pPr>
              <w:jc w:val="right"/>
            </w:pPr>
            <w:r>
              <w:rPr>
                <w:color w:val="000000"/>
                <w:sz w:val="24"/>
                <w:szCs w:val="24"/>
              </w:rPr>
              <w:t>14,495,852.80</w:t>
            </w:r>
          </w:p>
        </w:tc>
        <w:tc>
          <w:tcPr>
            <w:tcW w:w="1644" w:type="dxa"/>
            <w:vAlign w:val="center"/>
          </w:tcPr>
          <w:p w:rsidR="003A4C7B" w:rsidRDefault="00D91CEA">
            <w:pPr>
              <w:jc w:val="right"/>
            </w:pPr>
            <w:r>
              <w:rPr>
                <w:color w:val="000000"/>
                <w:sz w:val="24"/>
                <w:szCs w:val="24"/>
              </w:rPr>
              <w:t>3.24</w:t>
            </w:r>
          </w:p>
        </w:tc>
      </w:tr>
      <w:tr w:rsidR="003A4C7B">
        <w:trPr>
          <w:jc w:val="center"/>
        </w:trPr>
        <w:tc>
          <w:tcPr>
            <w:tcW w:w="855" w:type="dxa"/>
            <w:vAlign w:val="center"/>
          </w:tcPr>
          <w:p w:rsidR="003A4C7B" w:rsidRDefault="00D91CEA">
            <w:pPr>
              <w:jc w:val="center"/>
            </w:pPr>
            <w:r>
              <w:rPr>
                <w:color w:val="000000"/>
                <w:sz w:val="24"/>
                <w:szCs w:val="24"/>
              </w:rPr>
              <w:t>7</w:t>
            </w:r>
          </w:p>
        </w:tc>
        <w:tc>
          <w:tcPr>
            <w:tcW w:w="1334" w:type="dxa"/>
            <w:vAlign w:val="center"/>
          </w:tcPr>
          <w:p w:rsidR="003A4C7B" w:rsidRDefault="00D91CEA">
            <w:pPr>
              <w:jc w:val="center"/>
            </w:pPr>
            <w:r>
              <w:rPr>
                <w:color w:val="000000"/>
                <w:sz w:val="24"/>
                <w:szCs w:val="24"/>
              </w:rPr>
              <w:t>000002</w:t>
            </w:r>
          </w:p>
        </w:tc>
        <w:tc>
          <w:tcPr>
            <w:tcW w:w="1777" w:type="dxa"/>
            <w:vAlign w:val="center"/>
          </w:tcPr>
          <w:p w:rsidR="003A4C7B" w:rsidRDefault="00D91CEA">
            <w:pPr>
              <w:jc w:val="center"/>
            </w:pPr>
            <w:r>
              <w:rPr>
                <w:color w:val="000000"/>
                <w:sz w:val="24"/>
                <w:szCs w:val="24"/>
              </w:rPr>
              <w:t>万科</w:t>
            </w:r>
            <w:r>
              <w:rPr>
                <w:color w:val="000000"/>
                <w:sz w:val="24"/>
                <w:szCs w:val="24"/>
              </w:rPr>
              <w:t>A</w:t>
            </w:r>
          </w:p>
        </w:tc>
        <w:tc>
          <w:tcPr>
            <w:tcW w:w="1334" w:type="dxa"/>
            <w:vAlign w:val="center"/>
          </w:tcPr>
          <w:p w:rsidR="003A4C7B" w:rsidRDefault="00D91CEA">
            <w:pPr>
              <w:jc w:val="right"/>
            </w:pPr>
            <w:r>
              <w:rPr>
                <w:color w:val="000000"/>
                <w:sz w:val="24"/>
                <w:szCs w:val="24"/>
              </w:rPr>
              <w:t>600,000</w:t>
            </w:r>
          </w:p>
        </w:tc>
        <w:tc>
          <w:tcPr>
            <w:tcW w:w="1924" w:type="dxa"/>
            <w:vAlign w:val="center"/>
          </w:tcPr>
          <w:p w:rsidR="003A4C7B" w:rsidRDefault="00D91CEA">
            <w:pPr>
              <w:jc w:val="right"/>
            </w:pPr>
            <w:r>
              <w:rPr>
                <w:color w:val="000000"/>
                <w:sz w:val="24"/>
                <w:szCs w:val="24"/>
              </w:rPr>
              <w:t>14,292,000.00</w:t>
            </w:r>
          </w:p>
        </w:tc>
        <w:tc>
          <w:tcPr>
            <w:tcW w:w="1644" w:type="dxa"/>
            <w:vAlign w:val="center"/>
          </w:tcPr>
          <w:p w:rsidR="003A4C7B" w:rsidRDefault="00D91CEA">
            <w:pPr>
              <w:jc w:val="right"/>
            </w:pPr>
            <w:r>
              <w:rPr>
                <w:color w:val="000000"/>
                <w:sz w:val="24"/>
                <w:szCs w:val="24"/>
              </w:rPr>
              <w:t>3.20</w:t>
            </w:r>
          </w:p>
        </w:tc>
      </w:tr>
      <w:tr w:rsidR="003A4C7B">
        <w:trPr>
          <w:jc w:val="center"/>
        </w:trPr>
        <w:tc>
          <w:tcPr>
            <w:tcW w:w="855" w:type="dxa"/>
            <w:vAlign w:val="center"/>
          </w:tcPr>
          <w:p w:rsidR="003A4C7B" w:rsidRDefault="00D91CEA">
            <w:pPr>
              <w:jc w:val="center"/>
            </w:pPr>
            <w:r>
              <w:rPr>
                <w:color w:val="000000"/>
                <w:sz w:val="24"/>
                <w:szCs w:val="24"/>
              </w:rPr>
              <w:t>8</w:t>
            </w:r>
          </w:p>
        </w:tc>
        <w:tc>
          <w:tcPr>
            <w:tcW w:w="1334" w:type="dxa"/>
            <w:vAlign w:val="center"/>
          </w:tcPr>
          <w:p w:rsidR="003A4C7B" w:rsidRDefault="00D91CEA">
            <w:pPr>
              <w:jc w:val="center"/>
            </w:pPr>
            <w:r>
              <w:rPr>
                <w:color w:val="000000"/>
                <w:sz w:val="24"/>
                <w:szCs w:val="24"/>
              </w:rPr>
              <w:t>600795</w:t>
            </w:r>
          </w:p>
        </w:tc>
        <w:tc>
          <w:tcPr>
            <w:tcW w:w="1777" w:type="dxa"/>
            <w:vAlign w:val="center"/>
          </w:tcPr>
          <w:p w:rsidR="003A4C7B" w:rsidRDefault="00D91CEA">
            <w:pPr>
              <w:jc w:val="center"/>
            </w:pPr>
            <w:r>
              <w:rPr>
                <w:color w:val="000000"/>
                <w:sz w:val="24"/>
                <w:szCs w:val="24"/>
              </w:rPr>
              <w:t>国电电力</w:t>
            </w:r>
          </w:p>
        </w:tc>
        <w:tc>
          <w:tcPr>
            <w:tcW w:w="1334" w:type="dxa"/>
            <w:vAlign w:val="center"/>
          </w:tcPr>
          <w:p w:rsidR="003A4C7B" w:rsidRDefault="00D91CEA">
            <w:pPr>
              <w:jc w:val="right"/>
            </w:pPr>
            <w:r>
              <w:rPr>
                <w:color w:val="000000"/>
                <w:sz w:val="24"/>
                <w:szCs w:val="24"/>
              </w:rPr>
              <w:t>4,999,916</w:t>
            </w:r>
          </w:p>
        </w:tc>
        <w:tc>
          <w:tcPr>
            <w:tcW w:w="1924" w:type="dxa"/>
            <w:vAlign w:val="center"/>
          </w:tcPr>
          <w:p w:rsidR="003A4C7B" w:rsidRDefault="00D91CEA">
            <w:pPr>
              <w:jc w:val="right"/>
            </w:pPr>
            <w:r>
              <w:rPr>
                <w:color w:val="000000"/>
                <w:sz w:val="24"/>
                <w:szCs w:val="24"/>
              </w:rPr>
              <w:t>12,799,784.96</w:t>
            </w:r>
          </w:p>
        </w:tc>
        <w:tc>
          <w:tcPr>
            <w:tcW w:w="1644" w:type="dxa"/>
            <w:vAlign w:val="center"/>
          </w:tcPr>
          <w:p w:rsidR="003A4C7B" w:rsidRDefault="00D91CEA">
            <w:pPr>
              <w:jc w:val="right"/>
            </w:pPr>
            <w:r>
              <w:rPr>
                <w:color w:val="000000"/>
                <w:sz w:val="24"/>
                <w:szCs w:val="24"/>
              </w:rPr>
              <w:t>2.86</w:t>
            </w:r>
          </w:p>
        </w:tc>
      </w:tr>
      <w:tr w:rsidR="003A4C7B">
        <w:trPr>
          <w:jc w:val="center"/>
        </w:trPr>
        <w:tc>
          <w:tcPr>
            <w:tcW w:w="855" w:type="dxa"/>
            <w:vAlign w:val="center"/>
          </w:tcPr>
          <w:p w:rsidR="003A4C7B" w:rsidRDefault="00D91CEA">
            <w:pPr>
              <w:jc w:val="center"/>
            </w:pPr>
            <w:r>
              <w:rPr>
                <w:color w:val="000000"/>
                <w:sz w:val="24"/>
                <w:szCs w:val="24"/>
              </w:rPr>
              <w:t>9</w:t>
            </w:r>
          </w:p>
        </w:tc>
        <w:tc>
          <w:tcPr>
            <w:tcW w:w="1334" w:type="dxa"/>
            <w:vAlign w:val="center"/>
          </w:tcPr>
          <w:p w:rsidR="003A4C7B" w:rsidRDefault="00D91CEA">
            <w:pPr>
              <w:jc w:val="center"/>
            </w:pPr>
            <w:r>
              <w:rPr>
                <w:color w:val="000000"/>
                <w:sz w:val="24"/>
                <w:szCs w:val="24"/>
              </w:rPr>
              <w:t>600622</w:t>
            </w:r>
          </w:p>
        </w:tc>
        <w:tc>
          <w:tcPr>
            <w:tcW w:w="1777" w:type="dxa"/>
            <w:vAlign w:val="center"/>
          </w:tcPr>
          <w:p w:rsidR="003A4C7B" w:rsidRDefault="00D91CEA">
            <w:pPr>
              <w:jc w:val="center"/>
            </w:pPr>
            <w:r>
              <w:rPr>
                <w:color w:val="000000"/>
                <w:sz w:val="24"/>
                <w:szCs w:val="24"/>
              </w:rPr>
              <w:t>光大嘉宝</w:t>
            </w:r>
          </w:p>
        </w:tc>
        <w:tc>
          <w:tcPr>
            <w:tcW w:w="1334" w:type="dxa"/>
            <w:vAlign w:val="center"/>
          </w:tcPr>
          <w:p w:rsidR="003A4C7B" w:rsidRDefault="00D91CEA">
            <w:pPr>
              <w:jc w:val="right"/>
            </w:pPr>
            <w:r>
              <w:rPr>
                <w:color w:val="000000"/>
                <w:sz w:val="24"/>
                <w:szCs w:val="24"/>
              </w:rPr>
              <w:t>2,117,974</w:t>
            </w:r>
          </w:p>
        </w:tc>
        <w:tc>
          <w:tcPr>
            <w:tcW w:w="1924" w:type="dxa"/>
            <w:vAlign w:val="center"/>
          </w:tcPr>
          <w:p w:rsidR="003A4C7B" w:rsidRDefault="00D91CEA">
            <w:pPr>
              <w:jc w:val="right"/>
            </w:pPr>
            <w:r>
              <w:rPr>
                <w:color w:val="000000"/>
                <w:sz w:val="24"/>
                <w:szCs w:val="24"/>
              </w:rPr>
              <w:t>12,008,912.58</w:t>
            </w:r>
          </w:p>
        </w:tc>
        <w:tc>
          <w:tcPr>
            <w:tcW w:w="1644" w:type="dxa"/>
            <w:vAlign w:val="center"/>
          </w:tcPr>
          <w:p w:rsidR="003A4C7B" w:rsidRDefault="00D91CEA">
            <w:pPr>
              <w:jc w:val="right"/>
            </w:pPr>
            <w:r>
              <w:rPr>
                <w:color w:val="000000"/>
                <w:sz w:val="24"/>
                <w:szCs w:val="24"/>
              </w:rPr>
              <w:t>2.69</w:t>
            </w:r>
          </w:p>
        </w:tc>
      </w:tr>
      <w:tr w:rsidR="003A4C7B">
        <w:trPr>
          <w:jc w:val="center"/>
        </w:trPr>
        <w:tc>
          <w:tcPr>
            <w:tcW w:w="855" w:type="dxa"/>
            <w:vAlign w:val="center"/>
          </w:tcPr>
          <w:p w:rsidR="003A4C7B" w:rsidRDefault="00D91CEA">
            <w:pPr>
              <w:jc w:val="center"/>
            </w:pPr>
            <w:r>
              <w:rPr>
                <w:color w:val="000000"/>
                <w:sz w:val="24"/>
                <w:szCs w:val="24"/>
              </w:rPr>
              <w:t>10</w:t>
            </w:r>
          </w:p>
        </w:tc>
        <w:tc>
          <w:tcPr>
            <w:tcW w:w="1334" w:type="dxa"/>
            <w:vAlign w:val="center"/>
          </w:tcPr>
          <w:p w:rsidR="003A4C7B" w:rsidRDefault="00D91CEA">
            <w:pPr>
              <w:jc w:val="center"/>
            </w:pPr>
            <w:r>
              <w:rPr>
                <w:color w:val="000000"/>
                <w:sz w:val="24"/>
                <w:szCs w:val="24"/>
              </w:rPr>
              <w:t>601318</w:t>
            </w:r>
          </w:p>
        </w:tc>
        <w:tc>
          <w:tcPr>
            <w:tcW w:w="1777" w:type="dxa"/>
            <w:vAlign w:val="center"/>
          </w:tcPr>
          <w:p w:rsidR="003A4C7B" w:rsidRDefault="00D91CEA">
            <w:pPr>
              <w:jc w:val="center"/>
            </w:pPr>
            <w:r>
              <w:rPr>
                <w:color w:val="000000"/>
                <w:sz w:val="24"/>
                <w:szCs w:val="24"/>
              </w:rPr>
              <w:t>中国平安</w:t>
            </w:r>
          </w:p>
        </w:tc>
        <w:tc>
          <w:tcPr>
            <w:tcW w:w="1334" w:type="dxa"/>
            <w:vAlign w:val="center"/>
          </w:tcPr>
          <w:p w:rsidR="003A4C7B" w:rsidRDefault="00D91CEA">
            <w:pPr>
              <w:jc w:val="right"/>
            </w:pPr>
            <w:r>
              <w:rPr>
                <w:color w:val="000000"/>
                <w:sz w:val="24"/>
                <w:szCs w:val="24"/>
              </w:rPr>
              <w:t>200,000</w:t>
            </w:r>
          </w:p>
        </w:tc>
        <w:tc>
          <w:tcPr>
            <w:tcW w:w="1924" w:type="dxa"/>
            <w:vAlign w:val="center"/>
          </w:tcPr>
          <w:p w:rsidR="003A4C7B" w:rsidRDefault="00D91CEA">
            <w:pPr>
              <w:jc w:val="right"/>
            </w:pPr>
            <w:r>
              <w:rPr>
                <w:color w:val="000000"/>
                <w:sz w:val="24"/>
                <w:szCs w:val="24"/>
              </w:rPr>
              <w:t>11,220,000.00</w:t>
            </w:r>
          </w:p>
        </w:tc>
        <w:tc>
          <w:tcPr>
            <w:tcW w:w="1644" w:type="dxa"/>
            <w:vAlign w:val="center"/>
          </w:tcPr>
          <w:p w:rsidR="003A4C7B" w:rsidRDefault="00D91CEA">
            <w:pPr>
              <w:jc w:val="right"/>
            </w:pPr>
            <w:r>
              <w:rPr>
                <w:color w:val="000000"/>
                <w:sz w:val="24"/>
                <w:szCs w:val="24"/>
              </w:rPr>
              <w:t>2.51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lastRenderedPageBreak/>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122,199.73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1,184.62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62,422.57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185,806.92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lastRenderedPageBreak/>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455,930,735.78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5,866,765.89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9,489,927.01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452,307,574.66</w:t>
            </w:r>
          </w:p>
        </w:tc>
      </w:tr>
    </w:tbl>
    <w:p w:rsidR="003A4C7B" w:rsidRDefault="00D91CE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3A4C7B">
        <w:tc>
          <w:tcPr>
            <w:tcW w:w="993" w:type="dxa"/>
            <w:vMerge w:val="restart"/>
          </w:tcPr>
          <w:p w:rsidR="003A4C7B" w:rsidRDefault="003A4C7B"/>
          <w:p w:rsidR="003A4C7B" w:rsidRDefault="00D91CEA">
            <w:r>
              <w:rPr>
                <w:rFonts w:ascii="宋体" w:hAnsi="宋体" w:hint="eastAsia"/>
                <w:bCs/>
                <w:color w:val="000000"/>
                <w:kern w:val="0"/>
              </w:rPr>
              <w:t>机构</w:t>
            </w:r>
          </w:p>
        </w:tc>
        <w:tc>
          <w:tcPr>
            <w:tcW w:w="992" w:type="dxa"/>
            <w:vAlign w:val="center"/>
          </w:tcPr>
          <w:p w:rsidR="003A4C7B" w:rsidRDefault="00D91CEA">
            <w:pPr>
              <w:jc w:val="center"/>
            </w:pPr>
            <w:r>
              <w:rPr>
                <w:rFonts w:ascii="宋体" w:hAnsi="宋体"/>
                <w:color w:val="000000"/>
                <w:kern w:val="0"/>
              </w:rPr>
              <w:t>1</w:t>
            </w:r>
          </w:p>
        </w:tc>
        <w:tc>
          <w:tcPr>
            <w:tcW w:w="1843" w:type="dxa"/>
            <w:vAlign w:val="center"/>
          </w:tcPr>
          <w:p w:rsidR="003A4C7B" w:rsidRDefault="00D91CEA">
            <w:pPr>
              <w:jc w:val="center"/>
            </w:pPr>
            <w:r>
              <w:rPr>
                <w:rFonts w:ascii="宋体" w:hAnsi="宋体"/>
                <w:color w:val="000000"/>
                <w:kern w:val="0"/>
              </w:rPr>
              <w:t>2018/10/1-2018/12/31</w:t>
            </w:r>
          </w:p>
        </w:tc>
        <w:tc>
          <w:tcPr>
            <w:tcW w:w="851" w:type="dxa"/>
            <w:vAlign w:val="center"/>
          </w:tcPr>
          <w:p w:rsidR="003A4C7B" w:rsidRDefault="00D91CEA">
            <w:pPr>
              <w:jc w:val="center"/>
            </w:pPr>
            <w:r>
              <w:rPr>
                <w:rFonts w:ascii="宋体" w:hAnsi="宋体"/>
                <w:color w:val="000000"/>
                <w:kern w:val="0"/>
              </w:rPr>
              <w:t>156,993,386.51</w:t>
            </w:r>
          </w:p>
        </w:tc>
        <w:tc>
          <w:tcPr>
            <w:tcW w:w="850" w:type="dxa"/>
            <w:vAlign w:val="center"/>
          </w:tcPr>
          <w:p w:rsidR="003A4C7B" w:rsidRDefault="00D91CEA">
            <w:pPr>
              <w:jc w:val="center"/>
            </w:pPr>
            <w:r>
              <w:rPr>
                <w:rFonts w:ascii="宋体" w:hAnsi="宋体"/>
                <w:color w:val="000000"/>
                <w:kern w:val="0"/>
              </w:rPr>
              <w:t>-</w:t>
            </w:r>
          </w:p>
        </w:tc>
        <w:tc>
          <w:tcPr>
            <w:tcW w:w="1134" w:type="dxa"/>
            <w:vAlign w:val="center"/>
          </w:tcPr>
          <w:p w:rsidR="003A4C7B" w:rsidRDefault="00D91CEA">
            <w:pPr>
              <w:jc w:val="center"/>
            </w:pPr>
            <w:r>
              <w:rPr>
                <w:rFonts w:ascii="宋体" w:hAnsi="宋体"/>
                <w:color w:val="000000"/>
                <w:kern w:val="0"/>
              </w:rPr>
              <w:t>-</w:t>
            </w:r>
          </w:p>
        </w:tc>
        <w:tc>
          <w:tcPr>
            <w:tcW w:w="1419" w:type="dxa"/>
            <w:vAlign w:val="center"/>
          </w:tcPr>
          <w:p w:rsidR="003A4C7B" w:rsidRDefault="00D91CEA">
            <w:pPr>
              <w:jc w:val="center"/>
            </w:pPr>
            <w:r>
              <w:rPr>
                <w:rFonts w:ascii="宋体" w:hAnsi="宋体"/>
                <w:color w:val="000000"/>
                <w:kern w:val="0"/>
              </w:rPr>
              <w:t>156,993,386.51</w:t>
            </w:r>
          </w:p>
        </w:tc>
        <w:tc>
          <w:tcPr>
            <w:tcW w:w="1130" w:type="dxa"/>
            <w:vAlign w:val="center"/>
          </w:tcPr>
          <w:p w:rsidR="003A4C7B" w:rsidRDefault="00D91CEA">
            <w:pPr>
              <w:jc w:val="center"/>
            </w:pPr>
            <w:r>
              <w:rPr>
                <w:rFonts w:ascii="宋体" w:hAnsi="宋体"/>
                <w:color w:val="000000"/>
                <w:kern w:val="0"/>
              </w:rPr>
              <w:t>34.71%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lastRenderedPageBreak/>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A4C7B" w:rsidRDefault="00D91CE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、中国证监会准予交银施罗德沪港深价值精选灵活配置混合型证券投资基金募集注册的文件；</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、《交银施罗德沪港深价值精选灵活配置混合型证券投资基金基金合同》；</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、《交银施罗德沪港深价值精选灵活配置混合型证券投资基金招募说明书》；</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、《交银施罗德沪港深价值精选灵活配置混合型证券投资基金托管协议》；</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、关于申请募集注册交银施罗德沪港深价值精选灵活配置混合型证券投资基金的法律意见书；</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A4C7B" w:rsidRDefault="00D91CE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、报告期内交银施罗德沪港深价值精选灵活配置混合型证券投资基金在指定报刊上各项公告的原稿。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A4C7B" w:rsidRDefault="00D91CEA">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EA" w:rsidRDefault="00D91CEA" w:rsidP="00876D65">
      <w:r>
        <w:separator/>
      </w:r>
    </w:p>
  </w:endnote>
  <w:endnote w:type="continuationSeparator" w:id="0">
    <w:p w:rsidR="00D91CEA" w:rsidRDefault="00D91CE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017E11">
      <w:rPr>
        <w:noProof/>
        <w:kern w:val="0"/>
        <w:szCs w:val="21"/>
      </w:rPr>
      <w:t>12</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017E11">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EA" w:rsidRDefault="00D91CEA" w:rsidP="00876D65">
      <w:r>
        <w:separator/>
      </w:r>
    </w:p>
  </w:footnote>
  <w:footnote w:type="continuationSeparator" w:id="0">
    <w:p w:rsidR="00D91CEA" w:rsidRDefault="00D91CE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交银施罗德沪港深价值精选灵活配置混合型证券投资基金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17E11"/>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4C7B"/>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CEA"/>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0ECD7D-678B-4C00-AC1C-2B7A3948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5152A-14F0-4BC1-A713-CA8F0EB56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579</cp:revision>
  <dcterms:created xsi:type="dcterms:W3CDTF">2012-10-16T06:07:00Z</dcterms:created>
  <dcterms:modified xsi:type="dcterms:W3CDTF">2019-01-17T02:55:00Z</dcterms:modified>
</cp:coreProperties>
</file>