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30,973,662.51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FA36C5" w:rsidRDefault="00E4116A">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FA36C5" w:rsidRDefault="00FA36C5">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FA36C5" w:rsidRDefault="00E4116A">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27,161,445.45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3,812,217.06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282,336.36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157,634.78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269,826.22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87,494.11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w:t>
            </w:r>
            <w:r w:rsidR="00E4116A">
              <w:rPr>
                <w:color w:val="000000"/>
                <w:sz w:val="24"/>
              </w:rPr>
              <w:t>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28,971,745.72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4,240,353.23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1.112</w:t>
            </w:r>
          </w:p>
        </w:tc>
      </w:tr>
    </w:tbl>
    <w:p w:rsidR="00FA36C5" w:rsidRDefault="00E411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A36C5">
        <w:trPr>
          <w:jc w:val="center"/>
        </w:trPr>
        <w:tc>
          <w:tcPr>
            <w:tcW w:w="1266" w:type="dxa"/>
            <w:vAlign w:val="center"/>
          </w:tcPr>
          <w:p w:rsidR="00FA36C5" w:rsidRDefault="00E4116A">
            <w:pPr>
              <w:jc w:val="left"/>
            </w:pPr>
            <w:r>
              <w:rPr>
                <w:color w:val="000000"/>
                <w:sz w:val="24"/>
              </w:rPr>
              <w:t>过去三个月</w:t>
            </w:r>
          </w:p>
        </w:tc>
        <w:tc>
          <w:tcPr>
            <w:tcW w:w="1267" w:type="dxa"/>
            <w:vAlign w:val="center"/>
          </w:tcPr>
          <w:p w:rsidR="00FA36C5" w:rsidRDefault="00E4116A">
            <w:pPr>
              <w:jc w:val="center"/>
            </w:pPr>
            <w:r>
              <w:rPr>
                <w:color w:val="000000"/>
                <w:sz w:val="24"/>
              </w:rPr>
              <w:t>0.95%</w:t>
            </w:r>
          </w:p>
        </w:tc>
        <w:tc>
          <w:tcPr>
            <w:tcW w:w="1267" w:type="dxa"/>
            <w:vAlign w:val="center"/>
          </w:tcPr>
          <w:p w:rsidR="00FA36C5" w:rsidRDefault="00E4116A">
            <w:pPr>
              <w:jc w:val="center"/>
            </w:pPr>
            <w:r>
              <w:rPr>
                <w:color w:val="000000"/>
                <w:sz w:val="24"/>
              </w:rPr>
              <w:t>0.05%</w:t>
            </w:r>
          </w:p>
        </w:tc>
        <w:tc>
          <w:tcPr>
            <w:tcW w:w="1267" w:type="dxa"/>
            <w:vAlign w:val="center"/>
          </w:tcPr>
          <w:p w:rsidR="00FA36C5" w:rsidRDefault="00E4116A" w:rsidP="00B0239D">
            <w:pPr>
              <w:jc w:val="center"/>
            </w:pPr>
            <w:r>
              <w:rPr>
                <w:color w:val="000000"/>
                <w:sz w:val="24"/>
              </w:rPr>
              <w:t>1.</w:t>
            </w:r>
            <w:r w:rsidR="00B0239D">
              <w:rPr>
                <w:color w:val="000000"/>
                <w:sz w:val="24"/>
              </w:rPr>
              <w:t>9</w:t>
            </w:r>
            <w:r w:rsidR="00B0239D">
              <w:rPr>
                <w:color w:val="000000"/>
                <w:sz w:val="24"/>
              </w:rPr>
              <w:t>9</w:t>
            </w:r>
            <w:r>
              <w:rPr>
                <w:color w:val="000000"/>
                <w:sz w:val="24"/>
              </w:rPr>
              <w:t>%</w:t>
            </w:r>
          </w:p>
        </w:tc>
        <w:tc>
          <w:tcPr>
            <w:tcW w:w="1267" w:type="dxa"/>
            <w:vAlign w:val="center"/>
          </w:tcPr>
          <w:p w:rsidR="00FA36C5" w:rsidRDefault="00E4116A">
            <w:pPr>
              <w:jc w:val="center"/>
            </w:pPr>
            <w:r>
              <w:rPr>
                <w:color w:val="000000"/>
                <w:sz w:val="24"/>
              </w:rPr>
              <w:t>0.05%</w:t>
            </w:r>
          </w:p>
        </w:tc>
        <w:tc>
          <w:tcPr>
            <w:tcW w:w="1267" w:type="dxa"/>
            <w:vAlign w:val="center"/>
          </w:tcPr>
          <w:p w:rsidR="00FA36C5" w:rsidRDefault="00E4116A" w:rsidP="00B0239D">
            <w:pPr>
              <w:jc w:val="center"/>
            </w:pPr>
            <w:r>
              <w:rPr>
                <w:color w:val="000000"/>
                <w:sz w:val="24"/>
              </w:rPr>
              <w:t>-1.</w:t>
            </w:r>
            <w:r w:rsidR="00B0239D">
              <w:rPr>
                <w:color w:val="000000"/>
                <w:sz w:val="24"/>
              </w:rPr>
              <w:t>0</w:t>
            </w:r>
            <w:r w:rsidR="00B0239D">
              <w:rPr>
                <w:color w:val="000000"/>
                <w:sz w:val="24"/>
              </w:rPr>
              <w:t>4</w:t>
            </w:r>
            <w:bookmarkStart w:id="0" w:name="_GoBack"/>
            <w:bookmarkEnd w:id="0"/>
            <w:r>
              <w:rPr>
                <w:color w:val="000000"/>
                <w:sz w:val="24"/>
              </w:rPr>
              <w:t>%</w:t>
            </w:r>
          </w:p>
        </w:tc>
        <w:tc>
          <w:tcPr>
            <w:tcW w:w="1267" w:type="dxa"/>
            <w:vAlign w:val="center"/>
          </w:tcPr>
          <w:p w:rsidR="00FA36C5" w:rsidRDefault="00E4116A">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A36C5">
        <w:trPr>
          <w:jc w:val="center"/>
        </w:trPr>
        <w:tc>
          <w:tcPr>
            <w:tcW w:w="1266" w:type="dxa"/>
            <w:vAlign w:val="center"/>
          </w:tcPr>
          <w:p w:rsidR="00FA36C5" w:rsidRDefault="00E4116A">
            <w:pPr>
              <w:jc w:val="left"/>
            </w:pPr>
            <w:r>
              <w:rPr>
                <w:color w:val="000000"/>
                <w:sz w:val="24"/>
              </w:rPr>
              <w:t>过去三个月</w:t>
            </w:r>
          </w:p>
        </w:tc>
        <w:tc>
          <w:tcPr>
            <w:tcW w:w="1267" w:type="dxa"/>
            <w:vAlign w:val="center"/>
          </w:tcPr>
          <w:p w:rsidR="00FA36C5" w:rsidRDefault="00E4116A">
            <w:pPr>
              <w:jc w:val="center"/>
            </w:pPr>
            <w:r>
              <w:rPr>
                <w:color w:val="000000"/>
                <w:sz w:val="24"/>
              </w:rPr>
              <w:t>0.91%</w:t>
            </w:r>
          </w:p>
        </w:tc>
        <w:tc>
          <w:tcPr>
            <w:tcW w:w="1267" w:type="dxa"/>
            <w:vAlign w:val="center"/>
          </w:tcPr>
          <w:p w:rsidR="00FA36C5" w:rsidRDefault="00E4116A">
            <w:pPr>
              <w:jc w:val="center"/>
            </w:pPr>
            <w:r>
              <w:rPr>
                <w:color w:val="000000"/>
                <w:sz w:val="24"/>
              </w:rPr>
              <w:t>0.05%</w:t>
            </w:r>
          </w:p>
        </w:tc>
        <w:tc>
          <w:tcPr>
            <w:tcW w:w="1267" w:type="dxa"/>
            <w:vAlign w:val="center"/>
          </w:tcPr>
          <w:p w:rsidR="00FA36C5" w:rsidRDefault="00E4116A">
            <w:pPr>
              <w:jc w:val="center"/>
            </w:pPr>
            <w:r>
              <w:rPr>
                <w:color w:val="000000"/>
                <w:sz w:val="24"/>
              </w:rPr>
              <w:t>1.99%</w:t>
            </w:r>
          </w:p>
        </w:tc>
        <w:tc>
          <w:tcPr>
            <w:tcW w:w="1267" w:type="dxa"/>
            <w:vAlign w:val="center"/>
          </w:tcPr>
          <w:p w:rsidR="00FA36C5" w:rsidRDefault="00E4116A">
            <w:pPr>
              <w:jc w:val="center"/>
            </w:pPr>
            <w:r>
              <w:rPr>
                <w:color w:val="000000"/>
                <w:sz w:val="24"/>
              </w:rPr>
              <w:t>0.05%</w:t>
            </w:r>
          </w:p>
        </w:tc>
        <w:tc>
          <w:tcPr>
            <w:tcW w:w="1267" w:type="dxa"/>
            <w:vAlign w:val="center"/>
          </w:tcPr>
          <w:p w:rsidR="00FA36C5" w:rsidRDefault="00E4116A">
            <w:pPr>
              <w:jc w:val="center"/>
            </w:pPr>
            <w:r>
              <w:rPr>
                <w:color w:val="000000"/>
                <w:sz w:val="24"/>
              </w:rPr>
              <w:t>-1.08%</w:t>
            </w:r>
          </w:p>
        </w:tc>
        <w:tc>
          <w:tcPr>
            <w:tcW w:w="1267" w:type="dxa"/>
            <w:vAlign w:val="center"/>
          </w:tcPr>
          <w:p w:rsidR="00FA36C5" w:rsidRDefault="00E4116A">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003F797A" w:rsidRPr="007F52FA">
        <w:rPr>
          <w:color w:val="000000"/>
          <w:sz w:val="24"/>
        </w:rPr>
        <w:t>1</w:t>
      </w:r>
      <w:r w:rsidR="003F797A">
        <w:rPr>
          <w:color w:val="000000"/>
          <w:sz w:val="24"/>
        </w:rPr>
        <w:t>4</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A36C5">
        <w:trPr>
          <w:jc w:val="center"/>
        </w:trPr>
        <w:tc>
          <w:tcPr>
            <w:tcW w:w="946" w:type="dxa"/>
            <w:vAlign w:val="center"/>
          </w:tcPr>
          <w:p w:rsidR="00FA36C5" w:rsidRDefault="00E4116A">
            <w:pPr>
              <w:jc w:val="center"/>
            </w:pPr>
            <w:r>
              <w:rPr>
                <w:color w:val="000000"/>
                <w:sz w:val="24"/>
              </w:rPr>
              <w:t>连端清</w:t>
            </w:r>
          </w:p>
        </w:tc>
        <w:tc>
          <w:tcPr>
            <w:tcW w:w="924" w:type="dxa"/>
            <w:vAlign w:val="center"/>
          </w:tcPr>
          <w:p w:rsidR="00FA36C5" w:rsidRDefault="00E4116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FA36C5" w:rsidRDefault="00E4116A">
            <w:pPr>
              <w:jc w:val="center"/>
            </w:pPr>
            <w:r>
              <w:rPr>
                <w:color w:val="000000"/>
                <w:sz w:val="24"/>
              </w:rPr>
              <w:t>2015-08-04</w:t>
            </w:r>
          </w:p>
        </w:tc>
        <w:tc>
          <w:tcPr>
            <w:tcW w:w="1300" w:type="dxa"/>
            <w:vAlign w:val="center"/>
          </w:tcPr>
          <w:p w:rsidR="00FA36C5" w:rsidRDefault="00E4116A">
            <w:pPr>
              <w:jc w:val="center"/>
            </w:pPr>
            <w:r>
              <w:rPr>
                <w:color w:val="000000"/>
                <w:sz w:val="24"/>
              </w:rPr>
              <w:t>-</w:t>
            </w:r>
          </w:p>
        </w:tc>
        <w:tc>
          <w:tcPr>
            <w:tcW w:w="1245" w:type="dxa"/>
            <w:vAlign w:val="center"/>
          </w:tcPr>
          <w:p w:rsidR="00FA36C5" w:rsidRDefault="00E4116A">
            <w:pPr>
              <w:jc w:val="center"/>
            </w:pPr>
            <w:r>
              <w:rPr>
                <w:color w:val="000000"/>
                <w:sz w:val="24"/>
              </w:rPr>
              <w:t>5</w:t>
            </w:r>
            <w:r>
              <w:rPr>
                <w:color w:val="000000"/>
                <w:sz w:val="24"/>
              </w:rPr>
              <w:t>年</w:t>
            </w:r>
          </w:p>
        </w:tc>
        <w:tc>
          <w:tcPr>
            <w:tcW w:w="3251" w:type="dxa"/>
            <w:vAlign w:val="center"/>
          </w:tcPr>
          <w:p w:rsidR="00FA36C5" w:rsidRDefault="00E4116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FA36C5">
        <w:trPr>
          <w:jc w:val="center"/>
        </w:trPr>
        <w:tc>
          <w:tcPr>
            <w:tcW w:w="946" w:type="dxa"/>
            <w:vAlign w:val="center"/>
          </w:tcPr>
          <w:p w:rsidR="00FA36C5" w:rsidRDefault="00E4116A">
            <w:pPr>
              <w:jc w:val="center"/>
            </w:pPr>
            <w:r>
              <w:rPr>
                <w:color w:val="000000"/>
                <w:sz w:val="24"/>
              </w:rPr>
              <w:t>于海颖</w:t>
            </w:r>
          </w:p>
        </w:tc>
        <w:tc>
          <w:tcPr>
            <w:tcW w:w="924" w:type="dxa"/>
            <w:vAlign w:val="center"/>
          </w:tcPr>
          <w:p w:rsidR="00FA36C5" w:rsidRDefault="00E4116A">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FA36C5" w:rsidRDefault="00E4116A">
            <w:pPr>
              <w:jc w:val="center"/>
            </w:pPr>
            <w:r>
              <w:rPr>
                <w:color w:val="000000"/>
                <w:sz w:val="24"/>
              </w:rPr>
              <w:t>2016-12-29</w:t>
            </w:r>
          </w:p>
        </w:tc>
        <w:tc>
          <w:tcPr>
            <w:tcW w:w="1300" w:type="dxa"/>
            <w:vAlign w:val="center"/>
          </w:tcPr>
          <w:p w:rsidR="00FA36C5" w:rsidRDefault="00E4116A">
            <w:pPr>
              <w:jc w:val="center"/>
            </w:pPr>
            <w:r>
              <w:rPr>
                <w:color w:val="000000"/>
                <w:sz w:val="24"/>
              </w:rPr>
              <w:t>-</w:t>
            </w:r>
          </w:p>
        </w:tc>
        <w:tc>
          <w:tcPr>
            <w:tcW w:w="1245" w:type="dxa"/>
            <w:vAlign w:val="center"/>
          </w:tcPr>
          <w:p w:rsidR="00FA36C5" w:rsidRDefault="00E4116A">
            <w:pPr>
              <w:jc w:val="center"/>
            </w:pPr>
            <w:r>
              <w:rPr>
                <w:color w:val="000000"/>
                <w:sz w:val="24"/>
              </w:rPr>
              <w:t>12</w:t>
            </w:r>
            <w:r>
              <w:rPr>
                <w:color w:val="000000"/>
                <w:sz w:val="24"/>
              </w:rPr>
              <w:t>年</w:t>
            </w:r>
          </w:p>
        </w:tc>
        <w:tc>
          <w:tcPr>
            <w:tcW w:w="3251" w:type="dxa"/>
            <w:vAlign w:val="center"/>
          </w:tcPr>
          <w:p w:rsidR="00FA36C5" w:rsidRDefault="00E4116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FA36C5" w:rsidRDefault="00E4116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A36C5" w:rsidRDefault="00E4116A">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A36C5" w:rsidRDefault="00E4116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36C5" w:rsidRDefault="00E4116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A36C5" w:rsidRDefault="00E4116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A36C5" w:rsidRDefault="00E4116A">
      <w:pPr>
        <w:spacing w:before="29" w:line="288" w:lineRule="auto"/>
        <w:ind w:firstLineChars="200" w:firstLine="480"/>
        <w:rPr>
          <w:color w:val="000000"/>
          <w:sz w:val="24"/>
        </w:rPr>
      </w:pPr>
      <w:r>
        <w:rPr>
          <w:color w:val="000000"/>
          <w:sz w:val="24"/>
        </w:rPr>
        <w:t>2018</w:t>
      </w:r>
      <w:r>
        <w:rPr>
          <w:color w:val="000000"/>
          <w:sz w:val="24"/>
        </w:rPr>
        <w:t>年四季度，国内经济继续放缓，且下行压力加大。国内制造业景气度持续减弱且在十二月已降至荣枯线以下。十二月中采制造业</w:t>
      </w:r>
      <w:r>
        <w:rPr>
          <w:color w:val="000000"/>
          <w:sz w:val="24"/>
        </w:rPr>
        <w:t>PMI</w:t>
      </w:r>
      <w:r>
        <w:rPr>
          <w:color w:val="000000"/>
          <w:sz w:val="24"/>
        </w:rPr>
        <w:t>仅</w:t>
      </w:r>
      <w:r>
        <w:rPr>
          <w:color w:val="000000"/>
          <w:sz w:val="24"/>
        </w:rPr>
        <w:t>49.40%</w:t>
      </w:r>
      <w:r>
        <w:rPr>
          <w:color w:val="000000"/>
          <w:sz w:val="24"/>
        </w:rPr>
        <w:t>，分项数据显示供需正在全面下滑。四季度固定资产投资有所企稳回升，基建</w:t>
      </w:r>
      <w:r>
        <w:rPr>
          <w:color w:val="000000"/>
          <w:sz w:val="24"/>
        </w:rPr>
        <w:t>FAI</w:t>
      </w:r>
      <w:r>
        <w:rPr>
          <w:color w:val="000000"/>
          <w:sz w:val="24"/>
        </w:rPr>
        <w:t>同比增速触底企稳，且制造业</w:t>
      </w:r>
      <w:r>
        <w:rPr>
          <w:color w:val="000000"/>
          <w:sz w:val="24"/>
        </w:rPr>
        <w:t>FAI</w:t>
      </w:r>
      <w:r>
        <w:rPr>
          <w:color w:val="000000"/>
          <w:sz w:val="24"/>
        </w:rPr>
        <w:t>与房地产</w:t>
      </w:r>
      <w:r>
        <w:rPr>
          <w:color w:val="000000"/>
          <w:sz w:val="24"/>
        </w:rPr>
        <w:t>FAI</w:t>
      </w:r>
      <w:r>
        <w:rPr>
          <w:color w:val="000000"/>
          <w:sz w:val="24"/>
        </w:rPr>
        <w:t>同比增速依然相对较高。</w:t>
      </w:r>
      <w:r>
        <w:rPr>
          <w:color w:val="000000"/>
          <w:sz w:val="24"/>
        </w:rPr>
        <w:t>2018</w:t>
      </w:r>
      <w:r>
        <w:rPr>
          <w:color w:val="000000"/>
          <w:sz w:val="24"/>
        </w:rPr>
        <w:t>年</w:t>
      </w:r>
      <w:r>
        <w:rPr>
          <w:color w:val="000000"/>
          <w:sz w:val="24"/>
        </w:rPr>
        <w:t>12</w:t>
      </w:r>
      <w:r>
        <w:rPr>
          <w:color w:val="000000"/>
          <w:sz w:val="24"/>
        </w:rPr>
        <w:t>月</w:t>
      </w:r>
      <w:r>
        <w:rPr>
          <w:color w:val="000000"/>
          <w:sz w:val="24"/>
        </w:rPr>
        <w:t>1</w:t>
      </w:r>
      <w:r>
        <w:rPr>
          <w:color w:val="000000"/>
          <w:sz w:val="24"/>
        </w:rPr>
        <w:t>日中美元首会晤，中美双方暂停升级贸易限制措施，并将在</w:t>
      </w:r>
      <w:r>
        <w:rPr>
          <w:color w:val="000000"/>
          <w:sz w:val="24"/>
        </w:rPr>
        <w:t>90</w:t>
      </w:r>
      <w:r>
        <w:rPr>
          <w:color w:val="000000"/>
          <w:sz w:val="24"/>
        </w:rPr>
        <w:t>天内就具体经贸问题进行磋商。今年爆发的中美贸易战似乎出现了缓和的希望，但贸易战造成的负面影响短期内难以消除。十一月出口同比增速大幅下滑至</w:t>
      </w:r>
      <w:r>
        <w:rPr>
          <w:color w:val="000000"/>
          <w:sz w:val="24"/>
        </w:rPr>
        <w:t>5.40%</w:t>
      </w:r>
      <w:r>
        <w:rPr>
          <w:color w:val="000000"/>
          <w:sz w:val="24"/>
        </w:rPr>
        <w:t>。经济趋冷，</w:t>
      </w:r>
      <w:r>
        <w:rPr>
          <w:color w:val="000000"/>
          <w:sz w:val="24"/>
        </w:rPr>
        <w:t>CPI</w:t>
      </w:r>
      <w:r>
        <w:rPr>
          <w:color w:val="000000"/>
          <w:sz w:val="24"/>
        </w:rPr>
        <w:t>冲高后呈回落之势，</w:t>
      </w:r>
      <w:r>
        <w:rPr>
          <w:color w:val="000000"/>
          <w:sz w:val="24"/>
        </w:rPr>
        <w:t>PPI</w:t>
      </w:r>
      <w:r>
        <w:rPr>
          <w:color w:val="000000"/>
          <w:sz w:val="24"/>
        </w:rPr>
        <w:t>则在持续下行。货币政策上，四季度央行维持中性偏松的货币政策。尽管十月下旬至十二月上旬央行在公开市场上持续进行回笼资金操作，但随着跨年临近央行在十二月中旬重启逆回购操作投放资金，精心呵护货币市场平稳跨年。</w:t>
      </w:r>
    </w:p>
    <w:p w:rsidR="00FA36C5" w:rsidRDefault="00E4116A">
      <w:pPr>
        <w:spacing w:before="29" w:line="288" w:lineRule="auto"/>
        <w:ind w:firstLineChars="200" w:firstLine="480"/>
        <w:rPr>
          <w:color w:val="000000"/>
          <w:sz w:val="24"/>
        </w:rPr>
      </w:pPr>
      <w:r>
        <w:rPr>
          <w:color w:val="000000"/>
          <w:sz w:val="24"/>
        </w:rPr>
        <w:t>资金面上，尽管受银行跨年考核指标等因素影响，十二月最后一周货币市场跨年资金曾一度比较紧张，但隔夜资金依然宽松，四季度货币市场流动性整体上保持宽裕格局。十二月底银行间市场</w:t>
      </w:r>
      <w:r>
        <w:rPr>
          <w:color w:val="000000"/>
          <w:sz w:val="24"/>
        </w:rPr>
        <w:t>R001</w:t>
      </w:r>
      <w:r>
        <w:rPr>
          <w:color w:val="000000"/>
          <w:sz w:val="24"/>
        </w:rPr>
        <w:t>较九月底下降</w:t>
      </w:r>
      <w:r>
        <w:rPr>
          <w:color w:val="000000"/>
          <w:sz w:val="24"/>
        </w:rPr>
        <w:t>17</w:t>
      </w:r>
      <w:r>
        <w:rPr>
          <w:color w:val="000000"/>
          <w:sz w:val="24"/>
        </w:rPr>
        <w:t>个</w:t>
      </w:r>
      <w:r>
        <w:rPr>
          <w:color w:val="000000"/>
          <w:sz w:val="24"/>
        </w:rPr>
        <w:t>BP</w:t>
      </w:r>
      <w:r>
        <w:rPr>
          <w:color w:val="000000"/>
          <w:sz w:val="24"/>
        </w:rPr>
        <w:t>以上。四季度受跨年等因素影响，同业存单利率回升。十二月下旬跨年资金紧张时，股份制行三个月同业存单利率曾一度涨至</w:t>
      </w:r>
      <w:r>
        <w:rPr>
          <w:color w:val="000000"/>
          <w:sz w:val="24"/>
        </w:rPr>
        <w:t>3.50%</w:t>
      </w:r>
      <w:r>
        <w:rPr>
          <w:color w:val="000000"/>
          <w:sz w:val="24"/>
        </w:rPr>
        <w:t>左右。由于经济下行压力加大，叠加流动性宽松，四季度债市上涨迅猛。十二月底十年期国开债</w:t>
      </w:r>
      <w:r>
        <w:rPr>
          <w:color w:val="000000"/>
          <w:sz w:val="24"/>
        </w:rPr>
        <w:t>YTM</w:t>
      </w:r>
      <w:r>
        <w:rPr>
          <w:color w:val="000000"/>
          <w:sz w:val="24"/>
        </w:rPr>
        <w:t>较九月底下降</w:t>
      </w:r>
      <w:r>
        <w:rPr>
          <w:color w:val="000000"/>
          <w:sz w:val="24"/>
        </w:rPr>
        <w:t>55</w:t>
      </w:r>
      <w:r>
        <w:rPr>
          <w:color w:val="000000"/>
          <w:sz w:val="24"/>
        </w:rPr>
        <w:t>个</w:t>
      </w:r>
      <w:r>
        <w:rPr>
          <w:color w:val="000000"/>
          <w:sz w:val="24"/>
        </w:rPr>
        <w:t>BP</w:t>
      </w:r>
      <w:r>
        <w:rPr>
          <w:color w:val="000000"/>
          <w:sz w:val="24"/>
        </w:rPr>
        <w:t>以上。十二月底三年期与五年期</w:t>
      </w:r>
      <w:r>
        <w:rPr>
          <w:color w:val="000000"/>
          <w:sz w:val="24"/>
        </w:rPr>
        <w:t>AAA</w:t>
      </w:r>
      <w:r>
        <w:rPr>
          <w:color w:val="000000"/>
          <w:sz w:val="24"/>
        </w:rPr>
        <w:t>中票</w:t>
      </w:r>
      <w:r>
        <w:rPr>
          <w:color w:val="000000"/>
          <w:sz w:val="24"/>
        </w:rPr>
        <w:t>YTM</w:t>
      </w:r>
      <w:r>
        <w:rPr>
          <w:color w:val="000000"/>
          <w:sz w:val="24"/>
        </w:rPr>
        <w:t>较九月底分别下降</w:t>
      </w:r>
      <w:r>
        <w:rPr>
          <w:color w:val="000000"/>
          <w:sz w:val="24"/>
        </w:rPr>
        <w:t>35</w:t>
      </w:r>
      <w:r>
        <w:rPr>
          <w:color w:val="000000"/>
          <w:sz w:val="24"/>
        </w:rPr>
        <w:t>个</w:t>
      </w:r>
      <w:r>
        <w:rPr>
          <w:color w:val="000000"/>
          <w:sz w:val="24"/>
        </w:rPr>
        <w:t>BP</w:t>
      </w:r>
      <w:r>
        <w:rPr>
          <w:color w:val="000000"/>
          <w:sz w:val="24"/>
        </w:rPr>
        <w:t>与</w:t>
      </w:r>
      <w:r>
        <w:rPr>
          <w:color w:val="000000"/>
          <w:sz w:val="24"/>
        </w:rPr>
        <w:t>41</w:t>
      </w:r>
      <w:r>
        <w:rPr>
          <w:color w:val="000000"/>
          <w:sz w:val="24"/>
        </w:rPr>
        <w:t>个</w:t>
      </w:r>
      <w:r>
        <w:rPr>
          <w:color w:val="000000"/>
          <w:sz w:val="24"/>
        </w:rPr>
        <w:t>BP</w:t>
      </w:r>
      <w:r>
        <w:rPr>
          <w:color w:val="000000"/>
          <w:sz w:val="24"/>
        </w:rPr>
        <w:t>以上，且中低评级信用债表现更好。</w:t>
      </w:r>
    </w:p>
    <w:p w:rsidR="00FA36C5" w:rsidRDefault="00E4116A">
      <w:pPr>
        <w:spacing w:before="29" w:line="288" w:lineRule="auto"/>
        <w:ind w:firstLineChars="200" w:firstLine="480"/>
        <w:rPr>
          <w:color w:val="000000"/>
          <w:sz w:val="24"/>
        </w:rPr>
      </w:pPr>
      <w:r>
        <w:rPr>
          <w:color w:val="000000"/>
          <w:sz w:val="24"/>
        </w:rPr>
        <w:t>基金操作方面，报告期内本基金保持流动性以期满足基金份额持有人潜在赎回需求，同时择机调整组合杠杆与债券持仓，为持有人创造稳健的回报。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年一季度，中美重启贸易磋商预示着中美贸易谈判有望朝着向好的方向进展。但是受</w:t>
      </w:r>
      <w:r w:rsidRPr="007F52FA">
        <w:rPr>
          <w:color w:val="000000"/>
          <w:sz w:val="24"/>
        </w:rPr>
        <w:t>“</w:t>
      </w:r>
      <w:r w:rsidRPr="007F52FA">
        <w:rPr>
          <w:color w:val="000000"/>
          <w:sz w:val="24"/>
        </w:rPr>
        <w:t>抢出口</w:t>
      </w:r>
      <w:r w:rsidRPr="007F52FA">
        <w:rPr>
          <w:color w:val="000000"/>
          <w:sz w:val="24"/>
        </w:rPr>
        <w:t>”</w:t>
      </w:r>
      <w:r w:rsidRPr="007F52FA">
        <w:rPr>
          <w:color w:val="000000"/>
          <w:sz w:val="24"/>
        </w:rPr>
        <w:t>造成的滞后效应等影响，</w:t>
      </w:r>
      <w:r w:rsidRPr="007F52FA">
        <w:rPr>
          <w:color w:val="000000"/>
          <w:sz w:val="24"/>
        </w:rPr>
        <w:t>2019</w:t>
      </w:r>
      <w:r w:rsidRPr="007F52FA">
        <w:rPr>
          <w:color w:val="000000"/>
          <w:sz w:val="24"/>
        </w:rPr>
        <w:t>年一季度国内经济可能承受较大压力。同时，中央经济政策托底工作进一步增强，十二月中央经济工作会议提出要加大积极财政政策力度，解决好民企融资问题，加快经济体制改革等措施。预计</w:t>
      </w:r>
      <w:r w:rsidRPr="007F52FA">
        <w:rPr>
          <w:color w:val="000000"/>
          <w:sz w:val="24"/>
        </w:rPr>
        <w:t>2019</w:t>
      </w:r>
      <w:r w:rsidRPr="007F52FA">
        <w:rPr>
          <w:color w:val="000000"/>
          <w:sz w:val="24"/>
        </w:rPr>
        <w:t>年一季度经济放缓的压力可能进一步加大，央行短期内仍可能坚持中性偏松的货币政策。我们将密切关注一季度中美贸易谈判的进展与政府经济政策动态。组合管理方面，本基金将紧密跟踪研判宏观经济走势，密切跟踪央行货币政策操作与监管政策动态，同时严格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31,954,566.00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31,954,566.00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143,308.92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916,883.90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33,314,758.82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31,954,566.00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31,954,566.00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31,954,566.00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A36C5">
        <w:trPr>
          <w:jc w:val="center"/>
        </w:trPr>
        <w:tc>
          <w:tcPr>
            <w:tcW w:w="1075" w:type="dxa"/>
            <w:vAlign w:val="center"/>
          </w:tcPr>
          <w:p w:rsidR="00FA36C5" w:rsidRDefault="00E4116A">
            <w:pPr>
              <w:jc w:val="center"/>
            </w:pPr>
            <w:r>
              <w:rPr>
                <w:color w:val="000000"/>
                <w:sz w:val="24"/>
              </w:rPr>
              <w:t>1</w:t>
            </w:r>
          </w:p>
        </w:tc>
        <w:tc>
          <w:tcPr>
            <w:tcW w:w="1533" w:type="dxa"/>
            <w:vAlign w:val="center"/>
          </w:tcPr>
          <w:p w:rsidR="00FA36C5" w:rsidRDefault="00E4116A">
            <w:pPr>
              <w:jc w:val="center"/>
            </w:pPr>
            <w:r>
              <w:rPr>
                <w:color w:val="000000"/>
                <w:sz w:val="24"/>
              </w:rPr>
              <w:t>018005</w:t>
            </w:r>
          </w:p>
        </w:tc>
        <w:tc>
          <w:tcPr>
            <w:tcW w:w="1533" w:type="dxa"/>
            <w:vAlign w:val="center"/>
          </w:tcPr>
          <w:p w:rsidR="00FA36C5" w:rsidRDefault="00E4116A">
            <w:pPr>
              <w:jc w:val="center"/>
            </w:pPr>
            <w:r>
              <w:rPr>
                <w:color w:val="000000"/>
                <w:sz w:val="24"/>
              </w:rPr>
              <w:t>国开</w:t>
            </w:r>
            <w:r>
              <w:rPr>
                <w:color w:val="000000"/>
                <w:sz w:val="24"/>
              </w:rPr>
              <w:t>1701</w:t>
            </w:r>
          </w:p>
        </w:tc>
        <w:tc>
          <w:tcPr>
            <w:tcW w:w="1394" w:type="dxa"/>
            <w:vAlign w:val="center"/>
          </w:tcPr>
          <w:p w:rsidR="00FA36C5" w:rsidRDefault="00E4116A">
            <w:pPr>
              <w:jc w:val="right"/>
            </w:pPr>
            <w:r>
              <w:rPr>
                <w:color w:val="000000"/>
                <w:sz w:val="24"/>
              </w:rPr>
              <w:t>287,650</w:t>
            </w:r>
          </w:p>
        </w:tc>
        <w:tc>
          <w:tcPr>
            <w:tcW w:w="1944" w:type="dxa"/>
            <w:vAlign w:val="center"/>
          </w:tcPr>
          <w:p w:rsidR="00FA36C5" w:rsidRDefault="00E4116A">
            <w:pPr>
              <w:jc w:val="right"/>
            </w:pPr>
            <w:r>
              <w:rPr>
                <w:color w:val="000000"/>
                <w:sz w:val="24"/>
              </w:rPr>
              <w:t>28,891,566.00</w:t>
            </w:r>
          </w:p>
        </w:tc>
        <w:tc>
          <w:tcPr>
            <w:tcW w:w="1389" w:type="dxa"/>
            <w:vAlign w:val="center"/>
          </w:tcPr>
          <w:p w:rsidR="00FA36C5" w:rsidRDefault="00E4116A">
            <w:pPr>
              <w:jc w:val="right"/>
            </w:pPr>
            <w:r>
              <w:rPr>
                <w:color w:val="000000"/>
                <w:sz w:val="24"/>
              </w:rPr>
              <w:t>86.99</w:t>
            </w:r>
          </w:p>
        </w:tc>
      </w:tr>
      <w:tr w:rsidR="00FA36C5">
        <w:trPr>
          <w:jc w:val="center"/>
        </w:trPr>
        <w:tc>
          <w:tcPr>
            <w:tcW w:w="1075" w:type="dxa"/>
            <w:vAlign w:val="center"/>
          </w:tcPr>
          <w:p w:rsidR="00FA36C5" w:rsidRDefault="00E4116A">
            <w:pPr>
              <w:jc w:val="center"/>
            </w:pPr>
            <w:r>
              <w:rPr>
                <w:color w:val="000000"/>
                <w:sz w:val="24"/>
              </w:rPr>
              <w:t>2</w:t>
            </w:r>
          </w:p>
        </w:tc>
        <w:tc>
          <w:tcPr>
            <w:tcW w:w="1533" w:type="dxa"/>
            <w:vAlign w:val="center"/>
          </w:tcPr>
          <w:p w:rsidR="00FA36C5" w:rsidRDefault="00E4116A">
            <w:pPr>
              <w:jc w:val="center"/>
            </w:pPr>
            <w:r>
              <w:rPr>
                <w:color w:val="000000"/>
                <w:sz w:val="24"/>
              </w:rPr>
              <w:t>018006</w:t>
            </w:r>
          </w:p>
        </w:tc>
        <w:tc>
          <w:tcPr>
            <w:tcW w:w="1533" w:type="dxa"/>
            <w:vAlign w:val="center"/>
          </w:tcPr>
          <w:p w:rsidR="00FA36C5" w:rsidRDefault="00E4116A">
            <w:pPr>
              <w:jc w:val="center"/>
            </w:pPr>
            <w:r>
              <w:rPr>
                <w:color w:val="000000"/>
                <w:sz w:val="24"/>
              </w:rPr>
              <w:t>国开</w:t>
            </w:r>
            <w:r>
              <w:rPr>
                <w:color w:val="000000"/>
                <w:sz w:val="24"/>
              </w:rPr>
              <w:t>1702</w:t>
            </w:r>
          </w:p>
        </w:tc>
        <w:tc>
          <w:tcPr>
            <w:tcW w:w="1394" w:type="dxa"/>
            <w:vAlign w:val="center"/>
          </w:tcPr>
          <w:p w:rsidR="00FA36C5" w:rsidRDefault="00E4116A">
            <w:pPr>
              <w:jc w:val="right"/>
            </w:pPr>
            <w:r>
              <w:rPr>
                <w:color w:val="000000"/>
                <w:sz w:val="24"/>
              </w:rPr>
              <w:t>30,000</w:t>
            </w:r>
          </w:p>
        </w:tc>
        <w:tc>
          <w:tcPr>
            <w:tcW w:w="1944" w:type="dxa"/>
            <w:vAlign w:val="center"/>
          </w:tcPr>
          <w:p w:rsidR="00FA36C5" w:rsidRDefault="00E4116A">
            <w:pPr>
              <w:jc w:val="right"/>
            </w:pPr>
            <w:r>
              <w:rPr>
                <w:color w:val="000000"/>
                <w:sz w:val="24"/>
              </w:rPr>
              <w:t>3,063,000.00</w:t>
            </w:r>
          </w:p>
        </w:tc>
        <w:tc>
          <w:tcPr>
            <w:tcW w:w="1389" w:type="dxa"/>
            <w:vAlign w:val="center"/>
          </w:tcPr>
          <w:p w:rsidR="00FA36C5" w:rsidRDefault="00E4116A">
            <w:pPr>
              <w:jc w:val="right"/>
            </w:pPr>
            <w:r>
              <w:rPr>
                <w:color w:val="000000"/>
                <w:sz w:val="24"/>
              </w:rPr>
              <w:t>9.22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5,114.07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265.68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891,094.21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20,409.94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916,883.90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A0B6D"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FA0B6D">
        <w:rPr>
          <w:rFonts w:eastAsiaTheme="minorEastAsia"/>
          <w:color w:val="000000" w:themeColor="text1"/>
          <w:kern w:val="0"/>
          <w:sz w:val="24"/>
          <w:szCs w:val="24"/>
        </w:rPr>
        <w:t xml:space="preserve">§6  </w:t>
      </w:r>
      <w:r w:rsidRPr="00FA0B6D">
        <w:rPr>
          <w:rFonts w:eastAsiaTheme="minorEastAsia" w:hint="eastAsia"/>
          <w:color w:val="000000" w:themeColor="text1"/>
          <w:kern w:val="0"/>
          <w:sz w:val="24"/>
          <w:szCs w:val="24"/>
        </w:rPr>
        <w:t>基金中基金</w:t>
      </w:r>
    </w:p>
    <w:p w:rsidR="00C51B4E" w:rsidRPr="00FA0B6D" w:rsidRDefault="00C51B4E" w:rsidP="00C51B4E">
      <w:pPr>
        <w:adjustRightInd w:val="0"/>
        <w:snapToGrid w:val="0"/>
        <w:spacing w:line="360" w:lineRule="auto"/>
        <w:rPr>
          <w:rFonts w:eastAsiaTheme="minorEastAsia"/>
          <w:b/>
          <w:color w:val="000000" w:themeColor="text1"/>
          <w:kern w:val="0"/>
          <w:sz w:val="24"/>
        </w:rPr>
      </w:pPr>
      <w:r w:rsidRPr="00FA0B6D">
        <w:rPr>
          <w:rFonts w:eastAsiaTheme="minorEastAsia"/>
          <w:b/>
          <w:color w:val="000000" w:themeColor="text1"/>
          <w:kern w:val="0"/>
          <w:sz w:val="24"/>
        </w:rPr>
        <w:t xml:space="preserve">6.1 </w:t>
      </w:r>
      <w:r w:rsidRPr="00FA0B6D">
        <w:rPr>
          <w:rFonts w:eastAsiaTheme="minorEastAsia" w:hint="eastAsia"/>
          <w:b/>
          <w:color w:val="000000" w:themeColor="text1"/>
          <w:kern w:val="0"/>
          <w:sz w:val="24"/>
        </w:rPr>
        <w:t>报告期末按公允价值占基金资产净值比例大小排序的前十名基金投资明细</w:t>
      </w:r>
    </w:p>
    <w:p w:rsidR="00C51B4E" w:rsidRPr="00FA0B6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A0B6D">
        <w:rPr>
          <w:rFonts w:eastAsiaTheme="minorEastAsia" w:hint="eastAsia"/>
          <w:color w:val="000000" w:themeColor="text1"/>
          <w:sz w:val="24"/>
        </w:rPr>
        <w:t>本基金本报告期末未持有基金。</w:t>
      </w:r>
    </w:p>
    <w:p w:rsidR="00C51B4E" w:rsidRPr="00FA0B6D" w:rsidRDefault="00C51B4E" w:rsidP="000A2988">
      <w:pPr>
        <w:adjustRightInd w:val="0"/>
        <w:snapToGrid w:val="0"/>
        <w:spacing w:beforeLines="50" w:before="156" w:line="360" w:lineRule="auto"/>
        <w:rPr>
          <w:rFonts w:eastAsiaTheme="minorEastAsia"/>
          <w:b/>
          <w:color w:val="000000" w:themeColor="text1"/>
          <w:kern w:val="0"/>
          <w:sz w:val="24"/>
        </w:rPr>
      </w:pPr>
      <w:r w:rsidRPr="00FA0B6D">
        <w:rPr>
          <w:rFonts w:eastAsiaTheme="minorEastAsia"/>
          <w:b/>
          <w:color w:val="000000" w:themeColor="text1"/>
          <w:kern w:val="0"/>
          <w:sz w:val="24"/>
        </w:rPr>
        <w:t xml:space="preserve">6.2 </w:t>
      </w:r>
      <w:r w:rsidRPr="00FA0B6D">
        <w:rPr>
          <w:rFonts w:eastAsiaTheme="minorEastAsia" w:hint="eastAsia"/>
          <w:b/>
          <w:color w:val="000000" w:themeColor="text1"/>
          <w:kern w:val="0"/>
          <w:sz w:val="24"/>
        </w:rPr>
        <w:t>当期交易及持有基金产生的费用</w:t>
      </w:r>
    </w:p>
    <w:p w:rsidR="00C51B4E" w:rsidRPr="00FA0B6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A0B6D">
        <w:rPr>
          <w:rFonts w:eastAsiaTheme="minorEastAsia" w:hint="eastAsia"/>
          <w:color w:val="000000" w:themeColor="text1"/>
          <w:sz w:val="24"/>
        </w:rPr>
        <w:t>本基金本报告期内未交易或持有基金。</w:t>
      </w:r>
    </w:p>
    <w:p w:rsidR="00C51B4E" w:rsidRPr="00FA0B6D" w:rsidRDefault="00C51B4E" w:rsidP="000A2988">
      <w:pPr>
        <w:adjustRightInd w:val="0"/>
        <w:snapToGrid w:val="0"/>
        <w:spacing w:beforeLines="50" w:before="156" w:line="360" w:lineRule="auto"/>
        <w:rPr>
          <w:rFonts w:eastAsiaTheme="minorEastAsia"/>
          <w:b/>
          <w:color w:val="000000" w:themeColor="text1"/>
          <w:kern w:val="0"/>
          <w:sz w:val="24"/>
        </w:rPr>
      </w:pPr>
      <w:r w:rsidRPr="00FA0B6D">
        <w:rPr>
          <w:rFonts w:eastAsiaTheme="minorEastAsia"/>
          <w:b/>
          <w:color w:val="000000" w:themeColor="text1"/>
          <w:kern w:val="0"/>
          <w:sz w:val="24"/>
        </w:rPr>
        <w:t xml:space="preserve">6.3 </w:t>
      </w:r>
      <w:r w:rsidRPr="00FA0B6D">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525249" w:rsidTr="00F103C8">
        <w:tc>
          <w:tcPr>
            <w:tcW w:w="9036" w:type="dxa"/>
          </w:tcPr>
          <w:p w:rsidR="00C51B4E" w:rsidRPr="00FA0B6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A0B6D">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29,942,534.82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39,893,235.25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5,196.13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3,634,821.81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2,786,285.50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39,715,840.00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27,161,445.45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3,812,217.06</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A0B6D"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FA0B6D">
        <w:rPr>
          <w:rFonts w:eastAsiaTheme="minorEastAsia"/>
          <w:color w:val="000000" w:themeColor="text1"/>
          <w:kern w:val="0"/>
          <w:sz w:val="24"/>
          <w:szCs w:val="24"/>
        </w:rPr>
        <w:t xml:space="preserve">§9 </w:t>
      </w:r>
      <w:r w:rsidR="00F139D5" w:rsidRPr="00FA0B6D">
        <w:rPr>
          <w:rFonts w:eastAsiaTheme="minorEastAsia"/>
          <w:color w:val="000000" w:themeColor="text1"/>
          <w:kern w:val="0"/>
          <w:sz w:val="24"/>
          <w:szCs w:val="24"/>
        </w:rPr>
        <w:t xml:space="preserve"> </w:t>
      </w:r>
      <w:r w:rsidRPr="00FA0B6D">
        <w:rPr>
          <w:rFonts w:eastAsiaTheme="minorEastAsia" w:hint="eastAsia"/>
          <w:color w:val="000000" w:themeColor="text1"/>
          <w:kern w:val="0"/>
          <w:sz w:val="24"/>
          <w:szCs w:val="24"/>
        </w:rPr>
        <w:t>影响投资者决策的其他重要信息</w:t>
      </w:r>
    </w:p>
    <w:p w:rsidR="00ED0E09" w:rsidRPr="00FA0B6D" w:rsidRDefault="00ED0E09" w:rsidP="00ED0E09">
      <w:pPr>
        <w:autoSpaceDE w:val="0"/>
        <w:autoSpaceDN w:val="0"/>
        <w:adjustRightInd w:val="0"/>
        <w:spacing w:line="360" w:lineRule="auto"/>
        <w:jc w:val="left"/>
        <w:rPr>
          <w:rFonts w:ascii="宋体" w:hAnsi="宋体"/>
          <w:b/>
          <w:bCs/>
          <w:color w:val="000000"/>
          <w:kern w:val="0"/>
          <w:sz w:val="24"/>
        </w:rPr>
      </w:pPr>
      <w:r w:rsidRPr="00FA0B6D">
        <w:rPr>
          <w:rFonts w:ascii="宋体" w:hAnsi="宋体"/>
          <w:b/>
          <w:bCs/>
          <w:color w:val="000000"/>
          <w:kern w:val="0"/>
          <w:sz w:val="24"/>
        </w:rPr>
        <w:t xml:space="preserve">9.1 </w:t>
      </w:r>
      <w:r w:rsidRPr="00FA0B6D">
        <w:rPr>
          <w:rFonts w:ascii="宋体" w:hAnsi="宋体" w:hint="eastAsia"/>
          <w:b/>
          <w:bCs/>
          <w:color w:val="000000"/>
          <w:kern w:val="0"/>
          <w:sz w:val="24"/>
        </w:rPr>
        <w:t>报告期内单一投资者持有基金份额比例达到或超过</w:t>
      </w:r>
      <w:r w:rsidRPr="00FA0B6D">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52524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投资者类别</w:t>
            </w:r>
            <w:r w:rsidRPr="00FA0B6D">
              <w:rPr>
                <w:rFonts w:ascii="宋体" w:hAnsi="宋体"/>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报告期末持有基金情况</w:t>
            </w:r>
          </w:p>
        </w:tc>
      </w:tr>
      <w:tr w:rsidR="00ED0E09" w:rsidRPr="0052524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持有基金份额比例达到或者超过</w:t>
            </w:r>
            <w:r w:rsidRPr="00FA0B6D">
              <w:rPr>
                <w:rFonts w:ascii="宋体" w:hAnsi="宋体"/>
                <w:color w:val="000000"/>
                <w:kern w:val="0"/>
                <w:sz w:val="24"/>
              </w:rPr>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widowControl/>
              <w:jc w:val="center"/>
              <w:rPr>
                <w:rFonts w:ascii="宋体" w:hAnsi="宋体"/>
                <w:b/>
                <w:bCs/>
                <w:color w:val="000000"/>
                <w:kern w:val="0"/>
                <w:sz w:val="24"/>
              </w:rPr>
            </w:pPr>
            <w:r w:rsidRPr="00FA0B6D">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widowControl/>
              <w:jc w:val="center"/>
              <w:rPr>
                <w:rFonts w:ascii="宋体" w:hAnsi="宋体"/>
                <w:b/>
                <w:bCs/>
                <w:color w:val="000000"/>
                <w:kern w:val="0"/>
                <w:sz w:val="24"/>
              </w:rPr>
            </w:pPr>
            <w:r w:rsidRPr="00FA0B6D">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widowControl/>
              <w:jc w:val="center"/>
              <w:rPr>
                <w:rFonts w:ascii="宋体" w:hAnsi="宋体"/>
                <w:b/>
                <w:bCs/>
                <w:color w:val="000000"/>
                <w:kern w:val="0"/>
                <w:sz w:val="24"/>
              </w:rPr>
            </w:pPr>
            <w:r w:rsidRPr="00FA0B6D">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b/>
                <w:bCs/>
                <w:color w:val="000000"/>
                <w:kern w:val="0"/>
                <w:sz w:val="24"/>
              </w:rPr>
            </w:pPr>
            <w:r w:rsidRPr="00FA0B6D">
              <w:rPr>
                <w:rFonts w:ascii="宋体" w:hAnsi="宋体" w:hint="eastAsia"/>
                <w:color w:val="000000"/>
                <w:kern w:val="0"/>
                <w:sz w:val="24"/>
              </w:rPr>
              <w:t>份额占比</w:t>
            </w:r>
          </w:p>
        </w:tc>
      </w:tr>
      <w:tr w:rsidR="00FA36C5" w:rsidRPr="00525249">
        <w:tc>
          <w:tcPr>
            <w:tcW w:w="992" w:type="dxa"/>
            <w:vMerge w:val="restart"/>
          </w:tcPr>
          <w:p w:rsidR="00FA36C5" w:rsidRPr="00FA0B6D" w:rsidRDefault="00FA36C5">
            <w:pPr>
              <w:rPr>
                <w:sz w:val="24"/>
              </w:rPr>
            </w:pPr>
          </w:p>
          <w:p w:rsidR="00FA36C5" w:rsidRPr="00FA0B6D" w:rsidRDefault="00E4116A">
            <w:pPr>
              <w:rPr>
                <w:sz w:val="24"/>
              </w:rPr>
            </w:pPr>
            <w:r w:rsidRPr="00FA0B6D">
              <w:rPr>
                <w:rFonts w:ascii="宋体" w:hAnsi="宋体" w:hint="eastAsia"/>
                <w:bCs/>
                <w:color w:val="000000"/>
                <w:kern w:val="0"/>
                <w:sz w:val="24"/>
              </w:rPr>
              <w:t>机构</w:t>
            </w:r>
          </w:p>
        </w:tc>
        <w:tc>
          <w:tcPr>
            <w:tcW w:w="991" w:type="dxa"/>
            <w:vAlign w:val="center"/>
          </w:tcPr>
          <w:p w:rsidR="00FA36C5" w:rsidRPr="00FA0B6D" w:rsidRDefault="00E4116A">
            <w:pPr>
              <w:jc w:val="center"/>
              <w:rPr>
                <w:sz w:val="24"/>
              </w:rPr>
            </w:pPr>
            <w:r w:rsidRPr="00FA0B6D">
              <w:rPr>
                <w:rFonts w:ascii="宋体" w:hAnsi="宋体"/>
                <w:color w:val="000000"/>
                <w:kern w:val="0"/>
                <w:sz w:val="24"/>
              </w:rPr>
              <w:t>1</w:t>
            </w:r>
          </w:p>
        </w:tc>
        <w:tc>
          <w:tcPr>
            <w:tcW w:w="1843" w:type="dxa"/>
            <w:vAlign w:val="center"/>
          </w:tcPr>
          <w:p w:rsidR="00FA36C5" w:rsidRPr="00FA0B6D" w:rsidRDefault="00E4116A">
            <w:pPr>
              <w:jc w:val="center"/>
              <w:rPr>
                <w:sz w:val="24"/>
              </w:rPr>
            </w:pPr>
            <w:r w:rsidRPr="00FA0B6D">
              <w:rPr>
                <w:rFonts w:ascii="宋体" w:hAnsi="宋体"/>
                <w:color w:val="000000"/>
                <w:kern w:val="0"/>
                <w:sz w:val="24"/>
              </w:rPr>
              <w:t>2018/10/1-2018/12/31</w:t>
            </w:r>
          </w:p>
        </w:tc>
        <w:tc>
          <w:tcPr>
            <w:tcW w:w="851" w:type="dxa"/>
            <w:vAlign w:val="center"/>
          </w:tcPr>
          <w:p w:rsidR="00FA36C5" w:rsidRPr="00FA0B6D" w:rsidRDefault="00E4116A">
            <w:pPr>
              <w:jc w:val="center"/>
              <w:rPr>
                <w:sz w:val="24"/>
              </w:rPr>
            </w:pPr>
            <w:r w:rsidRPr="00FA0B6D">
              <w:rPr>
                <w:rFonts w:ascii="宋体" w:hAnsi="宋体"/>
                <w:color w:val="000000"/>
                <w:kern w:val="0"/>
                <w:sz w:val="24"/>
              </w:rPr>
              <w:t>9,066,183.14</w:t>
            </w:r>
          </w:p>
        </w:tc>
        <w:tc>
          <w:tcPr>
            <w:tcW w:w="850" w:type="dxa"/>
            <w:vAlign w:val="center"/>
          </w:tcPr>
          <w:p w:rsidR="00FA36C5" w:rsidRPr="00FA0B6D" w:rsidRDefault="00E4116A">
            <w:pPr>
              <w:jc w:val="center"/>
              <w:rPr>
                <w:sz w:val="24"/>
              </w:rPr>
            </w:pPr>
            <w:r w:rsidRPr="00FA0B6D">
              <w:rPr>
                <w:rFonts w:ascii="宋体" w:hAnsi="宋体"/>
                <w:color w:val="000000"/>
                <w:kern w:val="0"/>
                <w:sz w:val="24"/>
              </w:rPr>
              <w:t>-</w:t>
            </w:r>
          </w:p>
        </w:tc>
        <w:tc>
          <w:tcPr>
            <w:tcW w:w="1134" w:type="dxa"/>
            <w:vAlign w:val="center"/>
          </w:tcPr>
          <w:p w:rsidR="00FA36C5" w:rsidRPr="00FA0B6D" w:rsidRDefault="00E4116A">
            <w:pPr>
              <w:jc w:val="center"/>
              <w:rPr>
                <w:sz w:val="24"/>
              </w:rPr>
            </w:pPr>
            <w:r w:rsidRPr="00FA0B6D">
              <w:rPr>
                <w:rFonts w:ascii="宋体" w:hAnsi="宋体"/>
                <w:color w:val="000000"/>
                <w:kern w:val="0"/>
                <w:sz w:val="24"/>
              </w:rPr>
              <w:t>9,066,183.14</w:t>
            </w:r>
          </w:p>
        </w:tc>
        <w:tc>
          <w:tcPr>
            <w:tcW w:w="1419" w:type="dxa"/>
            <w:vAlign w:val="center"/>
          </w:tcPr>
          <w:p w:rsidR="00FA36C5" w:rsidRPr="00FA0B6D" w:rsidRDefault="00E4116A">
            <w:pPr>
              <w:jc w:val="center"/>
              <w:rPr>
                <w:sz w:val="24"/>
              </w:rPr>
            </w:pPr>
            <w:r w:rsidRPr="00FA0B6D">
              <w:rPr>
                <w:rFonts w:ascii="宋体" w:hAnsi="宋体"/>
                <w:color w:val="000000"/>
                <w:kern w:val="0"/>
                <w:sz w:val="24"/>
              </w:rPr>
              <w:t>-</w:t>
            </w:r>
          </w:p>
        </w:tc>
        <w:tc>
          <w:tcPr>
            <w:tcW w:w="1130" w:type="dxa"/>
            <w:vAlign w:val="center"/>
          </w:tcPr>
          <w:p w:rsidR="00FA36C5" w:rsidRPr="00FA0B6D" w:rsidRDefault="00E4116A">
            <w:pPr>
              <w:jc w:val="center"/>
              <w:rPr>
                <w:sz w:val="24"/>
              </w:rPr>
            </w:pPr>
            <w:r w:rsidRPr="00FA0B6D">
              <w:rPr>
                <w:rFonts w:ascii="宋体" w:hAnsi="宋体"/>
                <w:color w:val="000000"/>
                <w:kern w:val="0"/>
                <w:sz w:val="24"/>
              </w:rPr>
              <w:t>-</w:t>
            </w:r>
          </w:p>
        </w:tc>
      </w:tr>
      <w:tr w:rsidR="00FA36C5" w:rsidRPr="00525249">
        <w:tc>
          <w:tcPr>
            <w:tcW w:w="992" w:type="dxa"/>
            <w:vMerge/>
          </w:tcPr>
          <w:p w:rsidR="00FA36C5" w:rsidRPr="00FA0B6D" w:rsidRDefault="00FA36C5">
            <w:pPr>
              <w:rPr>
                <w:sz w:val="24"/>
              </w:rPr>
            </w:pPr>
          </w:p>
        </w:tc>
        <w:tc>
          <w:tcPr>
            <w:tcW w:w="991" w:type="dxa"/>
            <w:vAlign w:val="center"/>
          </w:tcPr>
          <w:p w:rsidR="00FA36C5" w:rsidRPr="00FA0B6D" w:rsidRDefault="00E4116A">
            <w:pPr>
              <w:jc w:val="center"/>
              <w:rPr>
                <w:sz w:val="24"/>
              </w:rPr>
            </w:pPr>
            <w:r w:rsidRPr="00FA0B6D">
              <w:rPr>
                <w:rFonts w:ascii="宋体" w:hAnsi="宋体"/>
                <w:color w:val="000000"/>
                <w:kern w:val="0"/>
                <w:sz w:val="24"/>
              </w:rPr>
              <w:t>2</w:t>
            </w:r>
          </w:p>
        </w:tc>
        <w:tc>
          <w:tcPr>
            <w:tcW w:w="1843" w:type="dxa"/>
            <w:vAlign w:val="center"/>
          </w:tcPr>
          <w:p w:rsidR="00FA36C5" w:rsidRPr="00FA0B6D" w:rsidRDefault="00E4116A">
            <w:pPr>
              <w:jc w:val="center"/>
              <w:rPr>
                <w:sz w:val="24"/>
              </w:rPr>
            </w:pPr>
            <w:r w:rsidRPr="00FA0B6D">
              <w:rPr>
                <w:rFonts w:ascii="宋体" w:hAnsi="宋体"/>
                <w:color w:val="000000"/>
                <w:kern w:val="0"/>
                <w:sz w:val="24"/>
              </w:rPr>
              <w:t>2018/10/1-2018/12/31</w:t>
            </w:r>
          </w:p>
        </w:tc>
        <w:tc>
          <w:tcPr>
            <w:tcW w:w="851" w:type="dxa"/>
            <w:vAlign w:val="center"/>
          </w:tcPr>
          <w:p w:rsidR="00FA36C5" w:rsidRPr="00FA0B6D" w:rsidRDefault="00E4116A">
            <w:pPr>
              <w:jc w:val="center"/>
              <w:rPr>
                <w:sz w:val="24"/>
              </w:rPr>
            </w:pPr>
            <w:r w:rsidRPr="00FA0B6D">
              <w:rPr>
                <w:rFonts w:ascii="宋体" w:hAnsi="宋体"/>
                <w:color w:val="000000"/>
                <w:kern w:val="0"/>
                <w:sz w:val="24"/>
              </w:rPr>
              <w:t>27,272,727.28</w:t>
            </w:r>
          </w:p>
        </w:tc>
        <w:tc>
          <w:tcPr>
            <w:tcW w:w="850" w:type="dxa"/>
            <w:vAlign w:val="center"/>
          </w:tcPr>
          <w:p w:rsidR="00FA36C5" w:rsidRPr="00FA0B6D" w:rsidRDefault="00E4116A">
            <w:pPr>
              <w:jc w:val="center"/>
              <w:rPr>
                <w:sz w:val="24"/>
              </w:rPr>
            </w:pPr>
            <w:r w:rsidRPr="00FA0B6D">
              <w:rPr>
                <w:rFonts w:ascii="宋体" w:hAnsi="宋体"/>
                <w:color w:val="000000"/>
                <w:kern w:val="0"/>
                <w:sz w:val="24"/>
              </w:rPr>
              <w:t>-</w:t>
            </w:r>
          </w:p>
        </w:tc>
        <w:tc>
          <w:tcPr>
            <w:tcW w:w="1134" w:type="dxa"/>
            <w:vAlign w:val="center"/>
          </w:tcPr>
          <w:p w:rsidR="00FA36C5" w:rsidRPr="00FA0B6D" w:rsidRDefault="00E4116A">
            <w:pPr>
              <w:jc w:val="center"/>
              <w:rPr>
                <w:sz w:val="24"/>
              </w:rPr>
            </w:pPr>
            <w:r w:rsidRPr="00FA0B6D">
              <w:rPr>
                <w:rFonts w:ascii="宋体" w:hAnsi="宋体"/>
                <w:color w:val="000000"/>
                <w:kern w:val="0"/>
                <w:sz w:val="24"/>
              </w:rPr>
              <w:t>27,272,727.28</w:t>
            </w:r>
          </w:p>
        </w:tc>
        <w:tc>
          <w:tcPr>
            <w:tcW w:w="1419" w:type="dxa"/>
            <w:vAlign w:val="center"/>
          </w:tcPr>
          <w:p w:rsidR="00FA36C5" w:rsidRPr="00FA0B6D" w:rsidRDefault="00E4116A">
            <w:pPr>
              <w:jc w:val="center"/>
              <w:rPr>
                <w:sz w:val="24"/>
              </w:rPr>
            </w:pPr>
            <w:r w:rsidRPr="00FA0B6D">
              <w:rPr>
                <w:rFonts w:ascii="宋体" w:hAnsi="宋体"/>
                <w:color w:val="000000"/>
                <w:kern w:val="0"/>
                <w:sz w:val="24"/>
              </w:rPr>
              <w:t>-</w:t>
            </w:r>
          </w:p>
        </w:tc>
        <w:tc>
          <w:tcPr>
            <w:tcW w:w="1130" w:type="dxa"/>
            <w:vAlign w:val="center"/>
          </w:tcPr>
          <w:p w:rsidR="00FA36C5" w:rsidRPr="00FA0B6D" w:rsidRDefault="00E4116A">
            <w:pPr>
              <w:jc w:val="center"/>
              <w:rPr>
                <w:sz w:val="24"/>
              </w:rPr>
            </w:pPr>
            <w:r w:rsidRPr="00FA0B6D">
              <w:rPr>
                <w:rFonts w:ascii="宋体" w:hAnsi="宋体"/>
                <w:color w:val="000000"/>
                <w:kern w:val="0"/>
                <w:sz w:val="24"/>
              </w:rPr>
              <w:t>-</w:t>
            </w:r>
          </w:p>
        </w:tc>
      </w:tr>
      <w:tr w:rsidR="00ED0E09" w:rsidRPr="0052524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center"/>
              <w:rPr>
                <w:rFonts w:ascii="宋体" w:hAnsi="宋体"/>
                <w:kern w:val="0"/>
                <w:sz w:val="24"/>
              </w:rPr>
            </w:pPr>
            <w:r w:rsidRPr="00FA0B6D">
              <w:rPr>
                <w:rFonts w:ascii="宋体" w:hAnsi="宋体" w:hint="eastAsia"/>
                <w:color w:val="000000"/>
                <w:kern w:val="0"/>
                <w:sz w:val="24"/>
              </w:rPr>
              <w:t>产品特有风险</w:t>
            </w:r>
          </w:p>
        </w:tc>
      </w:tr>
      <w:tr w:rsidR="00ED0E09" w:rsidRPr="0052524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A0B6D" w:rsidRDefault="00ED0E09">
            <w:pPr>
              <w:autoSpaceDE w:val="0"/>
              <w:autoSpaceDN w:val="0"/>
              <w:adjustRightInd w:val="0"/>
              <w:jc w:val="left"/>
              <w:rPr>
                <w:rFonts w:ascii="宋体" w:hAnsi="宋体"/>
                <w:kern w:val="0"/>
                <w:sz w:val="24"/>
              </w:rPr>
            </w:pPr>
            <w:r w:rsidRPr="00FA0B6D">
              <w:rPr>
                <w:rFonts w:ascii="宋体" w:hAnsi="宋体" w:hint="eastAsia"/>
                <w:kern w:val="0"/>
                <w:sz w:val="24"/>
              </w:rPr>
              <w:t>本基金本报告期内出现单一投资者持有基金份额比例超过基金总份额</w:t>
            </w:r>
            <w:r w:rsidRPr="00FA0B6D">
              <w:rPr>
                <w:rFonts w:ascii="宋体" w:hAnsi="宋体"/>
                <w:kern w:val="0"/>
                <w:sz w:val="24"/>
              </w:rPr>
              <w:t>20%的情况。如该</w:t>
            </w:r>
            <w:r w:rsidRPr="00FA0B6D">
              <w:rPr>
                <w:rFonts w:ascii="宋体" w:hAnsi="宋体" w:hint="eastAsia"/>
                <w:kern w:val="0"/>
                <w:sz w:val="24"/>
              </w:rPr>
              <w:t>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A36C5" w:rsidRDefault="00E4116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7E" w:rsidRDefault="00D0507E">
      <w:r>
        <w:separator/>
      </w:r>
    </w:p>
  </w:endnote>
  <w:endnote w:type="continuationSeparator" w:id="0">
    <w:p w:rsidR="00D0507E" w:rsidRDefault="00D0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0239D">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0239D">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7E" w:rsidRDefault="00D0507E">
      <w:r>
        <w:separator/>
      </w:r>
    </w:p>
  </w:footnote>
  <w:footnote w:type="continuationSeparator" w:id="0">
    <w:p w:rsidR="00D0507E" w:rsidRDefault="00D0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285C"/>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97A"/>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25249"/>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86AF3"/>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239D"/>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07E"/>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16A"/>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0B6D"/>
    <w:rsid w:val="00FA2D49"/>
    <w:rsid w:val="00FA36C5"/>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CF0BC8BC-2ACC-4E7D-949D-304EE642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5B76-6808-422C-8B5B-4796394A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1285</Words>
  <Characters>7325</Characters>
  <Application>Microsoft Office Word</Application>
  <DocSecurity>0</DocSecurity>
  <Lines>61</Lines>
  <Paragraphs>17</Paragraphs>
  <ScaleCrop>false</ScaleCrop>
  <Company>TRT. Ltd. Co.</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383</cp:revision>
  <cp:lastPrinted>2007-07-19T00:46:00Z</cp:lastPrinted>
  <dcterms:created xsi:type="dcterms:W3CDTF">2014-01-17T06:19:00Z</dcterms:created>
  <dcterms:modified xsi:type="dcterms:W3CDTF">2019-01-17T09:39:00Z</dcterms:modified>
</cp:coreProperties>
</file>