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交银施罗德创新成长混合型证券投资基金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360F5" w:rsidRDefault="00F4179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交银创新成长混合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006223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006223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338,152,944.00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本基金通过优化资产配置和灵活运用多种投资策略，把握港股通资本市场开放政策下的投资机会，力争实现基金资产的稳定增值。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6360F5" w:rsidRDefault="00F41798">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w:t>
            </w:r>
            <w:r>
              <w:rPr>
                <w:color w:val="000000"/>
                <w:kern w:val="0"/>
                <w:sz w:val="24"/>
                <w:szCs w:val="24"/>
              </w:rPr>
              <w:lastRenderedPageBreak/>
              <w:t>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41798" w:rsidRPr="00414345" w:rsidTr="00F4179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41798" w:rsidRPr="00414345" w:rsidTr="00F4179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1,376,405.18</w:t>
            </w:r>
          </w:p>
        </w:tc>
      </w:tr>
      <w:tr w:rsidR="00F41798" w:rsidRPr="00414345" w:rsidTr="00F4179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-2,472,901.31</w:t>
            </w:r>
          </w:p>
        </w:tc>
      </w:tr>
      <w:tr w:rsidR="00F41798" w:rsidRPr="00414345" w:rsidTr="00F4179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-0.0070</w:t>
            </w:r>
          </w:p>
        </w:tc>
      </w:tr>
      <w:tr w:rsidR="00F41798" w:rsidRPr="00414345" w:rsidTr="00F4179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335,505,894.90</w:t>
            </w:r>
          </w:p>
        </w:tc>
      </w:tr>
      <w:tr w:rsidR="00F41798" w:rsidRPr="00414345" w:rsidTr="00F4179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0.9922</w:t>
            </w:r>
          </w:p>
        </w:tc>
      </w:tr>
    </w:tbl>
    <w:p w:rsidR="006360F5" w:rsidRDefault="00F4179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360F5">
        <w:trPr>
          <w:jc w:val="center"/>
        </w:trPr>
        <w:tc>
          <w:tcPr>
            <w:tcW w:w="1701" w:type="dxa"/>
            <w:vAlign w:val="center"/>
          </w:tcPr>
          <w:p w:rsidR="006360F5" w:rsidRDefault="00F41798">
            <w:pPr>
              <w:jc w:val="left"/>
            </w:pPr>
            <w:r>
              <w:rPr>
                <w:color w:val="000000"/>
                <w:sz w:val="24"/>
                <w:szCs w:val="24"/>
              </w:rPr>
              <w:t>过去三个月</w:t>
            </w:r>
          </w:p>
        </w:tc>
        <w:tc>
          <w:tcPr>
            <w:tcW w:w="1045" w:type="dxa"/>
            <w:vAlign w:val="center"/>
          </w:tcPr>
          <w:p w:rsidR="006360F5" w:rsidRDefault="00F41798">
            <w:pPr>
              <w:jc w:val="center"/>
            </w:pPr>
            <w:r>
              <w:rPr>
                <w:color w:val="000000"/>
                <w:sz w:val="24"/>
                <w:szCs w:val="24"/>
              </w:rPr>
              <w:t>-0.77%</w:t>
            </w:r>
          </w:p>
        </w:tc>
        <w:tc>
          <w:tcPr>
            <w:tcW w:w="1344" w:type="dxa"/>
            <w:vAlign w:val="center"/>
          </w:tcPr>
          <w:p w:rsidR="006360F5" w:rsidRDefault="00F41798">
            <w:pPr>
              <w:jc w:val="center"/>
            </w:pPr>
            <w:r>
              <w:rPr>
                <w:color w:val="000000"/>
                <w:sz w:val="24"/>
                <w:szCs w:val="24"/>
              </w:rPr>
              <w:t>0.37%</w:t>
            </w:r>
          </w:p>
        </w:tc>
        <w:tc>
          <w:tcPr>
            <w:tcW w:w="1194" w:type="dxa"/>
            <w:vAlign w:val="center"/>
          </w:tcPr>
          <w:p w:rsidR="006360F5" w:rsidRDefault="00F41798">
            <w:pPr>
              <w:jc w:val="center"/>
            </w:pPr>
            <w:r>
              <w:rPr>
                <w:color w:val="000000"/>
                <w:sz w:val="24"/>
                <w:szCs w:val="24"/>
              </w:rPr>
              <w:t>-7.81%</w:t>
            </w:r>
          </w:p>
        </w:tc>
        <w:tc>
          <w:tcPr>
            <w:tcW w:w="1492" w:type="dxa"/>
            <w:vAlign w:val="center"/>
          </w:tcPr>
          <w:p w:rsidR="006360F5" w:rsidRDefault="00F41798">
            <w:pPr>
              <w:jc w:val="center"/>
            </w:pPr>
            <w:r>
              <w:rPr>
                <w:color w:val="000000"/>
                <w:sz w:val="24"/>
                <w:szCs w:val="24"/>
              </w:rPr>
              <w:t>1.22%</w:t>
            </w:r>
          </w:p>
        </w:tc>
        <w:tc>
          <w:tcPr>
            <w:tcW w:w="1194" w:type="dxa"/>
            <w:vAlign w:val="center"/>
          </w:tcPr>
          <w:p w:rsidR="006360F5" w:rsidRDefault="00F41798">
            <w:pPr>
              <w:jc w:val="center"/>
            </w:pPr>
            <w:r>
              <w:rPr>
                <w:color w:val="000000"/>
                <w:sz w:val="24"/>
                <w:szCs w:val="24"/>
              </w:rPr>
              <w:t>7.04%</w:t>
            </w:r>
          </w:p>
        </w:tc>
        <w:tc>
          <w:tcPr>
            <w:tcW w:w="898" w:type="dxa"/>
            <w:vAlign w:val="center"/>
          </w:tcPr>
          <w:p w:rsidR="006360F5" w:rsidRDefault="00F41798">
            <w:pPr>
              <w:jc w:val="center"/>
            </w:pPr>
            <w:r>
              <w:rPr>
                <w:color w:val="000000"/>
                <w:sz w:val="24"/>
                <w:szCs w:val="24"/>
              </w:rPr>
              <w:t>-0.85%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交银施罗德创新成长混合型证券投资基金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360F5">
        <w:trPr>
          <w:jc w:val="center"/>
        </w:trPr>
        <w:tc>
          <w:tcPr>
            <w:tcW w:w="846" w:type="dxa"/>
            <w:vAlign w:val="center"/>
          </w:tcPr>
          <w:p w:rsidR="006360F5" w:rsidRDefault="00F41798">
            <w:pPr>
              <w:jc w:val="center"/>
            </w:pPr>
            <w:r>
              <w:rPr>
                <w:color w:val="000000"/>
                <w:sz w:val="24"/>
                <w:szCs w:val="24"/>
              </w:rPr>
              <w:t>周中</w:t>
            </w:r>
          </w:p>
        </w:tc>
        <w:tc>
          <w:tcPr>
            <w:tcW w:w="845" w:type="dxa"/>
            <w:vAlign w:val="center"/>
          </w:tcPr>
          <w:p w:rsidR="006360F5" w:rsidRDefault="00F41798">
            <w:pPr>
              <w:jc w:val="center"/>
            </w:pPr>
            <w:r>
              <w:rPr>
                <w:color w:val="000000"/>
                <w:sz w:val="24"/>
                <w:szCs w:val="24"/>
              </w:rPr>
              <w:t>交银环球精选混合</w:t>
            </w:r>
            <w:r>
              <w:rPr>
                <w:color w:val="000000"/>
                <w:sz w:val="24"/>
                <w:szCs w:val="24"/>
              </w:rPr>
              <w:t>(QDII)</w:t>
            </w:r>
            <w:r>
              <w:rPr>
                <w:color w:val="000000"/>
                <w:sz w:val="24"/>
                <w:szCs w:val="24"/>
              </w:rPr>
              <w:t>、交银全球资源混合</w:t>
            </w:r>
            <w:r>
              <w:rPr>
                <w:color w:val="000000"/>
                <w:sz w:val="24"/>
                <w:szCs w:val="24"/>
              </w:rPr>
              <w:t>(QDII</w:t>
            </w:r>
            <w:r>
              <w:rPr>
                <w:color w:val="000000"/>
                <w:sz w:val="24"/>
                <w:szCs w:val="24"/>
              </w:rPr>
              <w:lastRenderedPageBreak/>
              <w:t>)</w:t>
            </w:r>
            <w:r>
              <w:rPr>
                <w:color w:val="000000"/>
                <w:sz w:val="24"/>
                <w:szCs w:val="24"/>
              </w:rPr>
              <w:t>、交银创新成长混合的基金经理</w:t>
            </w:r>
          </w:p>
        </w:tc>
        <w:tc>
          <w:tcPr>
            <w:tcW w:w="1549" w:type="dxa"/>
            <w:vAlign w:val="center"/>
          </w:tcPr>
          <w:p w:rsidR="006360F5" w:rsidRDefault="00F41798">
            <w:pPr>
              <w:jc w:val="center"/>
            </w:pPr>
            <w:r>
              <w:rPr>
                <w:color w:val="000000"/>
                <w:sz w:val="24"/>
                <w:szCs w:val="24"/>
              </w:rPr>
              <w:lastRenderedPageBreak/>
              <w:t>2018-09-27</w:t>
            </w:r>
          </w:p>
        </w:tc>
        <w:tc>
          <w:tcPr>
            <w:tcW w:w="1548" w:type="dxa"/>
            <w:vAlign w:val="center"/>
          </w:tcPr>
          <w:p w:rsidR="006360F5" w:rsidRDefault="00F41798">
            <w:pPr>
              <w:jc w:val="center"/>
            </w:pPr>
            <w:r>
              <w:rPr>
                <w:color w:val="000000"/>
                <w:sz w:val="24"/>
                <w:szCs w:val="24"/>
              </w:rPr>
              <w:t>-</w:t>
            </w:r>
          </w:p>
        </w:tc>
        <w:tc>
          <w:tcPr>
            <w:tcW w:w="1407" w:type="dxa"/>
            <w:vAlign w:val="center"/>
          </w:tcPr>
          <w:p w:rsidR="006360F5" w:rsidRDefault="00F41798">
            <w:pPr>
              <w:jc w:val="center"/>
            </w:pPr>
            <w:r>
              <w:rPr>
                <w:color w:val="000000"/>
                <w:sz w:val="24"/>
                <w:szCs w:val="24"/>
              </w:rPr>
              <w:t>9</w:t>
            </w:r>
            <w:r>
              <w:rPr>
                <w:color w:val="000000"/>
                <w:sz w:val="24"/>
                <w:szCs w:val="24"/>
              </w:rPr>
              <w:t>年</w:t>
            </w:r>
          </w:p>
        </w:tc>
        <w:tc>
          <w:tcPr>
            <w:tcW w:w="2673" w:type="dxa"/>
            <w:vAlign w:val="center"/>
          </w:tcPr>
          <w:p w:rsidR="006360F5" w:rsidRDefault="00F41798">
            <w:r>
              <w:rPr>
                <w:color w:val="000000"/>
                <w:sz w:val="24"/>
                <w:szCs w:val="24"/>
              </w:rPr>
              <w:t>周中先生，中国国籍，复旦大学金融学硕士。历任野村证券亚太区股票研究部研究助理，中银国际证券研究部研究员、高级经理，瑞银证券研究部行业分析师、董事。</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360F5" w:rsidRDefault="00F4179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360F5" w:rsidRDefault="00F4179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360F5" w:rsidRDefault="00F4179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360F5" w:rsidRDefault="00F41798">
      <w:pPr>
        <w:spacing w:before="29" w:line="288" w:lineRule="auto"/>
        <w:ind w:firstLineChars="200" w:firstLine="480"/>
        <w:rPr>
          <w:color w:val="000000"/>
          <w:sz w:val="24"/>
          <w:szCs w:val="24"/>
        </w:rPr>
      </w:pPr>
      <w:r>
        <w:rPr>
          <w:color w:val="000000"/>
          <w:sz w:val="24"/>
          <w:szCs w:val="24"/>
        </w:rPr>
        <w:t>2018</w:t>
      </w:r>
      <w:r>
        <w:rPr>
          <w:color w:val="000000"/>
          <w:sz w:val="24"/>
          <w:szCs w:val="24"/>
        </w:rPr>
        <w:t>年四季度</w:t>
      </w:r>
      <w:r>
        <w:rPr>
          <w:color w:val="000000"/>
          <w:sz w:val="24"/>
          <w:szCs w:val="24"/>
        </w:rPr>
        <w:t>A</w:t>
      </w:r>
      <w:r>
        <w:rPr>
          <w:color w:val="000000"/>
          <w:sz w:val="24"/>
          <w:szCs w:val="24"/>
        </w:rPr>
        <w:t>股市场出现较大调整，主要指数均出现了一定的调整。投资者担心国内经济增长进一步放缓，消费增速的数据也出现了显著下滑。四季度石油化工板块跌幅较大，银行公用事业等高股息板块体现出较强的防御性。</w:t>
      </w:r>
    </w:p>
    <w:p w:rsidR="006360F5" w:rsidRDefault="00F41798">
      <w:pPr>
        <w:spacing w:before="29" w:line="288" w:lineRule="auto"/>
        <w:ind w:firstLineChars="200" w:firstLine="480"/>
        <w:rPr>
          <w:color w:val="000000"/>
          <w:sz w:val="24"/>
          <w:szCs w:val="24"/>
        </w:rPr>
      </w:pPr>
      <w:r>
        <w:rPr>
          <w:color w:val="000000"/>
          <w:sz w:val="24"/>
          <w:szCs w:val="24"/>
        </w:rPr>
        <w:t>本基金在</w:t>
      </w:r>
      <w:r>
        <w:rPr>
          <w:color w:val="000000"/>
          <w:sz w:val="24"/>
          <w:szCs w:val="24"/>
        </w:rPr>
        <w:t>2018</w:t>
      </w:r>
      <w:r>
        <w:rPr>
          <w:color w:val="000000"/>
          <w:sz w:val="24"/>
          <w:szCs w:val="24"/>
        </w:rPr>
        <w:t>年四季度成立并开始建仓，个股表现较为稳定。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对于经济我们持较为悲观的态度，经济增速继续回落的概率较大，宏观政策基本确认将由中性偏紧转向适度的宽松，同时财政政策也将逐步开始发力。在此宏观组合环境之下，股票市场整体预计以震荡走势为主，存在一些结构性的市场机会。对于股票市场我们认为反而不需要过于悲观，历史上来看股市底部往往领先于经济，投资者需要较为确定的经济见底的预期，股票市场就会开始触底回升。我们将持续关注那些在经济周期下行过程中竞争力不受影响的公司，在下一轮经济的企稳回升过程中，这样的企业往往能够提供较好的超额回报。我们将积极寻找具有较好成长性的行业和优质的上市公司，在合适的价格买入，坚持自下而上精选个股的投资策略，力争为投资者创造较好的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C5186" w:rsidRDefault="00F41798" w:rsidP="00C15CAC">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DA1286" w:rsidRPr="00DA1286" w:rsidRDefault="00DA12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123,376,708.84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123,376,708.84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130,000,000.00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38.55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83,593,881.02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24.79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232,908.93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337,203,498.79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50,291,821.90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11,407,478.71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10,369,584.61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11,016,673.12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23,694,105.90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3,817,500.00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117,959,164.24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35.16</w:t>
            </w:r>
          </w:p>
        </w:tc>
      </w:tr>
    </w:tbl>
    <w:p w:rsidR="00971123" w:rsidRDefault="00971123" w:rsidP="00F51C4E">
      <w:pPr>
        <w:jc w:val="left"/>
        <w:rPr>
          <w:rFonts w:asciiTheme="minorEastAsia" w:eastAsiaTheme="minorEastAsia" w:hAnsiTheme="minorEastAsia"/>
          <w:b/>
          <w:bCs/>
          <w:color w:val="000000" w:themeColor="text1"/>
          <w:kern w:val="0"/>
          <w:sz w:val="24"/>
        </w:rPr>
      </w:pPr>
    </w:p>
    <w:p w:rsidR="00F51C4E" w:rsidRPr="00971123" w:rsidRDefault="00F51C4E" w:rsidP="00971123">
      <w:pPr>
        <w:autoSpaceDE w:val="0"/>
        <w:autoSpaceDN w:val="0"/>
        <w:adjustRightInd w:val="0"/>
        <w:spacing w:before="29" w:line="288" w:lineRule="auto"/>
        <w:jc w:val="left"/>
        <w:rPr>
          <w:b/>
          <w:bCs/>
          <w:color w:val="000000"/>
          <w:kern w:val="0"/>
          <w:sz w:val="24"/>
          <w:szCs w:val="24"/>
        </w:rPr>
      </w:pPr>
      <w:r w:rsidRPr="00971123">
        <w:rPr>
          <w:rFonts w:hint="eastAsia"/>
          <w:b/>
          <w:bCs/>
          <w:color w:val="000000"/>
          <w:kern w:val="0"/>
          <w:sz w:val="24"/>
          <w:szCs w:val="24"/>
        </w:rPr>
        <w:t>5.2.2</w:t>
      </w:r>
      <w:r w:rsidRPr="00971123">
        <w:rPr>
          <w:rFonts w:hint="eastAsia"/>
          <w:b/>
          <w:bCs/>
          <w:color w:val="000000"/>
          <w:kern w:val="0"/>
          <w:sz w:val="24"/>
          <w:szCs w:val="24"/>
        </w:rPr>
        <w:t>报告期末按行业分类的</w:t>
      </w:r>
      <w:r w:rsidR="00EE49FE" w:rsidRPr="00971123">
        <w:rPr>
          <w:rFonts w:hint="eastAsia"/>
          <w:b/>
          <w:bCs/>
          <w:color w:val="000000"/>
          <w:kern w:val="0"/>
          <w:sz w:val="24"/>
          <w:szCs w:val="24"/>
        </w:rPr>
        <w:t>港股通</w:t>
      </w:r>
      <w:r w:rsidRPr="00971123">
        <w:rPr>
          <w:rFonts w:hint="eastAsia"/>
          <w:b/>
          <w:bCs/>
          <w:color w:val="000000"/>
          <w:kern w:val="0"/>
          <w:sz w:val="24"/>
          <w:szCs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971123" w:rsidRPr="00971123" w:rsidTr="00B837AE">
        <w:trPr>
          <w:jc w:val="center"/>
        </w:trPr>
        <w:tc>
          <w:tcPr>
            <w:tcW w:w="2397" w:type="dxa"/>
            <w:vAlign w:val="center"/>
          </w:tcPr>
          <w:p w:rsidR="00971123" w:rsidRPr="00971123" w:rsidRDefault="00971123" w:rsidP="00971123">
            <w:pPr>
              <w:spacing w:before="29" w:line="360" w:lineRule="auto"/>
              <w:ind w:left="17"/>
              <w:jc w:val="center"/>
              <w:rPr>
                <w:color w:val="000000"/>
                <w:sz w:val="24"/>
              </w:rPr>
            </w:pPr>
            <w:r w:rsidRPr="00971123">
              <w:rPr>
                <w:rFonts w:hint="eastAsia"/>
                <w:color w:val="000000"/>
                <w:sz w:val="24"/>
              </w:rPr>
              <w:t>行业类别</w:t>
            </w:r>
          </w:p>
        </w:tc>
        <w:tc>
          <w:tcPr>
            <w:tcW w:w="3119" w:type="dxa"/>
            <w:vAlign w:val="center"/>
          </w:tcPr>
          <w:p w:rsidR="00971123" w:rsidRPr="00971123" w:rsidRDefault="00971123" w:rsidP="00971123">
            <w:pPr>
              <w:spacing w:before="29" w:line="360" w:lineRule="auto"/>
              <w:ind w:left="17"/>
              <w:jc w:val="center"/>
              <w:rPr>
                <w:color w:val="000000"/>
                <w:sz w:val="24"/>
              </w:rPr>
            </w:pPr>
            <w:r w:rsidRPr="00971123">
              <w:rPr>
                <w:rFonts w:hint="eastAsia"/>
                <w:color w:val="000000"/>
                <w:sz w:val="24"/>
              </w:rPr>
              <w:t>公允价值（人民币）</w:t>
            </w:r>
          </w:p>
        </w:tc>
        <w:tc>
          <w:tcPr>
            <w:tcW w:w="3118" w:type="dxa"/>
            <w:vAlign w:val="center"/>
          </w:tcPr>
          <w:p w:rsidR="00971123" w:rsidRPr="00971123" w:rsidRDefault="00971123" w:rsidP="00971123">
            <w:pPr>
              <w:spacing w:before="29" w:line="360" w:lineRule="auto"/>
              <w:ind w:left="17"/>
              <w:jc w:val="center"/>
              <w:rPr>
                <w:color w:val="000000"/>
                <w:sz w:val="24"/>
              </w:rPr>
            </w:pPr>
            <w:r w:rsidRPr="00971123">
              <w:rPr>
                <w:rFonts w:hint="eastAsia"/>
                <w:color w:val="000000"/>
                <w:sz w:val="24"/>
              </w:rPr>
              <w:t>占基金资产净值比例（</w:t>
            </w:r>
            <w:r w:rsidRPr="00971123">
              <w:rPr>
                <w:rFonts w:hint="eastAsia"/>
                <w:color w:val="000000"/>
                <w:sz w:val="24"/>
              </w:rPr>
              <w:t>%</w:t>
            </w:r>
            <w:r w:rsidRPr="00971123">
              <w:rPr>
                <w:rFonts w:hint="eastAsia"/>
                <w:color w:val="000000"/>
                <w:sz w:val="24"/>
              </w:rPr>
              <w:t>）</w:t>
            </w:r>
          </w:p>
        </w:tc>
      </w:tr>
      <w:tr w:rsidR="00971123" w:rsidRPr="00971123" w:rsidTr="00B837AE">
        <w:trPr>
          <w:jc w:val="center"/>
        </w:trPr>
        <w:tc>
          <w:tcPr>
            <w:tcW w:w="2397" w:type="dxa"/>
            <w:vAlign w:val="center"/>
          </w:tcPr>
          <w:p w:rsidR="00971123" w:rsidRPr="00971123" w:rsidRDefault="00971123" w:rsidP="00971123">
            <w:pPr>
              <w:jc w:val="center"/>
            </w:pPr>
            <w:r w:rsidRPr="00971123">
              <w:rPr>
                <w:color w:val="000000"/>
                <w:sz w:val="24"/>
              </w:rPr>
              <w:t>非必需消费品</w:t>
            </w:r>
          </w:p>
        </w:tc>
        <w:tc>
          <w:tcPr>
            <w:tcW w:w="3119" w:type="dxa"/>
            <w:vAlign w:val="center"/>
          </w:tcPr>
          <w:p w:rsidR="00971123" w:rsidRPr="00971123" w:rsidRDefault="00971123" w:rsidP="00971123">
            <w:pPr>
              <w:jc w:val="center"/>
            </w:pPr>
            <w:r w:rsidRPr="00971123">
              <w:rPr>
                <w:color w:val="000000"/>
                <w:sz w:val="24"/>
              </w:rPr>
              <w:t>1,209,156.00</w:t>
            </w:r>
          </w:p>
        </w:tc>
        <w:tc>
          <w:tcPr>
            <w:tcW w:w="3118" w:type="dxa"/>
            <w:vAlign w:val="center"/>
          </w:tcPr>
          <w:p w:rsidR="00971123" w:rsidRPr="00971123" w:rsidRDefault="00971123" w:rsidP="00971123">
            <w:pPr>
              <w:jc w:val="center"/>
            </w:pPr>
            <w:r w:rsidRPr="00971123">
              <w:rPr>
                <w:color w:val="000000"/>
                <w:sz w:val="24"/>
              </w:rPr>
              <w:t>0.36</w:t>
            </w:r>
          </w:p>
        </w:tc>
      </w:tr>
      <w:tr w:rsidR="00971123" w:rsidRPr="00971123" w:rsidTr="00B837AE">
        <w:trPr>
          <w:jc w:val="center"/>
        </w:trPr>
        <w:tc>
          <w:tcPr>
            <w:tcW w:w="2397" w:type="dxa"/>
            <w:vAlign w:val="center"/>
          </w:tcPr>
          <w:p w:rsidR="00971123" w:rsidRPr="00971123" w:rsidRDefault="00971123" w:rsidP="00971123">
            <w:pPr>
              <w:jc w:val="center"/>
            </w:pPr>
            <w:r w:rsidRPr="00971123">
              <w:rPr>
                <w:color w:val="000000"/>
                <w:sz w:val="24"/>
              </w:rPr>
              <w:t>信息技术</w:t>
            </w:r>
          </w:p>
        </w:tc>
        <w:tc>
          <w:tcPr>
            <w:tcW w:w="3119" w:type="dxa"/>
            <w:vAlign w:val="center"/>
          </w:tcPr>
          <w:p w:rsidR="00971123" w:rsidRPr="00971123" w:rsidRDefault="00971123" w:rsidP="00971123">
            <w:pPr>
              <w:jc w:val="center"/>
            </w:pPr>
            <w:r w:rsidRPr="00971123">
              <w:rPr>
                <w:color w:val="000000"/>
                <w:sz w:val="24"/>
              </w:rPr>
              <w:t>275,126.80</w:t>
            </w:r>
          </w:p>
        </w:tc>
        <w:tc>
          <w:tcPr>
            <w:tcW w:w="3118" w:type="dxa"/>
            <w:vAlign w:val="center"/>
          </w:tcPr>
          <w:p w:rsidR="00971123" w:rsidRPr="00971123" w:rsidRDefault="00971123" w:rsidP="00971123">
            <w:pPr>
              <w:jc w:val="center"/>
            </w:pPr>
            <w:r w:rsidRPr="00971123">
              <w:rPr>
                <w:color w:val="000000"/>
                <w:sz w:val="24"/>
              </w:rPr>
              <w:t>0.08</w:t>
            </w:r>
          </w:p>
        </w:tc>
      </w:tr>
      <w:tr w:rsidR="00971123" w:rsidRPr="00971123" w:rsidTr="00B837AE">
        <w:trPr>
          <w:jc w:val="center"/>
        </w:trPr>
        <w:tc>
          <w:tcPr>
            <w:tcW w:w="2397" w:type="dxa"/>
            <w:vAlign w:val="center"/>
          </w:tcPr>
          <w:p w:rsidR="00971123" w:rsidRPr="00971123" w:rsidRDefault="00971123" w:rsidP="00971123">
            <w:pPr>
              <w:jc w:val="center"/>
            </w:pPr>
            <w:r w:rsidRPr="00971123">
              <w:rPr>
                <w:color w:val="000000"/>
                <w:sz w:val="24"/>
              </w:rPr>
              <w:t>公用事业</w:t>
            </w:r>
          </w:p>
        </w:tc>
        <w:tc>
          <w:tcPr>
            <w:tcW w:w="3119" w:type="dxa"/>
            <w:vAlign w:val="center"/>
          </w:tcPr>
          <w:p w:rsidR="00971123" w:rsidRPr="00971123" w:rsidRDefault="00971123" w:rsidP="00971123">
            <w:pPr>
              <w:jc w:val="center"/>
            </w:pPr>
            <w:r w:rsidRPr="00971123">
              <w:rPr>
                <w:color w:val="000000"/>
                <w:sz w:val="24"/>
              </w:rPr>
              <w:t>3,933,261.80</w:t>
            </w:r>
          </w:p>
        </w:tc>
        <w:tc>
          <w:tcPr>
            <w:tcW w:w="3118" w:type="dxa"/>
            <w:vAlign w:val="center"/>
          </w:tcPr>
          <w:p w:rsidR="00971123" w:rsidRPr="00971123" w:rsidRDefault="00971123" w:rsidP="00971123">
            <w:pPr>
              <w:jc w:val="center"/>
            </w:pPr>
            <w:r w:rsidRPr="00971123">
              <w:rPr>
                <w:color w:val="000000"/>
                <w:sz w:val="24"/>
              </w:rPr>
              <w:t>1.17</w:t>
            </w:r>
          </w:p>
        </w:tc>
      </w:tr>
      <w:tr w:rsidR="00971123" w:rsidRPr="00971123" w:rsidTr="00B837AE">
        <w:trPr>
          <w:jc w:val="center"/>
        </w:trPr>
        <w:tc>
          <w:tcPr>
            <w:tcW w:w="2397" w:type="dxa"/>
            <w:vAlign w:val="center"/>
          </w:tcPr>
          <w:p w:rsidR="00971123" w:rsidRPr="00971123" w:rsidRDefault="00971123" w:rsidP="00971123">
            <w:pPr>
              <w:spacing w:before="29" w:line="360" w:lineRule="auto"/>
              <w:ind w:left="17"/>
              <w:jc w:val="center"/>
              <w:rPr>
                <w:color w:val="000000"/>
                <w:sz w:val="24"/>
              </w:rPr>
            </w:pPr>
            <w:r w:rsidRPr="00971123">
              <w:rPr>
                <w:rFonts w:hint="eastAsia"/>
                <w:color w:val="000000"/>
                <w:sz w:val="24"/>
              </w:rPr>
              <w:t>合计</w:t>
            </w:r>
          </w:p>
        </w:tc>
        <w:tc>
          <w:tcPr>
            <w:tcW w:w="3119" w:type="dxa"/>
            <w:vAlign w:val="center"/>
          </w:tcPr>
          <w:p w:rsidR="00971123" w:rsidRPr="00971123" w:rsidRDefault="00971123" w:rsidP="00971123">
            <w:pPr>
              <w:spacing w:before="29" w:line="360" w:lineRule="auto"/>
              <w:ind w:left="17"/>
              <w:jc w:val="center"/>
              <w:rPr>
                <w:color w:val="000000"/>
                <w:sz w:val="24"/>
              </w:rPr>
            </w:pPr>
            <w:r w:rsidRPr="00971123">
              <w:rPr>
                <w:rFonts w:hint="eastAsia"/>
                <w:color w:val="000000"/>
                <w:sz w:val="24"/>
              </w:rPr>
              <w:t>5,417,544.60</w:t>
            </w:r>
          </w:p>
        </w:tc>
        <w:tc>
          <w:tcPr>
            <w:tcW w:w="3118" w:type="dxa"/>
            <w:vAlign w:val="center"/>
          </w:tcPr>
          <w:p w:rsidR="00971123" w:rsidRPr="00971123" w:rsidRDefault="00971123" w:rsidP="00971123">
            <w:pPr>
              <w:spacing w:before="29" w:line="360" w:lineRule="auto"/>
              <w:ind w:left="17"/>
              <w:jc w:val="center"/>
              <w:rPr>
                <w:color w:val="000000"/>
                <w:sz w:val="24"/>
              </w:rPr>
            </w:pPr>
            <w:r w:rsidRPr="00971123">
              <w:rPr>
                <w:rFonts w:hint="eastAsia"/>
                <w:color w:val="000000"/>
                <w:sz w:val="24"/>
              </w:rPr>
              <w:t>1.61</w:t>
            </w:r>
          </w:p>
        </w:tc>
      </w:tr>
    </w:tbl>
    <w:p w:rsidR="00F51C4E" w:rsidRDefault="00F51C4E" w:rsidP="00971123">
      <w:pPr>
        <w:spacing w:before="29" w:line="360" w:lineRule="auto"/>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360F5">
        <w:trPr>
          <w:jc w:val="center"/>
        </w:trPr>
        <w:tc>
          <w:tcPr>
            <w:tcW w:w="855" w:type="dxa"/>
            <w:vAlign w:val="center"/>
          </w:tcPr>
          <w:p w:rsidR="006360F5" w:rsidRDefault="00F41798">
            <w:pPr>
              <w:jc w:val="center"/>
            </w:pPr>
            <w:r>
              <w:rPr>
                <w:color w:val="000000"/>
                <w:sz w:val="24"/>
                <w:szCs w:val="24"/>
              </w:rPr>
              <w:t>1</w:t>
            </w:r>
          </w:p>
        </w:tc>
        <w:tc>
          <w:tcPr>
            <w:tcW w:w="1334" w:type="dxa"/>
            <w:vAlign w:val="center"/>
          </w:tcPr>
          <w:p w:rsidR="006360F5" w:rsidRDefault="00F41798">
            <w:pPr>
              <w:jc w:val="center"/>
            </w:pPr>
            <w:r>
              <w:rPr>
                <w:color w:val="000000"/>
                <w:sz w:val="24"/>
                <w:szCs w:val="24"/>
              </w:rPr>
              <w:t>002216</w:t>
            </w:r>
          </w:p>
        </w:tc>
        <w:tc>
          <w:tcPr>
            <w:tcW w:w="1777" w:type="dxa"/>
            <w:vAlign w:val="center"/>
          </w:tcPr>
          <w:p w:rsidR="006360F5" w:rsidRDefault="00F41798">
            <w:pPr>
              <w:jc w:val="center"/>
            </w:pPr>
            <w:r>
              <w:rPr>
                <w:color w:val="000000"/>
                <w:sz w:val="24"/>
                <w:szCs w:val="24"/>
              </w:rPr>
              <w:t>三全食品</w:t>
            </w:r>
          </w:p>
        </w:tc>
        <w:tc>
          <w:tcPr>
            <w:tcW w:w="1334" w:type="dxa"/>
            <w:vAlign w:val="center"/>
          </w:tcPr>
          <w:p w:rsidR="006360F5" w:rsidRDefault="00F41798">
            <w:pPr>
              <w:jc w:val="right"/>
            </w:pPr>
            <w:r>
              <w:rPr>
                <w:color w:val="000000"/>
                <w:sz w:val="24"/>
                <w:szCs w:val="24"/>
              </w:rPr>
              <w:t>1,000,000</w:t>
            </w:r>
          </w:p>
        </w:tc>
        <w:tc>
          <w:tcPr>
            <w:tcW w:w="1924" w:type="dxa"/>
            <w:vAlign w:val="center"/>
          </w:tcPr>
          <w:p w:rsidR="006360F5" w:rsidRDefault="00F41798">
            <w:pPr>
              <w:jc w:val="right"/>
            </w:pPr>
            <w:r>
              <w:rPr>
                <w:color w:val="000000"/>
                <w:sz w:val="24"/>
                <w:szCs w:val="24"/>
              </w:rPr>
              <w:t>7,280,000.00</w:t>
            </w:r>
          </w:p>
        </w:tc>
        <w:tc>
          <w:tcPr>
            <w:tcW w:w="1644" w:type="dxa"/>
            <w:vAlign w:val="center"/>
          </w:tcPr>
          <w:p w:rsidR="006360F5" w:rsidRDefault="00F41798">
            <w:pPr>
              <w:jc w:val="right"/>
            </w:pPr>
            <w:r>
              <w:rPr>
                <w:color w:val="000000"/>
                <w:sz w:val="24"/>
                <w:szCs w:val="24"/>
              </w:rPr>
              <w:t>2.17</w:t>
            </w:r>
          </w:p>
        </w:tc>
      </w:tr>
      <w:tr w:rsidR="006360F5">
        <w:trPr>
          <w:jc w:val="center"/>
        </w:trPr>
        <w:tc>
          <w:tcPr>
            <w:tcW w:w="855" w:type="dxa"/>
            <w:vAlign w:val="center"/>
          </w:tcPr>
          <w:p w:rsidR="006360F5" w:rsidRDefault="00F41798">
            <w:pPr>
              <w:jc w:val="center"/>
            </w:pPr>
            <w:r>
              <w:rPr>
                <w:color w:val="000000"/>
                <w:sz w:val="24"/>
                <w:szCs w:val="24"/>
              </w:rPr>
              <w:t>2</w:t>
            </w:r>
          </w:p>
        </w:tc>
        <w:tc>
          <w:tcPr>
            <w:tcW w:w="1334" w:type="dxa"/>
            <w:vAlign w:val="center"/>
          </w:tcPr>
          <w:p w:rsidR="006360F5" w:rsidRDefault="00F41798">
            <w:pPr>
              <w:jc w:val="center"/>
            </w:pPr>
            <w:r>
              <w:rPr>
                <w:color w:val="000000"/>
                <w:sz w:val="24"/>
                <w:szCs w:val="24"/>
              </w:rPr>
              <w:t>601021</w:t>
            </w:r>
          </w:p>
        </w:tc>
        <w:tc>
          <w:tcPr>
            <w:tcW w:w="1777" w:type="dxa"/>
            <w:vAlign w:val="center"/>
          </w:tcPr>
          <w:p w:rsidR="006360F5" w:rsidRDefault="00F41798">
            <w:pPr>
              <w:jc w:val="center"/>
            </w:pPr>
            <w:r>
              <w:rPr>
                <w:color w:val="000000"/>
                <w:sz w:val="24"/>
                <w:szCs w:val="24"/>
              </w:rPr>
              <w:t>春秋航空</w:t>
            </w:r>
          </w:p>
        </w:tc>
        <w:tc>
          <w:tcPr>
            <w:tcW w:w="1334" w:type="dxa"/>
            <w:vAlign w:val="center"/>
          </w:tcPr>
          <w:p w:rsidR="006360F5" w:rsidRDefault="00F41798">
            <w:pPr>
              <w:jc w:val="right"/>
            </w:pPr>
            <w:r>
              <w:rPr>
                <w:color w:val="000000"/>
                <w:sz w:val="24"/>
                <w:szCs w:val="24"/>
              </w:rPr>
              <w:t>219,952</w:t>
            </w:r>
          </w:p>
        </w:tc>
        <w:tc>
          <w:tcPr>
            <w:tcW w:w="1924" w:type="dxa"/>
            <w:vAlign w:val="center"/>
          </w:tcPr>
          <w:p w:rsidR="006360F5" w:rsidRDefault="00F41798">
            <w:pPr>
              <w:jc w:val="right"/>
            </w:pPr>
            <w:r>
              <w:rPr>
                <w:color w:val="000000"/>
                <w:sz w:val="24"/>
                <w:szCs w:val="24"/>
              </w:rPr>
              <w:t>6,996,673.12</w:t>
            </w:r>
          </w:p>
        </w:tc>
        <w:tc>
          <w:tcPr>
            <w:tcW w:w="1644" w:type="dxa"/>
            <w:vAlign w:val="center"/>
          </w:tcPr>
          <w:p w:rsidR="006360F5" w:rsidRDefault="00F41798">
            <w:pPr>
              <w:jc w:val="right"/>
            </w:pPr>
            <w:r>
              <w:rPr>
                <w:color w:val="000000"/>
                <w:sz w:val="24"/>
                <w:szCs w:val="24"/>
              </w:rPr>
              <w:t>2.09</w:t>
            </w:r>
          </w:p>
        </w:tc>
      </w:tr>
      <w:tr w:rsidR="006360F5">
        <w:trPr>
          <w:jc w:val="center"/>
        </w:trPr>
        <w:tc>
          <w:tcPr>
            <w:tcW w:w="855" w:type="dxa"/>
            <w:vAlign w:val="center"/>
          </w:tcPr>
          <w:p w:rsidR="006360F5" w:rsidRDefault="00F41798">
            <w:pPr>
              <w:jc w:val="center"/>
            </w:pPr>
            <w:r>
              <w:rPr>
                <w:color w:val="000000"/>
                <w:sz w:val="24"/>
                <w:szCs w:val="24"/>
              </w:rPr>
              <w:t>3</w:t>
            </w:r>
          </w:p>
        </w:tc>
        <w:tc>
          <w:tcPr>
            <w:tcW w:w="1334" w:type="dxa"/>
            <w:vAlign w:val="center"/>
          </w:tcPr>
          <w:p w:rsidR="006360F5" w:rsidRDefault="00F41798">
            <w:pPr>
              <w:jc w:val="center"/>
            </w:pPr>
            <w:r>
              <w:rPr>
                <w:color w:val="000000"/>
                <w:sz w:val="24"/>
                <w:szCs w:val="24"/>
              </w:rPr>
              <w:t>603214</w:t>
            </w:r>
          </w:p>
        </w:tc>
        <w:tc>
          <w:tcPr>
            <w:tcW w:w="1777" w:type="dxa"/>
            <w:vAlign w:val="center"/>
          </w:tcPr>
          <w:p w:rsidR="006360F5" w:rsidRDefault="00F41798">
            <w:pPr>
              <w:jc w:val="center"/>
            </w:pPr>
            <w:r>
              <w:rPr>
                <w:color w:val="000000"/>
                <w:sz w:val="24"/>
                <w:szCs w:val="24"/>
              </w:rPr>
              <w:t>爱婴室</w:t>
            </w:r>
          </w:p>
        </w:tc>
        <w:tc>
          <w:tcPr>
            <w:tcW w:w="1334" w:type="dxa"/>
            <w:vAlign w:val="center"/>
          </w:tcPr>
          <w:p w:rsidR="006360F5" w:rsidRDefault="00F41798">
            <w:pPr>
              <w:jc w:val="right"/>
            </w:pPr>
            <w:r>
              <w:rPr>
                <w:color w:val="000000"/>
                <w:sz w:val="24"/>
                <w:szCs w:val="24"/>
              </w:rPr>
              <w:t>180,000</w:t>
            </w:r>
          </w:p>
        </w:tc>
        <w:tc>
          <w:tcPr>
            <w:tcW w:w="1924" w:type="dxa"/>
            <w:vAlign w:val="center"/>
          </w:tcPr>
          <w:p w:rsidR="006360F5" w:rsidRDefault="00F41798">
            <w:pPr>
              <w:jc w:val="right"/>
            </w:pPr>
            <w:r>
              <w:rPr>
                <w:color w:val="000000"/>
                <w:sz w:val="24"/>
                <w:szCs w:val="24"/>
              </w:rPr>
              <w:t>6,660,000.00</w:t>
            </w:r>
          </w:p>
        </w:tc>
        <w:tc>
          <w:tcPr>
            <w:tcW w:w="1644" w:type="dxa"/>
            <w:vAlign w:val="center"/>
          </w:tcPr>
          <w:p w:rsidR="006360F5" w:rsidRDefault="00F41798">
            <w:pPr>
              <w:jc w:val="right"/>
            </w:pPr>
            <w:r>
              <w:rPr>
                <w:color w:val="000000"/>
                <w:sz w:val="24"/>
                <w:szCs w:val="24"/>
              </w:rPr>
              <w:t>1.99</w:t>
            </w:r>
          </w:p>
        </w:tc>
      </w:tr>
      <w:tr w:rsidR="006360F5">
        <w:trPr>
          <w:jc w:val="center"/>
        </w:trPr>
        <w:tc>
          <w:tcPr>
            <w:tcW w:w="855" w:type="dxa"/>
            <w:vAlign w:val="center"/>
          </w:tcPr>
          <w:p w:rsidR="006360F5" w:rsidRDefault="00F41798">
            <w:pPr>
              <w:jc w:val="center"/>
            </w:pPr>
            <w:r>
              <w:rPr>
                <w:color w:val="000000"/>
                <w:sz w:val="24"/>
                <w:szCs w:val="24"/>
              </w:rPr>
              <w:t>4</w:t>
            </w:r>
          </w:p>
        </w:tc>
        <w:tc>
          <w:tcPr>
            <w:tcW w:w="1334" w:type="dxa"/>
            <w:vAlign w:val="center"/>
          </w:tcPr>
          <w:p w:rsidR="006360F5" w:rsidRDefault="00F41798">
            <w:pPr>
              <w:jc w:val="center"/>
            </w:pPr>
            <w:r>
              <w:rPr>
                <w:color w:val="000000"/>
                <w:sz w:val="24"/>
                <w:szCs w:val="24"/>
              </w:rPr>
              <w:t>600872</w:t>
            </w:r>
          </w:p>
        </w:tc>
        <w:tc>
          <w:tcPr>
            <w:tcW w:w="1777" w:type="dxa"/>
            <w:vAlign w:val="center"/>
          </w:tcPr>
          <w:p w:rsidR="006360F5" w:rsidRDefault="00F41798">
            <w:pPr>
              <w:jc w:val="center"/>
            </w:pPr>
            <w:r>
              <w:rPr>
                <w:color w:val="000000"/>
                <w:sz w:val="24"/>
                <w:szCs w:val="24"/>
              </w:rPr>
              <w:t>中炬高新</w:t>
            </w:r>
          </w:p>
        </w:tc>
        <w:tc>
          <w:tcPr>
            <w:tcW w:w="1334" w:type="dxa"/>
            <w:vAlign w:val="center"/>
          </w:tcPr>
          <w:p w:rsidR="006360F5" w:rsidRDefault="00F41798">
            <w:pPr>
              <w:jc w:val="right"/>
            </w:pPr>
            <w:r>
              <w:rPr>
                <w:color w:val="000000"/>
                <w:sz w:val="24"/>
                <w:szCs w:val="24"/>
              </w:rPr>
              <w:t>200,000</w:t>
            </w:r>
          </w:p>
        </w:tc>
        <w:tc>
          <w:tcPr>
            <w:tcW w:w="1924" w:type="dxa"/>
            <w:vAlign w:val="center"/>
          </w:tcPr>
          <w:p w:rsidR="006360F5" w:rsidRDefault="00F41798">
            <w:pPr>
              <w:jc w:val="right"/>
            </w:pPr>
            <w:r>
              <w:rPr>
                <w:color w:val="000000"/>
                <w:sz w:val="24"/>
                <w:szCs w:val="24"/>
              </w:rPr>
              <w:t>5,892,000.00</w:t>
            </w:r>
          </w:p>
        </w:tc>
        <w:tc>
          <w:tcPr>
            <w:tcW w:w="1644" w:type="dxa"/>
            <w:vAlign w:val="center"/>
          </w:tcPr>
          <w:p w:rsidR="006360F5" w:rsidRDefault="00F41798">
            <w:pPr>
              <w:jc w:val="right"/>
            </w:pPr>
            <w:r>
              <w:rPr>
                <w:color w:val="000000"/>
                <w:sz w:val="24"/>
                <w:szCs w:val="24"/>
              </w:rPr>
              <w:t>1.76</w:t>
            </w:r>
          </w:p>
        </w:tc>
      </w:tr>
      <w:tr w:rsidR="006360F5">
        <w:trPr>
          <w:jc w:val="center"/>
        </w:trPr>
        <w:tc>
          <w:tcPr>
            <w:tcW w:w="855" w:type="dxa"/>
            <w:vAlign w:val="center"/>
          </w:tcPr>
          <w:p w:rsidR="006360F5" w:rsidRDefault="00F41798">
            <w:pPr>
              <w:jc w:val="center"/>
            </w:pPr>
            <w:r>
              <w:rPr>
                <w:color w:val="000000"/>
                <w:sz w:val="24"/>
                <w:szCs w:val="24"/>
              </w:rPr>
              <w:t>5</w:t>
            </w:r>
          </w:p>
        </w:tc>
        <w:tc>
          <w:tcPr>
            <w:tcW w:w="1334" w:type="dxa"/>
            <w:vAlign w:val="center"/>
          </w:tcPr>
          <w:p w:rsidR="006360F5" w:rsidRDefault="00F41798">
            <w:pPr>
              <w:jc w:val="center"/>
            </w:pPr>
            <w:r>
              <w:rPr>
                <w:color w:val="000000"/>
                <w:sz w:val="24"/>
                <w:szCs w:val="24"/>
              </w:rPr>
              <w:t>601186</w:t>
            </w:r>
          </w:p>
        </w:tc>
        <w:tc>
          <w:tcPr>
            <w:tcW w:w="1777" w:type="dxa"/>
            <w:vAlign w:val="center"/>
          </w:tcPr>
          <w:p w:rsidR="006360F5" w:rsidRDefault="00F41798">
            <w:pPr>
              <w:jc w:val="center"/>
            </w:pPr>
            <w:r>
              <w:rPr>
                <w:color w:val="000000"/>
                <w:sz w:val="24"/>
                <w:szCs w:val="24"/>
              </w:rPr>
              <w:t>中国铁建</w:t>
            </w:r>
          </w:p>
        </w:tc>
        <w:tc>
          <w:tcPr>
            <w:tcW w:w="1334" w:type="dxa"/>
            <w:vAlign w:val="center"/>
          </w:tcPr>
          <w:p w:rsidR="006360F5" w:rsidRDefault="00F41798">
            <w:pPr>
              <w:jc w:val="right"/>
            </w:pPr>
            <w:r>
              <w:rPr>
                <w:color w:val="000000"/>
                <w:sz w:val="24"/>
                <w:szCs w:val="24"/>
              </w:rPr>
              <w:t>500,000</w:t>
            </w:r>
          </w:p>
        </w:tc>
        <w:tc>
          <w:tcPr>
            <w:tcW w:w="1924" w:type="dxa"/>
            <w:vAlign w:val="center"/>
          </w:tcPr>
          <w:p w:rsidR="006360F5" w:rsidRDefault="00F41798">
            <w:pPr>
              <w:jc w:val="right"/>
            </w:pPr>
            <w:r>
              <w:rPr>
                <w:color w:val="000000"/>
                <w:sz w:val="24"/>
                <w:szCs w:val="24"/>
              </w:rPr>
              <w:t>5,435,000.00</w:t>
            </w:r>
          </w:p>
        </w:tc>
        <w:tc>
          <w:tcPr>
            <w:tcW w:w="1644" w:type="dxa"/>
            <w:vAlign w:val="center"/>
          </w:tcPr>
          <w:p w:rsidR="006360F5" w:rsidRDefault="00F41798">
            <w:pPr>
              <w:jc w:val="right"/>
            </w:pPr>
            <w:r>
              <w:rPr>
                <w:color w:val="000000"/>
                <w:sz w:val="24"/>
                <w:szCs w:val="24"/>
              </w:rPr>
              <w:t>1.62</w:t>
            </w:r>
          </w:p>
        </w:tc>
      </w:tr>
      <w:tr w:rsidR="006360F5">
        <w:trPr>
          <w:jc w:val="center"/>
        </w:trPr>
        <w:tc>
          <w:tcPr>
            <w:tcW w:w="855" w:type="dxa"/>
            <w:vAlign w:val="center"/>
          </w:tcPr>
          <w:p w:rsidR="006360F5" w:rsidRDefault="00F41798">
            <w:pPr>
              <w:jc w:val="center"/>
            </w:pPr>
            <w:r>
              <w:rPr>
                <w:color w:val="000000"/>
                <w:sz w:val="24"/>
                <w:szCs w:val="24"/>
              </w:rPr>
              <w:t>6</w:t>
            </w:r>
          </w:p>
        </w:tc>
        <w:tc>
          <w:tcPr>
            <w:tcW w:w="1334" w:type="dxa"/>
            <w:vAlign w:val="center"/>
          </w:tcPr>
          <w:p w:rsidR="006360F5" w:rsidRDefault="00F41798">
            <w:pPr>
              <w:jc w:val="center"/>
            </w:pPr>
            <w:r>
              <w:rPr>
                <w:color w:val="000000"/>
                <w:sz w:val="24"/>
                <w:szCs w:val="24"/>
              </w:rPr>
              <w:t>601766</w:t>
            </w:r>
          </w:p>
        </w:tc>
        <w:tc>
          <w:tcPr>
            <w:tcW w:w="1777" w:type="dxa"/>
            <w:vAlign w:val="center"/>
          </w:tcPr>
          <w:p w:rsidR="006360F5" w:rsidRDefault="00F41798">
            <w:pPr>
              <w:jc w:val="center"/>
            </w:pPr>
            <w:r>
              <w:rPr>
                <w:color w:val="000000"/>
                <w:sz w:val="24"/>
                <w:szCs w:val="24"/>
              </w:rPr>
              <w:t>中国中车</w:t>
            </w:r>
          </w:p>
        </w:tc>
        <w:tc>
          <w:tcPr>
            <w:tcW w:w="1334" w:type="dxa"/>
            <w:vAlign w:val="center"/>
          </w:tcPr>
          <w:p w:rsidR="006360F5" w:rsidRDefault="00F41798">
            <w:pPr>
              <w:jc w:val="right"/>
            </w:pPr>
            <w:r>
              <w:rPr>
                <w:color w:val="000000"/>
                <w:sz w:val="24"/>
                <w:szCs w:val="24"/>
              </w:rPr>
              <w:t>600,000</w:t>
            </w:r>
          </w:p>
        </w:tc>
        <w:tc>
          <w:tcPr>
            <w:tcW w:w="1924" w:type="dxa"/>
            <w:vAlign w:val="center"/>
          </w:tcPr>
          <w:p w:rsidR="006360F5" w:rsidRDefault="00F41798">
            <w:pPr>
              <w:jc w:val="right"/>
            </w:pPr>
            <w:r>
              <w:rPr>
                <w:color w:val="000000"/>
                <w:sz w:val="24"/>
                <w:szCs w:val="24"/>
              </w:rPr>
              <w:t>5,412,000.00</w:t>
            </w:r>
          </w:p>
        </w:tc>
        <w:tc>
          <w:tcPr>
            <w:tcW w:w="1644" w:type="dxa"/>
            <w:vAlign w:val="center"/>
          </w:tcPr>
          <w:p w:rsidR="006360F5" w:rsidRDefault="00F41798">
            <w:pPr>
              <w:jc w:val="right"/>
            </w:pPr>
            <w:r>
              <w:rPr>
                <w:color w:val="000000"/>
                <w:sz w:val="24"/>
                <w:szCs w:val="24"/>
              </w:rPr>
              <w:t>1.61</w:t>
            </w:r>
          </w:p>
        </w:tc>
      </w:tr>
      <w:tr w:rsidR="006360F5">
        <w:trPr>
          <w:jc w:val="center"/>
        </w:trPr>
        <w:tc>
          <w:tcPr>
            <w:tcW w:w="855" w:type="dxa"/>
            <w:vAlign w:val="center"/>
          </w:tcPr>
          <w:p w:rsidR="006360F5" w:rsidRDefault="00F41798">
            <w:pPr>
              <w:jc w:val="center"/>
            </w:pPr>
            <w:r>
              <w:rPr>
                <w:color w:val="000000"/>
                <w:sz w:val="24"/>
                <w:szCs w:val="24"/>
              </w:rPr>
              <w:t>7</w:t>
            </w:r>
          </w:p>
        </w:tc>
        <w:tc>
          <w:tcPr>
            <w:tcW w:w="1334" w:type="dxa"/>
            <w:vAlign w:val="center"/>
          </w:tcPr>
          <w:p w:rsidR="006360F5" w:rsidRDefault="00F41798">
            <w:pPr>
              <w:jc w:val="center"/>
            </w:pPr>
            <w:r>
              <w:rPr>
                <w:color w:val="000000"/>
                <w:sz w:val="24"/>
                <w:szCs w:val="24"/>
              </w:rPr>
              <w:t>000895</w:t>
            </w:r>
          </w:p>
        </w:tc>
        <w:tc>
          <w:tcPr>
            <w:tcW w:w="1777" w:type="dxa"/>
            <w:vAlign w:val="center"/>
          </w:tcPr>
          <w:p w:rsidR="006360F5" w:rsidRDefault="00F41798">
            <w:pPr>
              <w:jc w:val="center"/>
            </w:pPr>
            <w:r>
              <w:rPr>
                <w:color w:val="000000"/>
                <w:sz w:val="24"/>
                <w:szCs w:val="24"/>
              </w:rPr>
              <w:t>双汇发展</w:t>
            </w:r>
          </w:p>
        </w:tc>
        <w:tc>
          <w:tcPr>
            <w:tcW w:w="1334" w:type="dxa"/>
            <w:vAlign w:val="center"/>
          </w:tcPr>
          <w:p w:rsidR="006360F5" w:rsidRDefault="00F41798">
            <w:pPr>
              <w:jc w:val="right"/>
            </w:pPr>
            <w:r>
              <w:rPr>
                <w:color w:val="000000"/>
                <w:sz w:val="24"/>
                <w:szCs w:val="24"/>
              </w:rPr>
              <w:t>200,000</w:t>
            </w:r>
          </w:p>
        </w:tc>
        <w:tc>
          <w:tcPr>
            <w:tcW w:w="1924" w:type="dxa"/>
            <w:vAlign w:val="center"/>
          </w:tcPr>
          <w:p w:rsidR="006360F5" w:rsidRDefault="00F41798">
            <w:pPr>
              <w:jc w:val="right"/>
            </w:pPr>
            <w:r>
              <w:rPr>
                <w:color w:val="000000"/>
                <w:sz w:val="24"/>
                <w:szCs w:val="24"/>
              </w:rPr>
              <w:t>4,718,000.00</w:t>
            </w:r>
          </w:p>
        </w:tc>
        <w:tc>
          <w:tcPr>
            <w:tcW w:w="1644" w:type="dxa"/>
            <w:vAlign w:val="center"/>
          </w:tcPr>
          <w:p w:rsidR="006360F5" w:rsidRDefault="00F41798">
            <w:pPr>
              <w:jc w:val="right"/>
            </w:pPr>
            <w:r>
              <w:rPr>
                <w:color w:val="000000"/>
                <w:sz w:val="24"/>
                <w:szCs w:val="24"/>
              </w:rPr>
              <w:t>1.41</w:t>
            </w:r>
          </w:p>
        </w:tc>
      </w:tr>
      <w:tr w:rsidR="006360F5">
        <w:trPr>
          <w:jc w:val="center"/>
        </w:trPr>
        <w:tc>
          <w:tcPr>
            <w:tcW w:w="855" w:type="dxa"/>
            <w:vAlign w:val="center"/>
          </w:tcPr>
          <w:p w:rsidR="006360F5" w:rsidRDefault="00F41798">
            <w:pPr>
              <w:jc w:val="center"/>
            </w:pPr>
            <w:r>
              <w:rPr>
                <w:color w:val="000000"/>
                <w:sz w:val="24"/>
                <w:szCs w:val="24"/>
              </w:rPr>
              <w:t>8</w:t>
            </w:r>
          </w:p>
        </w:tc>
        <w:tc>
          <w:tcPr>
            <w:tcW w:w="1334" w:type="dxa"/>
            <w:vAlign w:val="center"/>
          </w:tcPr>
          <w:p w:rsidR="006360F5" w:rsidRDefault="00F41798">
            <w:pPr>
              <w:jc w:val="center"/>
            </w:pPr>
            <w:r>
              <w:rPr>
                <w:color w:val="000000"/>
                <w:sz w:val="24"/>
                <w:szCs w:val="24"/>
              </w:rPr>
              <w:t>600271</w:t>
            </w:r>
          </w:p>
        </w:tc>
        <w:tc>
          <w:tcPr>
            <w:tcW w:w="1777" w:type="dxa"/>
            <w:vAlign w:val="center"/>
          </w:tcPr>
          <w:p w:rsidR="006360F5" w:rsidRDefault="00F41798">
            <w:pPr>
              <w:jc w:val="center"/>
            </w:pPr>
            <w:r>
              <w:rPr>
                <w:color w:val="000000"/>
                <w:sz w:val="24"/>
                <w:szCs w:val="24"/>
              </w:rPr>
              <w:t>航天信息</w:t>
            </w:r>
          </w:p>
        </w:tc>
        <w:tc>
          <w:tcPr>
            <w:tcW w:w="1334" w:type="dxa"/>
            <w:vAlign w:val="center"/>
          </w:tcPr>
          <w:p w:rsidR="006360F5" w:rsidRDefault="00F41798">
            <w:pPr>
              <w:jc w:val="right"/>
            </w:pPr>
            <w:r>
              <w:rPr>
                <w:color w:val="000000"/>
                <w:sz w:val="24"/>
                <w:szCs w:val="24"/>
              </w:rPr>
              <w:t>200,000</w:t>
            </w:r>
          </w:p>
        </w:tc>
        <w:tc>
          <w:tcPr>
            <w:tcW w:w="1924" w:type="dxa"/>
            <w:vAlign w:val="center"/>
          </w:tcPr>
          <w:p w:rsidR="006360F5" w:rsidRDefault="00F41798">
            <w:pPr>
              <w:jc w:val="right"/>
            </w:pPr>
            <w:r>
              <w:rPr>
                <w:color w:val="000000"/>
                <w:sz w:val="24"/>
                <w:szCs w:val="24"/>
              </w:rPr>
              <w:t>4,578,000.00</w:t>
            </w:r>
          </w:p>
        </w:tc>
        <w:tc>
          <w:tcPr>
            <w:tcW w:w="1644" w:type="dxa"/>
            <w:vAlign w:val="center"/>
          </w:tcPr>
          <w:p w:rsidR="006360F5" w:rsidRDefault="00F41798">
            <w:pPr>
              <w:jc w:val="right"/>
            </w:pPr>
            <w:r>
              <w:rPr>
                <w:color w:val="000000"/>
                <w:sz w:val="24"/>
                <w:szCs w:val="24"/>
              </w:rPr>
              <w:t>1.36</w:t>
            </w:r>
          </w:p>
        </w:tc>
      </w:tr>
      <w:tr w:rsidR="006360F5">
        <w:trPr>
          <w:jc w:val="center"/>
        </w:trPr>
        <w:tc>
          <w:tcPr>
            <w:tcW w:w="855" w:type="dxa"/>
            <w:vAlign w:val="center"/>
          </w:tcPr>
          <w:p w:rsidR="006360F5" w:rsidRDefault="00F41798">
            <w:pPr>
              <w:jc w:val="center"/>
            </w:pPr>
            <w:r>
              <w:rPr>
                <w:color w:val="000000"/>
                <w:sz w:val="24"/>
                <w:szCs w:val="24"/>
              </w:rPr>
              <w:t>9</w:t>
            </w:r>
          </w:p>
        </w:tc>
        <w:tc>
          <w:tcPr>
            <w:tcW w:w="1334" w:type="dxa"/>
            <w:vAlign w:val="center"/>
          </w:tcPr>
          <w:p w:rsidR="006360F5" w:rsidRDefault="00F41798">
            <w:pPr>
              <w:jc w:val="center"/>
            </w:pPr>
            <w:r>
              <w:rPr>
                <w:color w:val="000000"/>
                <w:sz w:val="24"/>
                <w:szCs w:val="24"/>
              </w:rPr>
              <w:t>002153</w:t>
            </w:r>
          </w:p>
        </w:tc>
        <w:tc>
          <w:tcPr>
            <w:tcW w:w="1777" w:type="dxa"/>
            <w:vAlign w:val="center"/>
          </w:tcPr>
          <w:p w:rsidR="006360F5" w:rsidRDefault="00F41798">
            <w:pPr>
              <w:jc w:val="center"/>
            </w:pPr>
            <w:r>
              <w:rPr>
                <w:color w:val="000000"/>
                <w:sz w:val="24"/>
                <w:szCs w:val="24"/>
              </w:rPr>
              <w:t>石基信息</w:t>
            </w:r>
          </w:p>
        </w:tc>
        <w:tc>
          <w:tcPr>
            <w:tcW w:w="1334" w:type="dxa"/>
            <w:vAlign w:val="center"/>
          </w:tcPr>
          <w:p w:rsidR="006360F5" w:rsidRDefault="00F41798">
            <w:pPr>
              <w:jc w:val="right"/>
            </w:pPr>
            <w:r>
              <w:rPr>
                <w:color w:val="000000"/>
                <w:sz w:val="24"/>
                <w:szCs w:val="24"/>
              </w:rPr>
              <w:t>170,000</w:t>
            </w:r>
          </w:p>
        </w:tc>
        <w:tc>
          <w:tcPr>
            <w:tcW w:w="1924" w:type="dxa"/>
            <w:vAlign w:val="center"/>
          </w:tcPr>
          <w:p w:rsidR="006360F5" w:rsidRDefault="00F41798">
            <w:pPr>
              <w:jc w:val="right"/>
            </w:pPr>
            <w:r>
              <w:rPr>
                <w:color w:val="000000"/>
                <w:sz w:val="24"/>
                <w:szCs w:val="24"/>
              </w:rPr>
              <w:t>4,413,200.00</w:t>
            </w:r>
          </w:p>
        </w:tc>
        <w:tc>
          <w:tcPr>
            <w:tcW w:w="1644" w:type="dxa"/>
            <w:vAlign w:val="center"/>
          </w:tcPr>
          <w:p w:rsidR="006360F5" w:rsidRDefault="00F41798">
            <w:pPr>
              <w:jc w:val="right"/>
            </w:pPr>
            <w:r>
              <w:rPr>
                <w:color w:val="000000"/>
                <w:sz w:val="24"/>
                <w:szCs w:val="24"/>
              </w:rPr>
              <w:t>1.32</w:t>
            </w:r>
          </w:p>
        </w:tc>
      </w:tr>
      <w:tr w:rsidR="006360F5">
        <w:trPr>
          <w:jc w:val="center"/>
        </w:trPr>
        <w:tc>
          <w:tcPr>
            <w:tcW w:w="855" w:type="dxa"/>
            <w:vAlign w:val="center"/>
          </w:tcPr>
          <w:p w:rsidR="006360F5" w:rsidRDefault="00F41798">
            <w:pPr>
              <w:jc w:val="center"/>
            </w:pPr>
            <w:r>
              <w:rPr>
                <w:color w:val="000000"/>
                <w:sz w:val="24"/>
                <w:szCs w:val="24"/>
              </w:rPr>
              <w:t>10</w:t>
            </w:r>
          </w:p>
        </w:tc>
        <w:tc>
          <w:tcPr>
            <w:tcW w:w="1334" w:type="dxa"/>
            <w:vAlign w:val="center"/>
          </w:tcPr>
          <w:p w:rsidR="006360F5" w:rsidRDefault="00F41798">
            <w:pPr>
              <w:jc w:val="center"/>
            </w:pPr>
            <w:r>
              <w:rPr>
                <w:color w:val="000000"/>
                <w:sz w:val="24"/>
                <w:szCs w:val="24"/>
              </w:rPr>
              <w:t>600004</w:t>
            </w:r>
          </w:p>
        </w:tc>
        <w:tc>
          <w:tcPr>
            <w:tcW w:w="1777" w:type="dxa"/>
            <w:vAlign w:val="center"/>
          </w:tcPr>
          <w:p w:rsidR="006360F5" w:rsidRDefault="00F41798">
            <w:pPr>
              <w:jc w:val="center"/>
            </w:pPr>
            <w:r>
              <w:rPr>
                <w:color w:val="000000"/>
                <w:sz w:val="24"/>
                <w:szCs w:val="24"/>
              </w:rPr>
              <w:t>白云机场</w:t>
            </w:r>
          </w:p>
        </w:tc>
        <w:tc>
          <w:tcPr>
            <w:tcW w:w="1334" w:type="dxa"/>
            <w:vAlign w:val="center"/>
          </w:tcPr>
          <w:p w:rsidR="006360F5" w:rsidRDefault="00F41798">
            <w:pPr>
              <w:jc w:val="right"/>
            </w:pPr>
            <w:r>
              <w:rPr>
                <w:color w:val="000000"/>
                <w:sz w:val="24"/>
                <w:szCs w:val="24"/>
              </w:rPr>
              <w:t>400,000</w:t>
            </w:r>
          </w:p>
        </w:tc>
        <w:tc>
          <w:tcPr>
            <w:tcW w:w="1924" w:type="dxa"/>
            <w:vAlign w:val="center"/>
          </w:tcPr>
          <w:p w:rsidR="006360F5" w:rsidRDefault="00F41798">
            <w:pPr>
              <w:jc w:val="right"/>
            </w:pPr>
            <w:r>
              <w:rPr>
                <w:color w:val="000000"/>
                <w:sz w:val="24"/>
                <w:szCs w:val="24"/>
              </w:rPr>
              <w:t>4,020,000.00</w:t>
            </w:r>
          </w:p>
        </w:tc>
        <w:tc>
          <w:tcPr>
            <w:tcW w:w="1644" w:type="dxa"/>
            <w:vAlign w:val="center"/>
          </w:tcPr>
          <w:p w:rsidR="006360F5" w:rsidRDefault="00F41798">
            <w:pPr>
              <w:jc w:val="right"/>
            </w:pPr>
            <w:r>
              <w:rPr>
                <w:color w:val="000000"/>
                <w:sz w:val="24"/>
                <w:szCs w:val="24"/>
              </w:rPr>
              <w:t>1.20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bookmarkStart w:id="0" w:name="_GoBack"/>
      <w:bookmarkEnd w:id="0"/>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Default="00A54C7D" w:rsidP="00C15CAC">
      <w:pPr>
        <w:autoSpaceDE w:val="0"/>
        <w:autoSpaceDN w:val="0"/>
        <w:adjustRightInd w:val="0"/>
        <w:spacing w:before="29" w:line="288" w:lineRule="auto"/>
        <w:jc w:val="left"/>
        <w:rPr>
          <w:rFonts w:hAnsi="宋体"/>
          <w:b/>
          <w:bCs/>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FF7031" w:rsidRPr="00FF7031" w:rsidRDefault="00FF7031" w:rsidP="00C15CAC">
      <w:pPr>
        <w:autoSpaceDE w:val="0"/>
        <w:autoSpaceDN w:val="0"/>
        <w:adjustRightInd w:val="0"/>
        <w:spacing w:before="29" w:line="288" w:lineRule="auto"/>
        <w:jc w:val="left"/>
        <w:rPr>
          <w:rFonts w:hAnsi="宋体"/>
          <w:bCs/>
          <w:color w:val="000000"/>
          <w:kern w:val="0"/>
          <w:sz w:val="24"/>
          <w:szCs w:val="24"/>
        </w:rPr>
      </w:pPr>
      <w:r w:rsidRPr="00FF7031">
        <w:rPr>
          <w:rFonts w:hAnsi="宋体" w:hint="eastAsia"/>
          <w:bCs/>
          <w:color w:val="000000"/>
          <w:kern w:val="0"/>
          <w:sz w:val="24"/>
          <w:szCs w:val="24"/>
        </w:rPr>
        <w:t>本基金本报告期末未持有贵金属。</w:t>
      </w:r>
    </w:p>
    <w:p w:rsidR="00FF7031" w:rsidRPr="00414345" w:rsidRDefault="00FF7031"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67,201.74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136,237.95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29,469.24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232,908.93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364,241,070.86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4,192,610.15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30,280,737.01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338,152,944.00</w:t>
            </w:r>
          </w:p>
        </w:tc>
      </w:tr>
    </w:tbl>
    <w:p w:rsidR="006360F5" w:rsidRDefault="00F4179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E43667" w:rsidRPr="000673DA" w:rsidRDefault="00E43667" w:rsidP="00E43667">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Pr="000673DA">
        <w:rPr>
          <w:color w:val="000000"/>
          <w:kern w:val="0"/>
          <w:sz w:val="24"/>
          <w:szCs w:val="24"/>
        </w:rPr>
        <w:t xml:space="preserve">8  </w:t>
      </w:r>
      <w:r w:rsidRPr="000673DA">
        <w:rPr>
          <w:rFonts w:hAnsi="宋体"/>
          <w:sz w:val="24"/>
          <w:szCs w:val="24"/>
        </w:rPr>
        <w:t>基金管理人运用固有资金投资本基金情况</w:t>
      </w:r>
    </w:p>
    <w:p w:rsidR="00E43667" w:rsidRPr="000673DA" w:rsidRDefault="00E43667" w:rsidP="00E43667">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E43667" w:rsidRPr="00AE55CC" w:rsidRDefault="00E43667" w:rsidP="00E43667">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E43667" w:rsidRDefault="00E43667" w:rsidP="00E43667">
      <w:pPr>
        <w:autoSpaceDE w:val="0"/>
        <w:autoSpaceDN w:val="0"/>
        <w:adjustRightInd w:val="0"/>
        <w:spacing w:before="29" w:line="288" w:lineRule="auto"/>
        <w:jc w:val="left"/>
        <w:rPr>
          <w:color w:val="000000"/>
          <w:sz w:val="24"/>
        </w:rPr>
      </w:pPr>
    </w:p>
    <w:p w:rsidR="00E43667" w:rsidRPr="008A3BCC" w:rsidRDefault="00E43667" w:rsidP="00E43667">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E43667" w:rsidRPr="007F52FA" w:rsidRDefault="00E43667" w:rsidP="00E43667">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320E90" w:rsidRPr="00E43667" w:rsidRDefault="00320E90" w:rsidP="00C15CAC">
      <w:pPr>
        <w:autoSpaceDE w:val="0"/>
        <w:autoSpaceDN w:val="0"/>
        <w:adjustRightInd w:val="0"/>
        <w:spacing w:before="29" w:line="288" w:lineRule="auto"/>
        <w:jc w:val="left"/>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E43667">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E43667"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360F5" w:rsidRDefault="00F4179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、中国证监会准予交银施罗德创新成长混合型证券投资基金募集注册的文件；</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、《交银施罗德创新成长混合型证券投资基金基金合同》；</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、《交银施罗德创新成长混合型证券投资基金招募说明书》；</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、《交银施罗德创新成长混合型证券投资基金托管协议》；</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、关于申请募集注册交银施罗德创新成长混合型证券投资基金的法律意见书；</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360F5" w:rsidRDefault="00F4179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、报告期内交银施罗德创新成长混合型证券投资基金在指定报刊上各项公告的原稿。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E43667"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E43667"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360F5" w:rsidRDefault="00F4179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6F" w:rsidRDefault="0073776F" w:rsidP="00876D65">
      <w:r>
        <w:separator/>
      </w:r>
    </w:p>
  </w:endnote>
  <w:endnote w:type="continuationSeparator" w:id="0">
    <w:p w:rsidR="0073776F" w:rsidRDefault="0073776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F7031">
      <w:rPr>
        <w:noProof/>
        <w:kern w:val="0"/>
        <w:szCs w:val="21"/>
      </w:rPr>
      <w:t>11</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FF7031">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6F" w:rsidRDefault="0073776F" w:rsidP="00876D65">
      <w:r>
        <w:separator/>
      </w:r>
    </w:p>
  </w:footnote>
  <w:footnote w:type="continuationSeparator" w:id="0">
    <w:p w:rsidR="0073776F" w:rsidRDefault="0073776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交银施罗德创新成长混合型证券投资基金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57773"/>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1F7151"/>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0F5"/>
    <w:rsid w:val="00636DB7"/>
    <w:rsid w:val="0063783A"/>
    <w:rsid w:val="00641048"/>
    <w:rsid w:val="006423B9"/>
    <w:rsid w:val="00642FA0"/>
    <w:rsid w:val="00644F72"/>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3776F"/>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1123"/>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286"/>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3667"/>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1798"/>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 w:val="00FF7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8B8C9A-AFC2-4747-A512-F2ED3BD60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840F-9ACE-482F-AC91-0A39AE97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11</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585</cp:revision>
  <dcterms:created xsi:type="dcterms:W3CDTF">2012-10-16T06:07:00Z</dcterms:created>
  <dcterms:modified xsi:type="dcterms:W3CDTF">2019-01-17T01:50:00Z</dcterms:modified>
</cp:coreProperties>
</file>