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2018</w:t>
      </w:r>
      <w:r w:rsidRPr="00BD3DFE">
        <w:rPr>
          <w:b/>
          <w:sz w:val="36"/>
          <w:szCs w:val="36"/>
        </w:rPr>
        <w:t>年第</w:t>
      </w:r>
      <w:r w:rsidRPr="00BD3DFE">
        <w:rPr>
          <w:b/>
          <w:sz w:val="36"/>
          <w:szCs w:val="36"/>
        </w:rPr>
        <w:t>4</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2018</w:t>
      </w:r>
      <w:r w:rsidRPr="00BD3DFE">
        <w:rPr>
          <w:b/>
          <w:sz w:val="36"/>
          <w:szCs w:val="36"/>
        </w:rPr>
        <w:t>年</w:t>
      </w:r>
      <w:r w:rsidRPr="00BD3DFE">
        <w:rPr>
          <w:b/>
          <w:sz w:val="36"/>
          <w:szCs w:val="36"/>
        </w:rPr>
        <w:t>12</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二〇一九年一月二十一日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B52DC5" w:rsidRDefault="00DF5456">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52DC5" w:rsidRDefault="00DF545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52DC5" w:rsidRDefault="00DF545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52DC5" w:rsidRDefault="00DF545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52DC5" w:rsidRDefault="00DF5456">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2018</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12</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366,524,362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C51E4" w:rsidRPr="0036023B" w:rsidTr="003C51E4">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(2018</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w:t>
            </w:r>
            <w:r w:rsidRPr="0036023B">
              <w:rPr>
                <w:color w:val="000000"/>
                <w:sz w:val="24"/>
              </w:rPr>
              <w:t>-2018</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3C51E4" w:rsidRPr="0036023B" w:rsidTr="003C51E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-5,876,225.78</w:t>
            </w:r>
          </w:p>
        </w:tc>
      </w:tr>
      <w:tr w:rsidR="003C51E4" w:rsidRPr="0036023B" w:rsidTr="003C51E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-48,549,997.77</w:t>
            </w:r>
          </w:p>
        </w:tc>
      </w:tr>
      <w:tr w:rsidR="003C51E4" w:rsidRPr="0036023B" w:rsidTr="003C51E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-0.1325</w:t>
            </w:r>
          </w:p>
        </w:tc>
      </w:tr>
      <w:tr w:rsidR="003C51E4" w:rsidRPr="0036023B" w:rsidTr="003C51E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351,329,986.85</w:t>
            </w:r>
          </w:p>
        </w:tc>
      </w:tr>
      <w:tr w:rsidR="003C51E4" w:rsidRPr="0036023B" w:rsidTr="003C51E4">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0.959</w:t>
            </w:r>
          </w:p>
        </w:tc>
      </w:tr>
    </w:tbl>
    <w:p w:rsidR="00B52DC5" w:rsidRDefault="00DF545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B52DC5">
        <w:trPr>
          <w:jc w:val="center"/>
        </w:trPr>
        <w:tc>
          <w:tcPr>
            <w:tcW w:w="1469" w:type="dxa"/>
            <w:vAlign w:val="center"/>
          </w:tcPr>
          <w:p w:rsidR="00B52DC5" w:rsidRDefault="00DF5456">
            <w:pPr>
              <w:jc w:val="left"/>
            </w:pPr>
            <w:r>
              <w:rPr>
                <w:color w:val="000000"/>
                <w:sz w:val="24"/>
              </w:rPr>
              <w:t>过去三个月</w:t>
            </w:r>
          </w:p>
        </w:tc>
        <w:tc>
          <w:tcPr>
            <w:tcW w:w="1150" w:type="dxa"/>
            <w:vAlign w:val="center"/>
          </w:tcPr>
          <w:p w:rsidR="00B52DC5" w:rsidRDefault="00DF5456">
            <w:pPr>
              <w:jc w:val="center"/>
            </w:pPr>
            <w:r>
              <w:rPr>
                <w:color w:val="000000"/>
                <w:sz w:val="24"/>
              </w:rPr>
              <w:t>-12.10%</w:t>
            </w:r>
          </w:p>
        </w:tc>
        <w:tc>
          <w:tcPr>
            <w:tcW w:w="1223" w:type="dxa"/>
            <w:vAlign w:val="center"/>
          </w:tcPr>
          <w:p w:rsidR="00B52DC5" w:rsidRDefault="00DF5456">
            <w:pPr>
              <w:jc w:val="center"/>
            </w:pPr>
            <w:r>
              <w:rPr>
                <w:color w:val="000000"/>
                <w:sz w:val="24"/>
              </w:rPr>
              <w:t>1.48%</w:t>
            </w:r>
          </w:p>
        </w:tc>
        <w:tc>
          <w:tcPr>
            <w:tcW w:w="1244" w:type="dxa"/>
            <w:vAlign w:val="center"/>
          </w:tcPr>
          <w:p w:rsidR="00B52DC5" w:rsidRDefault="00DF5456">
            <w:pPr>
              <w:jc w:val="center"/>
            </w:pPr>
            <w:r>
              <w:rPr>
                <w:color w:val="000000"/>
                <w:sz w:val="24"/>
              </w:rPr>
              <w:t>-11.66%</w:t>
            </w:r>
          </w:p>
        </w:tc>
        <w:tc>
          <w:tcPr>
            <w:tcW w:w="1251" w:type="dxa"/>
            <w:vAlign w:val="center"/>
          </w:tcPr>
          <w:p w:rsidR="00B52DC5" w:rsidRDefault="00DF5456">
            <w:pPr>
              <w:jc w:val="center"/>
            </w:pPr>
            <w:r>
              <w:rPr>
                <w:color w:val="000000"/>
                <w:sz w:val="24"/>
              </w:rPr>
              <w:t>1.48%</w:t>
            </w:r>
          </w:p>
        </w:tc>
        <w:tc>
          <w:tcPr>
            <w:tcW w:w="1263" w:type="dxa"/>
            <w:vAlign w:val="center"/>
          </w:tcPr>
          <w:p w:rsidR="00B52DC5" w:rsidRDefault="00DF5456">
            <w:pPr>
              <w:jc w:val="center"/>
            </w:pPr>
            <w:r>
              <w:rPr>
                <w:color w:val="000000"/>
                <w:sz w:val="24"/>
              </w:rPr>
              <w:t>-0.44%</w:t>
            </w:r>
          </w:p>
        </w:tc>
        <w:tc>
          <w:tcPr>
            <w:tcW w:w="1268" w:type="dxa"/>
            <w:vAlign w:val="center"/>
          </w:tcPr>
          <w:p w:rsidR="00B52DC5" w:rsidRDefault="00DF5456">
            <w:pPr>
              <w:jc w:val="center"/>
            </w:pPr>
            <w:r>
              <w:rPr>
                <w:color w:val="000000"/>
                <w:sz w:val="24"/>
              </w:rPr>
              <w:t>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2018</w:t>
      </w:r>
      <w:r w:rsidRPr="0036023B">
        <w:rPr>
          <w:color w:val="000000"/>
          <w:kern w:val="0"/>
          <w:sz w:val="24"/>
        </w:rPr>
        <w:t>年</w:t>
      </w:r>
      <w:r w:rsidRPr="0036023B">
        <w:rPr>
          <w:color w:val="000000"/>
          <w:kern w:val="0"/>
          <w:sz w:val="24"/>
        </w:rPr>
        <w:t>12</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B52DC5">
        <w:trPr>
          <w:jc w:val="center"/>
        </w:trPr>
        <w:tc>
          <w:tcPr>
            <w:tcW w:w="846" w:type="dxa"/>
            <w:vAlign w:val="center"/>
          </w:tcPr>
          <w:p w:rsidR="00B52DC5" w:rsidRDefault="00DF5456">
            <w:pPr>
              <w:jc w:val="center"/>
            </w:pPr>
            <w:r>
              <w:rPr>
                <w:color w:val="000000"/>
                <w:sz w:val="24"/>
              </w:rPr>
              <w:t>蔡铮</w:t>
            </w:r>
          </w:p>
        </w:tc>
        <w:tc>
          <w:tcPr>
            <w:tcW w:w="845" w:type="dxa"/>
            <w:vAlign w:val="center"/>
          </w:tcPr>
          <w:p w:rsidR="00B52DC5" w:rsidRDefault="00DF5456">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r>
              <w:rPr>
                <w:color w:val="000000"/>
                <w:sz w:val="24"/>
              </w:rPr>
              <w:lastRenderedPageBreak/>
              <w:t>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w:t>
            </w:r>
            <w:r>
              <w:rPr>
                <w:color w:val="000000"/>
                <w:sz w:val="24"/>
              </w:rPr>
              <w:lastRenderedPageBreak/>
              <w:t>副总监兼多元资产管理副总监</w:t>
            </w:r>
          </w:p>
        </w:tc>
        <w:tc>
          <w:tcPr>
            <w:tcW w:w="1549" w:type="dxa"/>
            <w:vAlign w:val="center"/>
          </w:tcPr>
          <w:p w:rsidR="00B52DC5" w:rsidRDefault="00DF5456">
            <w:pPr>
              <w:jc w:val="center"/>
            </w:pPr>
            <w:r>
              <w:rPr>
                <w:color w:val="000000"/>
                <w:sz w:val="24"/>
              </w:rPr>
              <w:lastRenderedPageBreak/>
              <w:t>2012-12-27</w:t>
            </w:r>
          </w:p>
        </w:tc>
        <w:tc>
          <w:tcPr>
            <w:tcW w:w="1548" w:type="dxa"/>
            <w:vAlign w:val="center"/>
          </w:tcPr>
          <w:p w:rsidR="00B52DC5" w:rsidRDefault="00DF5456">
            <w:pPr>
              <w:jc w:val="center"/>
            </w:pPr>
            <w:r>
              <w:rPr>
                <w:color w:val="000000"/>
                <w:sz w:val="24"/>
              </w:rPr>
              <w:t>-</w:t>
            </w:r>
          </w:p>
        </w:tc>
        <w:tc>
          <w:tcPr>
            <w:tcW w:w="1407" w:type="dxa"/>
            <w:vAlign w:val="center"/>
          </w:tcPr>
          <w:p w:rsidR="00B52DC5" w:rsidRDefault="00DF5456">
            <w:pPr>
              <w:jc w:val="center"/>
            </w:pPr>
            <w:r>
              <w:rPr>
                <w:color w:val="000000"/>
                <w:sz w:val="24"/>
              </w:rPr>
              <w:t>9</w:t>
            </w:r>
            <w:r>
              <w:rPr>
                <w:color w:val="000000"/>
                <w:sz w:val="24"/>
              </w:rPr>
              <w:t>年</w:t>
            </w:r>
          </w:p>
        </w:tc>
        <w:tc>
          <w:tcPr>
            <w:tcW w:w="2673" w:type="dxa"/>
            <w:vAlign w:val="center"/>
          </w:tcPr>
          <w:p w:rsidR="00B52DC5" w:rsidRDefault="00DF5456">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w:t>
            </w:r>
            <w:r>
              <w:rPr>
                <w:color w:val="000000"/>
                <w:sz w:val="24"/>
              </w:rPr>
              <w:lastRenderedPageBreak/>
              <w:t>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B52DC5" w:rsidRDefault="00DF545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52DC5" w:rsidRDefault="00DF545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52DC5" w:rsidRDefault="00DF545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B52DC5" w:rsidRDefault="00DF5456">
      <w:pPr>
        <w:spacing w:before="29" w:line="288" w:lineRule="auto"/>
        <w:ind w:firstLineChars="200" w:firstLine="480"/>
        <w:rPr>
          <w:color w:val="000000"/>
          <w:sz w:val="24"/>
        </w:rPr>
      </w:pPr>
      <w:r>
        <w:rPr>
          <w:color w:val="000000"/>
          <w:sz w:val="24"/>
        </w:rPr>
        <w:t>2018</w:t>
      </w:r>
      <w:r>
        <w:rPr>
          <w:color w:val="000000"/>
          <w:sz w:val="24"/>
        </w:rPr>
        <w:t>年四季度国内经济走势偏弱，消费增速继续回落，投资增速小幅回升，地产投资和制造业投资已现疲软态势，出口增速大幅下滑。在此经济背景下，四季度</w:t>
      </w:r>
      <w:r>
        <w:rPr>
          <w:color w:val="000000"/>
          <w:sz w:val="24"/>
        </w:rPr>
        <w:t>A</w:t>
      </w:r>
      <w:r>
        <w:rPr>
          <w:color w:val="000000"/>
          <w:sz w:val="24"/>
        </w:rPr>
        <w:t>股市场阶段性下行，作为跟踪基准指数的指数基金，四季度基金总体呈现震荡向下的走势。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2019</w:t>
      </w:r>
      <w:r w:rsidRPr="0036023B">
        <w:rPr>
          <w:color w:val="000000"/>
          <w:sz w:val="24"/>
        </w:rPr>
        <w:t>年一季度，我们认为通胀仍将维持温和，货币中性稳健，经济下行压力下政策维稳将持续加码，中美贸易摩擦趋于和解。市场经历了</w:t>
      </w:r>
      <w:r w:rsidRPr="0036023B">
        <w:rPr>
          <w:color w:val="000000"/>
          <w:sz w:val="24"/>
        </w:rPr>
        <w:t>2018</w:t>
      </w:r>
      <w:r w:rsidRPr="0036023B">
        <w:rPr>
          <w:color w:val="000000"/>
          <w:sz w:val="24"/>
        </w:rPr>
        <w:t>年二季度至</w:t>
      </w:r>
      <w:r w:rsidRPr="0036023B">
        <w:rPr>
          <w:color w:val="000000"/>
          <w:sz w:val="24"/>
        </w:rPr>
        <w:t>2018</w:t>
      </w:r>
      <w:r w:rsidRPr="0036023B">
        <w:rPr>
          <w:color w:val="000000"/>
          <w:sz w:val="24"/>
        </w:rPr>
        <w:t>年四季度的调整，多数行业指数已处于相对低估值区间。总体而言，从中长期来看我们对</w:t>
      </w:r>
      <w:r w:rsidRPr="0036023B">
        <w:rPr>
          <w:color w:val="000000"/>
          <w:sz w:val="24"/>
        </w:rPr>
        <w:t>A</w:t>
      </w:r>
      <w:r w:rsidRPr="0036023B">
        <w:rPr>
          <w:color w:val="000000"/>
          <w:sz w:val="24"/>
        </w:rPr>
        <w:t>股市场仍维持谨慎中性的看法。</w:t>
      </w:r>
      <w:r w:rsidRPr="0036023B">
        <w:rPr>
          <w:color w:val="000000"/>
          <w:sz w:val="24"/>
        </w:rPr>
        <w:t xml:space="preserve"> </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 xml:space="preserve">“3.1 </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“3.2.1</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Pr="006D2F4A"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r w:rsidRPr="006D2F4A">
              <w:rPr>
                <w:rFonts w:eastAsiaTheme="minorEastAsia"/>
                <w:color w:val="000000" w:themeColor="text1"/>
                <w:sz w:val="24"/>
              </w:rPr>
              <w:t>(</w:t>
            </w:r>
            <w:r w:rsidRPr="006D2F4A">
              <w:rPr>
                <w:rFonts w:eastAsiaTheme="minorEastAsia"/>
                <w:color w:val="000000" w:themeColor="text1"/>
                <w:sz w:val="24"/>
              </w:rPr>
              <w:t>元</w:t>
            </w: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349,755,600.44</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99.37</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349,755,600.44</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99.37</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151,000.00</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0.04</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151,000.00</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0.04</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w:t>
            </w:r>
            <w:r w:rsidRPr="006D2F4A">
              <w:rPr>
                <w:rFonts w:eastAsiaTheme="minorEastAsia"/>
                <w:color w:val="000000" w:themeColor="text1"/>
                <w:sz w:val="24"/>
              </w:rPr>
              <w:lastRenderedPageBreak/>
              <w:t>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lastRenderedPageBreak/>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2,048,750.23</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0.58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2,496.72</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351,957,847.39</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23,396,408.61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6.66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76,255,449.34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21.70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19,500,414.88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5.55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27,509,617.97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7.83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3,488,257.80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11,152,160.67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3.17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8,592,431.39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2.45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167,356,541.03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47.64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11,009,557.75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3.13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1,494,761.00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349,755,600.44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99.55</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B52DC5">
        <w:trPr>
          <w:jc w:val="center"/>
        </w:trPr>
        <w:tc>
          <w:tcPr>
            <w:tcW w:w="850" w:type="dxa"/>
            <w:vAlign w:val="center"/>
          </w:tcPr>
          <w:p w:rsidR="00B52DC5" w:rsidRDefault="00DF5456">
            <w:pPr>
              <w:jc w:val="center"/>
            </w:pPr>
            <w:r>
              <w:rPr>
                <w:color w:val="000000"/>
                <w:sz w:val="24"/>
              </w:rPr>
              <w:t>1</w:t>
            </w:r>
          </w:p>
        </w:tc>
        <w:tc>
          <w:tcPr>
            <w:tcW w:w="1327" w:type="dxa"/>
            <w:vAlign w:val="center"/>
          </w:tcPr>
          <w:p w:rsidR="00B52DC5" w:rsidRDefault="00DF5456">
            <w:pPr>
              <w:jc w:val="center"/>
            </w:pPr>
            <w:r>
              <w:rPr>
                <w:color w:val="000000"/>
                <w:sz w:val="24"/>
              </w:rPr>
              <w:t>601318</w:t>
            </w:r>
          </w:p>
        </w:tc>
        <w:tc>
          <w:tcPr>
            <w:tcW w:w="1769" w:type="dxa"/>
            <w:vAlign w:val="center"/>
          </w:tcPr>
          <w:p w:rsidR="00B52DC5" w:rsidRDefault="00DF5456">
            <w:pPr>
              <w:jc w:val="center"/>
            </w:pPr>
            <w:r>
              <w:rPr>
                <w:color w:val="000000"/>
                <w:sz w:val="24"/>
              </w:rPr>
              <w:t>中国平安</w:t>
            </w:r>
          </w:p>
        </w:tc>
        <w:tc>
          <w:tcPr>
            <w:tcW w:w="1327" w:type="dxa"/>
            <w:vAlign w:val="center"/>
          </w:tcPr>
          <w:p w:rsidR="00B52DC5" w:rsidRDefault="00DF5456">
            <w:pPr>
              <w:jc w:val="right"/>
            </w:pPr>
            <w:r>
              <w:rPr>
                <w:color w:val="000000"/>
                <w:sz w:val="24"/>
              </w:rPr>
              <w:t>908,035</w:t>
            </w:r>
          </w:p>
        </w:tc>
        <w:tc>
          <w:tcPr>
            <w:tcW w:w="1915" w:type="dxa"/>
            <w:vAlign w:val="center"/>
          </w:tcPr>
          <w:p w:rsidR="00B52DC5" w:rsidRDefault="00DF5456">
            <w:pPr>
              <w:jc w:val="right"/>
            </w:pPr>
            <w:r>
              <w:rPr>
                <w:color w:val="000000"/>
                <w:sz w:val="24"/>
              </w:rPr>
              <w:t>50,940,763.50</w:t>
            </w:r>
          </w:p>
        </w:tc>
        <w:tc>
          <w:tcPr>
            <w:tcW w:w="1680" w:type="dxa"/>
            <w:vAlign w:val="center"/>
          </w:tcPr>
          <w:p w:rsidR="00B52DC5" w:rsidRDefault="00DF5456">
            <w:pPr>
              <w:jc w:val="right"/>
            </w:pPr>
            <w:r>
              <w:rPr>
                <w:color w:val="000000"/>
                <w:sz w:val="24"/>
              </w:rPr>
              <w:t>14.50</w:t>
            </w:r>
          </w:p>
        </w:tc>
      </w:tr>
      <w:tr w:rsidR="00B52DC5">
        <w:trPr>
          <w:jc w:val="center"/>
        </w:trPr>
        <w:tc>
          <w:tcPr>
            <w:tcW w:w="850" w:type="dxa"/>
            <w:vAlign w:val="center"/>
          </w:tcPr>
          <w:p w:rsidR="00B52DC5" w:rsidRDefault="00DF5456">
            <w:pPr>
              <w:jc w:val="center"/>
            </w:pPr>
            <w:r>
              <w:rPr>
                <w:color w:val="000000"/>
                <w:sz w:val="24"/>
              </w:rPr>
              <w:t>2</w:t>
            </w:r>
          </w:p>
        </w:tc>
        <w:tc>
          <w:tcPr>
            <w:tcW w:w="1327" w:type="dxa"/>
            <w:vAlign w:val="center"/>
          </w:tcPr>
          <w:p w:rsidR="00B52DC5" w:rsidRDefault="00DF5456">
            <w:pPr>
              <w:jc w:val="center"/>
            </w:pPr>
            <w:r>
              <w:rPr>
                <w:color w:val="000000"/>
                <w:sz w:val="24"/>
              </w:rPr>
              <w:t>600036</w:t>
            </w:r>
          </w:p>
        </w:tc>
        <w:tc>
          <w:tcPr>
            <w:tcW w:w="1769" w:type="dxa"/>
            <w:vAlign w:val="center"/>
          </w:tcPr>
          <w:p w:rsidR="00B52DC5" w:rsidRDefault="00DF5456">
            <w:pPr>
              <w:jc w:val="center"/>
            </w:pPr>
            <w:r>
              <w:rPr>
                <w:color w:val="000000"/>
                <w:sz w:val="24"/>
              </w:rPr>
              <w:t>招商银行</w:t>
            </w:r>
          </w:p>
        </w:tc>
        <w:tc>
          <w:tcPr>
            <w:tcW w:w="1327" w:type="dxa"/>
            <w:vAlign w:val="center"/>
          </w:tcPr>
          <w:p w:rsidR="00B52DC5" w:rsidRDefault="00DF5456">
            <w:pPr>
              <w:jc w:val="right"/>
            </w:pPr>
            <w:r>
              <w:rPr>
                <w:color w:val="000000"/>
                <w:sz w:val="24"/>
              </w:rPr>
              <w:t>864,582</w:t>
            </w:r>
          </w:p>
        </w:tc>
        <w:tc>
          <w:tcPr>
            <w:tcW w:w="1915" w:type="dxa"/>
            <w:vAlign w:val="center"/>
          </w:tcPr>
          <w:p w:rsidR="00B52DC5" w:rsidRDefault="00DF5456">
            <w:pPr>
              <w:jc w:val="right"/>
            </w:pPr>
            <w:r>
              <w:rPr>
                <w:color w:val="000000"/>
                <w:sz w:val="24"/>
              </w:rPr>
              <w:t>21,787,466.40</w:t>
            </w:r>
          </w:p>
        </w:tc>
        <w:tc>
          <w:tcPr>
            <w:tcW w:w="1680" w:type="dxa"/>
            <w:vAlign w:val="center"/>
          </w:tcPr>
          <w:p w:rsidR="00B52DC5" w:rsidRDefault="00DF5456">
            <w:pPr>
              <w:jc w:val="right"/>
            </w:pPr>
            <w:r>
              <w:rPr>
                <w:color w:val="000000"/>
                <w:sz w:val="24"/>
              </w:rPr>
              <w:t>6.20</w:t>
            </w:r>
          </w:p>
        </w:tc>
      </w:tr>
      <w:tr w:rsidR="00B52DC5">
        <w:trPr>
          <w:jc w:val="center"/>
        </w:trPr>
        <w:tc>
          <w:tcPr>
            <w:tcW w:w="850" w:type="dxa"/>
            <w:vAlign w:val="center"/>
          </w:tcPr>
          <w:p w:rsidR="00B52DC5" w:rsidRDefault="00DF5456">
            <w:pPr>
              <w:jc w:val="center"/>
            </w:pPr>
            <w:r>
              <w:rPr>
                <w:color w:val="000000"/>
                <w:sz w:val="24"/>
              </w:rPr>
              <w:t>3</w:t>
            </w:r>
          </w:p>
        </w:tc>
        <w:tc>
          <w:tcPr>
            <w:tcW w:w="1327" w:type="dxa"/>
            <w:vAlign w:val="center"/>
          </w:tcPr>
          <w:p w:rsidR="00B52DC5" w:rsidRDefault="00DF5456">
            <w:pPr>
              <w:jc w:val="center"/>
            </w:pPr>
            <w:r>
              <w:rPr>
                <w:color w:val="000000"/>
                <w:sz w:val="24"/>
              </w:rPr>
              <w:t>601166</w:t>
            </w:r>
          </w:p>
        </w:tc>
        <w:tc>
          <w:tcPr>
            <w:tcW w:w="1769" w:type="dxa"/>
            <w:vAlign w:val="center"/>
          </w:tcPr>
          <w:p w:rsidR="00B52DC5" w:rsidRDefault="00DF5456">
            <w:pPr>
              <w:jc w:val="center"/>
            </w:pPr>
            <w:r>
              <w:rPr>
                <w:color w:val="000000"/>
                <w:sz w:val="24"/>
              </w:rPr>
              <w:t>兴业银行</w:t>
            </w:r>
          </w:p>
        </w:tc>
        <w:tc>
          <w:tcPr>
            <w:tcW w:w="1327" w:type="dxa"/>
            <w:vAlign w:val="center"/>
          </w:tcPr>
          <w:p w:rsidR="00B52DC5" w:rsidRDefault="00DF5456">
            <w:pPr>
              <w:jc w:val="right"/>
            </w:pPr>
            <w:r>
              <w:rPr>
                <w:color w:val="000000"/>
                <w:sz w:val="24"/>
              </w:rPr>
              <w:t>1,044,762</w:t>
            </w:r>
          </w:p>
        </w:tc>
        <w:tc>
          <w:tcPr>
            <w:tcW w:w="1915" w:type="dxa"/>
            <w:vAlign w:val="center"/>
          </w:tcPr>
          <w:p w:rsidR="00B52DC5" w:rsidRDefault="00DF5456">
            <w:pPr>
              <w:jc w:val="right"/>
            </w:pPr>
            <w:r>
              <w:rPr>
                <w:color w:val="000000"/>
                <w:sz w:val="24"/>
              </w:rPr>
              <w:t>15,608,744.28</w:t>
            </w:r>
          </w:p>
        </w:tc>
        <w:tc>
          <w:tcPr>
            <w:tcW w:w="1680" w:type="dxa"/>
            <w:vAlign w:val="center"/>
          </w:tcPr>
          <w:p w:rsidR="00B52DC5" w:rsidRDefault="00DF5456">
            <w:pPr>
              <w:jc w:val="right"/>
            </w:pPr>
            <w:r>
              <w:rPr>
                <w:color w:val="000000"/>
                <w:sz w:val="24"/>
              </w:rPr>
              <w:t>4.44</w:t>
            </w:r>
          </w:p>
        </w:tc>
      </w:tr>
      <w:tr w:rsidR="00B52DC5">
        <w:trPr>
          <w:jc w:val="center"/>
        </w:trPr>
        <w:tc>
          <w:tcPr>
            <w:tcW w:w="850" w:type="dxa"/>
            <w:vAlign w:val="center"/>
          </w:tcPr>
          <w:p w:rsidR="00B52DC5" w:rsidRDefault="00DF5456">
            <w:pPr>
              <w:jc w:val="center"/>
            </w:pPr>
            <w:r>
              <w:rPr>
                <w:color w:val="000000"/>
                <w:sz w:val="24"/>
              </w:rPr>
              <w:t>4</w:t>
            </w:r>
          </w:p>
        </w:tc>
        <w:tc>
          <w:tcPr>
            <w:tcW w:w="1327" w:type="dxa"/>
            <w:vAlign w:val="center"/>
          </w:tcPr>
          <w:p w:rsidR="00B52DC5" w:rsidRDefault="00DF5456">
            <w:pPr>
              <w:jc w:val="center"/>
            </w:pPr>
            <w:r>
              <w:rPr>
                <w:color w:val="000000"/>
                <w:sz w:val="24"/>
              </w:rPr>
              <w:t>601668</w:t>
            </w:r>
          </w:p>
        </w:tc>
        <w:tc>
          <w:tcPr>
            <w:tcW w:w="1769" w:type="dxa"/>
            <w:vAlign w:val="center"/>
          </w:tcPr>
          <w:p w:rsidR="00B52DC5" w:rsidRDefault="00DF5456">
            <w:pPr>
              <w:jc w:val="center"/>
            </w:pPr>
            <w:r>
              <w:rPr>
                <w:color w:val="000000"/>
                <w:sz w:val="24"/>
              </w:rPr>
              <w:t>中国建筑</w:t>
            </w:r>
          </w:p>
        </w:tc>
        <w:tc>
          <w:tcPr>
            <w:tcW w:w="1327" w:type="dxa"/>
            <w:vAlign w:val="center"/>
          </w:tcPr>
          <w:p w:rsidR="00B52DC5" w:rsidRDefault="00DF5456">
            <w:pPr>
              <w:jc w:val="right"/>
            </w:pPr>
            <w:r>
              <w:rPr>
                <w:color w:val="000000"/>
                <w:sz w:val="24"/>
              </w:rPr>
              <w:t>1,759,625</w:t>
            </w:r>
          </w:p>
        </w:tc>
        <w:tc>
          <w:tcPr>
            <w:tcW w:w="1915" w:type="dxa"/>
            <w:vAlign w:val="center"/>
          </w:tcPr>
          <w:p w:rsidR="00B52DC5" w:rsidRDefault="00DF5456">
            <w:pPr>
              <w:jc w:val="right"/>
            </w:pPr>
            <w:r>
              <w:rPr>
                <w:color w:val="000000"/>
                <w:sz w:val="24"/>
              </w:rPr>
              <w:t>10,029,862.50</w:t>
            </w:r>
          </w:p>
        </w:tc>
        <w:tc>
          <w:tcPr>
            <w:tcW w:w="1680" w:type="dxa"/>
            <w:vAlign w:val="center"/>
          </w:tcPr>
          <w:p w:rsidR="00B52DC5" w:rsidRDefault="00DF5456">
            <w:pPr>
              <w:jc w:val="right"/>
            </w:pPr>
            <w:r>
              <w:rPr>
                <w:color w:val="000000"/>
                <w:sz w:val="24"/>
              </w:rPr>
              <w:t>2.85</w:t>
            </w:r>
          </w:p>
        </w:tc>
      </w:tr>
      <w:tr w:rsidR="00B52DC5">
        <w:trPr>
          <w:jc w:val="center"/>
        </w:trPr>
        <w:tc>
          <w:tcPr>
            <w:tcW w:w="850" w:type="dxa"/>
            <w:vAlign w:val="center"/>
          </w:tcPr>
          <w:p w:rsidR="00B52DC5" w:rsidRDefault="00DF5456">
            <w:pPr>
              <w:jc w:val="center"/>
            </w:pPr>
            <w:r>
              <w:rPr>
                <w:color w:val="000000"/>
                <w:sz w:val="24"/>
              </w:rPr>
              <w:t>5</w:t>
            </w:r>
          </w:p>
        </w:tc>
        <w:tc>
          <w:tcPr>
            <w:tcW w:w="1327" w:type="dxa"/>
            <w:vAlign w:val="center"/>
          </w:tcPr>
          <w:p w:rsidR="00B52DC5" w:rsidRDefault="00DF5456">
            <w:pPr>
              <w:jc w:val="center"/>
            </w:pPr>
            <w:r>
              <w:rPr>
                <w:color w:val="000000"/>
                <w:sz w:val="24"/>
              </w:rPr>
              <w:t>600000</w:t>
            </w:r>
          </w:p>
        </w:tc>
        <w:tc>
          <w:tcPr>
            <w:tcW w:w="1769" w:type="dxa"/>
            <w:vAlign w:val="center"/>
          </w:tcPr>
          <w:p w:rsidR="00B52DC5" w:rsidRDefault="00DF5456">
            <w:pPr>
              <w:jc w:val="center"/>
            </w:pPr>
            <w:r>
              <w:rPr>
                <w:color w:val="000000"/>
                <w:sz w:val="24"/>
              </w:rPr>
              <w:t>浦发银行</w:t>
            </w:r>
          </w:p>
        </w:tc>
        <w:tc>
          <w:tcPr>
            <w:tcW w:w="1327" w:type="dxa"/>
            <w:vAlign w:val="center"/>
          </w:tcPr>
          <w:p w:rsidR="00B52DC5" w:rsidRDefault="00DF5456">
            <w:pPr>
              <w:jc w:val="right"/>
            </w:pPr>
            <w:r>
              <w:rPr>
                <w:color w:val="000000"/>
                <w:sz w:val="24"/>
              </w:rPr>
              <w:t>984,145</w:t>
            </w:r>
          </w:p>
        </w:tc>
        <w:tc>
          <w:tcPr>
            <w:tcW w:w="1915" w:type="dxa"/>
            <w:vAlign w:val="center"/>
          </w:tcPr>
          <w:p w:rsidR="00B52DC5" w:rsidRDefault="00DF5456">
            <w:pPr>
              <w:jc w:val="right"/>
            </w:pPr>
            <w:r>
              <w:rPr>
                <w:color w:val="000000"/>
                <w:sz w:val="24"/>
              </w:rPr>
              <w:t>9,644,621.00</w:t>
            </w:r>
          </w:p>
        </w:tc>
        <w:tc>
          <w:tcPr>
            <w:tcW w:w="1680" w:type="dxa"/>
            <w:vAlign w:val="center"/>
          </w:tcPr>
          <w:p w:rsidR="00B52DC5" w:rsidRDefault="00DF5456">
            <w:pPr>
              <w:jc w:val="right"/>
            </w:pPr>
            <w:r>
              <w:rPr>
                <w:color w:val="000000"/>
                <w:sz w:val="24"/>
              </w:rPr>
              <w:t>2.75</w:t>
            </w:r>
          </w:p>
        </w:tc>
      </w:tr>
      <w:tr w:rsidR="00B52DC5">
        <w:trPr>
          <w:jc w:val="center"/>
        </w:trPr>
        <w:tc>
          <w:tcPr>
            <w:tcW w:w="850" w:type="dxa"/>
            <w:vAlign w:val="center"/>
          </w:tcPr>
          <w:p w:rsidR="00B52DC5" w:rsidRDefault="00DF5456">
            <w:pPr>
              <w:jc w:val="center"/>
            </w:pPr>
            <w:r>
              <w:rPr>
                <w:color w:val="000000"/>
                <w:sz w:val="24"/>
              </w:rPr>
              <w:t>6</w:t>
            </w:r>
          </w:p>
        </w:tc>
        <w:tc>
          <w:tcPr>
            <w:tcW w:w="1327" w:type="dxa"/>
            <w:vAlign w:val="center"/>
          </w:tcPr>
          <w:p w:rsidR="00B52DC5" w:rsidRDefault="00DF5456">
            <w:pPr>
              <w:jc w:val="center"/>
            </w:pPr>
            <w:r>
              <w:rPr>
                <w:color w:val="000000"/>
                <w:sz w:val="24"/>
              </w:rPr>
              <w:t>601398</w:t>
            </w:r>
          </w:p>
        </w:tc>
        <w:tc>
          <w:tcPr>
            <w:tcW w:w="1769" w:type="dxa"/>
            <w:vAlign w:val="center"/>
          </w:tcPr>
          <w:p w:rsidR="00B52DC5" w:rsidRDefault="00DF5456">
            <w:pPr>
              <w:jc w:val="center"/>
            </w:pPr>
            <w:r>
              <w:rPr>
                <w:color w:val="000000"/>
                <w:sz w:val="24"/>
              </w:rPr>
              <w:t>工商银行</w:t>
            </w:r>
          </w:p>
        </w:tc>
        <w:tc>
          <w:tcPr>
            <w:tcW w:w="1327" w:type="dxa"/>
            <w:vAlign w:val="center"/>
          </w:tcPr>
          <w:p w:rsidR="00B52DC5" w:rsidRDefault="00DF5456">
            <w:pPr>
              <w:jc w:val="right"/>
            </w:pPr>
            <w:r>
              <w:rPr>
                <w:color w:val="000000"/>
                <w:sz w:val="24"/>
              </w:rPr>
              <w:t>1,807,951</w:t>
            </w:r>
          </w:p>
        </w:tc>
        <w:tc>
          <w:tcPr>
            <w:tcW w:w="1915" w:type="dxa"/>
            <w:vAlign w:val="center"/>
          </w:tcPr>
          <w:p w:rsidR="00B52DC5" w:rsidRDefault="00DF5456">
            <w:pPr>
              <w:jc w:val="right"/>
            </w:pPr>
            <w:r>
              <w:rPr>
                <w:color w:val="000000"/>
                <w:sz w:val="24"/>
              </w:rPr>
              <w:t>9,564,060.79</w:t>
            </w:r>
          </w:p>
        </w:tc>
        <w:tc>
          <w:tcPr>
            <w:tcW w:w="1680" w:type="dxa"/>
            <w:vAlign w:val="center"/>
          </w:tcPr>
          <w:p w:rsidR="00B52DC5" w:rsidRDefault="00DF5456">
            <w:pPr>
              <w:jc w:val="right"/>
            </w:pPr>
            <w:r>
              <w:rPr>
                <w:color w:val="000000"/>
                <w:sz w:val="24"/>
              </w:rPr>
              <w:t>2.72</w:t>
            </w:r>
          </w:p>
        </w:tc>
      </w:tr>
      <w:tr w:rsidR="00B52DC5">
        <w:trPr>
          <w:jc w:val="center"/>
        </w:trPr>
        <w:tc>
          <w:tcPr>
            <w:tcW w:w="850" w:type="dxa"/>
            <w:vAlign w:val="center"/>
          </w:tcPr>
          <w:p w:rsidR="00B52DC5" w:rsidRDefault="00DF5456">
            <w:pPr>
              <w:jc w:val="center"/>
            </w:pPr>
            <w:r>
              <w:rPr>
                <w:color w:val="000000"/>
                <w:sz w:val="24"/>
              </w:rPr>
              <w:t>7</w:t>
            </w:r>
          </w:p>
        </w:tc>
        <w:tc>
          <w:tcPr>
            <w:tcW w:w="1327" w:type="dxa"/>
            <w:vAlign w:val="center"/>
          </w:tcPr>
          <w:p w:rsidR="00B52DC5" w:rsidRDefault="00DF5456">
            <w:pPr>
              <w:jc w:val="center"/>
            </w:pPr>
            <w:r>
              <w:rPr>
                <w:color w:val="000000"/>
                <w:sz w:val="24"/>
              </w:rPr>
              <w:t>600900</w:t>
            </w:r>
          </w:p>
        </w:tc>
        <w:tc>
          <w:tcPr>
            <w:tcW w:w="1769" w:type="dxa"/>
            <w:vAlign w:val="center"/>
          </w:tcPr>
          <w:p w:rsidR="00B52DC5" w:rsidRDefault="00DF5456">
            <w:pPr>
              <w:jc w:val="center"/>
            </w:pPr>
            <w:r>
              <w:rPr>
                <w:color w:val="000000"/>
                <w:sz w:val="24"/>
              </w:rPr>
              <w:t>长江电力</w:t>
            </w:r>
          </w:p>
        </w:tc>
        <w:tc>
          <w:tcPr>
            <w:tcW w:w="1327" w:type="dxa"/>
            <w:vAlign w:val="center"/>
          </w:tcPr>
          <w:p w:rsidR="00B52DC5" w:rsidRDefault="00DF5456">
            <w:pPr>
              <w:jc w:val="right"/>
            </w:pPr>
            <w:r>
              <w:rPr>
                <w:color w:val="000000"/>
                <w:sz w:val="24"/>
              </w:rPr>
              <w:t>553,240</w:t>
            </w:r>
          </w:p>
        </w:tc>
        <w:tc>
          <w:tcPr>
            <w:tcW w:w="1915" w:type="dxa"/>
            <w:vAlign w:val="center"/>
          </w:tcPr>
          <w:p w:rsidR="00B52DC5" w:rsidRDefault="00DF5456">
            <w:pPr>
              <w:jc w:val="right"/>
            </w:pPr>
            <w:r>
              <w:rPr>
                <w:color w:val="000000"/>
                <w:sz w:val="24"/>
              </w:rPr>
              <w:t>8,785,451.20</w:t>
            </w:r>
          </w:p>
        </w:tc>
        <w:tc>
          <w:tcPr>
            <w:tcW w:w="1680" w:type="dxa"/>
            <w:vAlign w:val="center"/>
          </w:tcPr>
          <w:p w:rsidR="00B52DC5" w:rsidRDefault="00DF5456">
            <w:pPr>
              <w:jc w:val="right"/>
            </w:pPr>
            <w:r>
              <w:rPr>
                <w:color w:val="000000"/>
                <w:sz w:val="24"/>
              </w:rPr>
              <w:t>2.50</w:t>
            </w:r>
          </w:p>
        </w:tc>
      </w:tr>
      <w:tr w:rsidR="00B52DC5">
        <w:trPr>
          <w:jc w:val="center"/>
        </w:trPr>
        <w:tc>
          <w:tcPr>
            <w:tcW w:w="850" w:type="dxa"/>
            <w:vAlign w:val="center"/>
          </w:tcPr>
          <w:p w:rsidR="00B52DC5" w:rsidRDefault="00DF5456">
            <w:pPr>
              <w:jc w:val="center"/>
            </w:pPr>
            <w:r>
              <w:rPr>
                <w:color w:val="000000"/>
                <w:sz w:val="24"/>
              </w:rPr>
              <w:t>8</w:t>
            </w:r>
          </w:p>
        </w:tc>
        <w:tc>
          <w:tcPr>
            <w:tcW w:w="1327" w:type="dxa"/>
            <w:vAlign w:val="center"/>
          </w:tcPr>
          <w:p w:rsidR="00B52DC5" w:rsidRDefault="00DF5456">
            <w:pPr>
              <w:jc w:val="center"/>
            </w:pPr>
            <w:r>
              <w:rPr>
                <w:color w:val="000000"/>
                <w:sz w:val="24"/>
              </w:rPr>
              <w:t>600104</w:t>
            </w:r>
          </w:p>
        </w:tc>
        <w:tc>
          <w:tcPr>
            <w:tcW w:w="1769" w:type="dxa"/>
            <w:vAlign w:val="center"/>
          </w:tcPr>
          <w:p w:rsidR="00B52DC5" w:rsidRDefault="00DF5456">
            <w:pPr>
              <w:jc w:val="center"/>
            </w:pPr>
            <w:r>
              <w:rPr>
                <w:color w:val="000000"/>
                <w:sz w:val="24"/>
              </w:rPr>
              <w:t>上汽集团</w:t>
            </w:r>
          </w:p>
        </w:tc>
        <w:tc>
          <w:tcPr>
            <w:tcW w:w="1327" w:type="dxa"/>
            <w:vAlign w:val="center"/>
          </w:tcPr>
          <w:p w:rsidR="00B52DC5" w:rsidRDefault="00DF5456">
            <w:pPr>
              <w:jc w:val="right"/>
            </w:pPr>
            <w:r>
              <w:rPr>
                <w:color w:val="000000"/>
                <w:sz w:val="24"/>
              </w:rPr>
              <w:t>293,816</w:t>
            </w:r>
          </w:p>
        </w:tc>
        <w:tc>
          <w:tcPr>
            <w:tcW w:w="1915" w:type="dxa"/>
            <w:vAlign w:val="center"/>
          </w:tcPr>
          <w:p w:rsidR="00B52DC5" w:rsidRDefault="00DF5456">
            <w:pPr>
              <w:jc w:val="right"/>
            </w:pPr>
            <w:r>
              <w:rPr>
                <w:color w:val="000000"/>
                <w:sz w:val="24"/>
              </w:rPr>
              <w:t>7,836,072.72</w:t>
            </w:r>
          </w:p>
        </w:tc>
        <w:tc>
          <w:tcPr>
            <w:tcW w:w="1680" w:type="dxa"/>
            <w:vAlign w:val="center"/>
          </w:tcPr>
          <w:p w:rsidR="00B52DC5" w:rsidRDefault="00DF5456">
            <w:pPr>
              <w:jc w:val="right"/>
            </w:pPr>
            <w:r>
              <w:rPr>
                <w:color w:val="000000"/>
                <w:sz w:val="24"/>
              </w:rPr>
              <w:t>2.23</w:t>
            </w:r>
          </w:p>
        </w:tc>
      </w:tr>
      <w:tr w:rsidR="00B52DC5">
        <w:trPr>
          <w:jc w:val="center"/>
        </w:trPr>
        <w:tc>
          <w:tcPr>
            <w:tcW w:w="850" w:type="dxa"/>
            <w:vAlign w:val="center"/>
          </w:tcPr>
          <w:p w:rsidR="00B52DC5" w:rsidRDefault="00DF5456">
            <w:pPr>
              <w:jc w:val="center"/>
            </w:pPr>
            <w:r>
              <w:rPr>
                <w:color w:val="000000"/>
                <w:sz w:val="24"/>
              </w:rPr>
              <w:t>9</w:t>
            </w:r>
          </w:p>
        </w:tc>
        <w:tc>
          <w:tcPr>
            <w:tcW w:w="1327" w:type="dxa"/>
            <w:vAlign w:val="center"/>
          </w:tcPr>
          <w:p w:rsidR="00B52DC5" w:rsidRDefault="00DF5456">
            <w:pPr>
              <w:jc w:val="center"/>
            </w:pPr>
            <w:r>
              <w:rPr>
                <w:color w:val="000000"/>
                <w:sz w:val="24"/>
              </w:rPr>
              <w:t>601601</w:t>
            </w:r>
          </w:p>
        </w:tc>
        <w:tc>
          <w:tcPr>
            <w:tcW w:w="1769" w:type="dxa"/>
            <w:vAlign w:val="center"/>
          </w:tcPr>
          <w:p w:rsidR="00B52DC5" w:rsidRDefault="00DF5456">
            <w:pPr>
              <w:jc w:val="center"/>
            </w:pPr>
            <w:r>
              <w:rPr>
                <w:color w:val="000000"/>
                <w:sz w:val="24"/>
              </w:rPr>
              <w:t>中国太保</w:t>
            </w:r>
          </w:p>
        </w:tc>
        <w:tc>
          <w:tcPr>
            <w:tcW w:w="1327" w:type="dxa"/>
            <w:vAlign w:val="center"/>
          </w:tcPr>
          <w:p w:rsidR="00B52DC5" w:rsidRDefault="00DF5456">
            <w:pPr>
              <w:jc w:val="right"/>
            </w:pPr>
            <w:r>
              <w:rPr>
                <w:color w:val="000000"/>
                <w:sz w:val="24"/>
              </w:rPr>
              <w:t>263,499</w:t>
            </w:r>
          </w:p>
        </w:tc>
        <w:tc>
          <w:tcPr>
            <w:tcW w:w="1915" w:type="dxa"/>
            <w:vAlign w:val="center"/>
          </w:tcPr>
          <w:p w:rsidR="00B52DC5" w:rsidRDefault="00DF5456">
            <w:pPr>
              <w:jc w:val="right"/>
            </w:pPr>
            <w:r>
              <w:rPr>
                <w:color w:val="000000"/>
                <w:sz w:val="24"/>
              </w:rPr>
              <w:t>7,491,276.57</w:t>
            </w:r>
          </w:p>
        </w:tc>
        <w:tc>
          <w:tcPr>
            <w:tcW w:w="1680" w:type="dxa"/>
            <w:vAlign w:val="center"/>
          </w:tcPr>
          <w:p w:rsidR="00B52DC5" w:rsidRDefault="00DF5456">
            <w:pPr>
              <w:jc w:val="right"/>
            </w:pPr>
            <w:r>
              <w:rPr>
                <w:color w:val="000000"/>
                <w:sz w:val="24"/>
              </w:rPr>
              <w:t>2.13</w:t>
            </w:r>
          </w:p>
        </w:tc>
      </w:tr>
      <w:tr w:rsidR="00B52DC5">
        <w:trPr>
          <w:jc w:val="center"/>
        </w:trPr>
        <w:tc>
          <w:tcPr>
            <w:tcW w:w="850" w:type="dxa"/>
            <w:vAlign w:val="center"/>
          </w:tcPr>
          <w:p w:rsidR="00B52DC5" w:rsidRDefault="00DF5456">
            <w:pPr>
              <w:jc w:val="center"/>
            </w:pPr>
            <w:r>
              <w:rPr>
                <w:color w:val="000000"/>
                <w:sz w:val="24"/>
              </w:rPr>
              <w:t>10</w:t>
            </w:r>
          </w:p>
        </w:tc>
        <w:tc>
          <w:tcPr>
            <w:tcW w:w="1327" w:type="dxa"/>
            <w:vAlign w:val="center"/>
          </w:tcPr>
          <w:p w:rsidR="00B52DC5" w:rsidRDefault="00DF5456">
            <w:pPr>
              <w:jc w:val="center"/>
            </w:pPr>
            <w:r>
              <w:rPr>
                <w:color w:val="000000"/>
                <w:sz w:val="24"/>
              </w:rPr>
              <w:t>601766</w:t>
            </w:r>
          </w:p>
        </w:tc>
        <w:tc>
          <w:tcPr>
            <w:tcW w:w="1769" w:type="dxa"/>
            <w:vAlign w:val="center"/>
          </w:tcPr>
          <w:p w:rsidR="00B52DC5" w:rsidRDefault="00DF5456">
            <w:pPr>
              <w:jc w:val="center"/>
            </w:pPr>
            <w:r>
              <w:rPr>
                <w:color w:val="000000"/>
                <w:sz w:val="24"/>
              </w:rPr>
              <w:t>中国中车</w:t>
            </w:r>
          </w:p>
        </w:tc>
        <w:tc>
          <w:tcPr>
            <w:tcW w:w="1327" w:type="dxa"/>
            <w:vAlign w:val="center"/>
          </w:tcPr>
          <w:p w:rsidR="00B52DC5" w:rsidRDefault="00DF5456">
            <w:pPr>
              <w:jc w:val="right"/>
            </w:pPr>
            <w:r>
              <w:rPr>
                <w:color w:val="000000"/>
                <w:sz w:val="24"/>
              </w:rPr>
              <w:t>815,490</w:t>
            </w:r>
          </w:p>
        </w:tc>
        <w:tc>
          <w:tcPr>
            <w:tcW w:w="1915" w:type="dxa"/>
            <w:vAlign w:val="center"/>
          </w:tcPr>
          <w:p w:rsidR="00B52DC5" w:rsidRDefault="00DF5456">
            <w:pPr>
              <w:jc w:val="right"/>
            </w:pPr>
            <w:r>
              <w:rPr>
                <w:color w:val="000000"/>
                <w:sz w:val="24"/>
              </w:rPr>
              <w:t>7,355,719.80</w:t>
            </w:r>
          </w:p>
        </w:tc>
        <w:tc>
          <w:tcPr>
            <w:tcW w:w="1680" w:type="dxa"/>
            <w:vAlign w:val="center"/>
          </w:tcPr>
          <w:p w:rsidR="00B52DC5" w:rsidRDefault="00DF5456">
            <w:pPr>
              <w:jc w:val="right"/>
            </w:pPr>
            <w:r>
              <w:rPr>
                <w:color w:val="000000"/>
                <w:sz w:val="24"/>
              </w:rPr>
              <w:t>2.09</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lastRenderedPageBreak/>
              <w:t>4</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企业短期融资</w:t>
            </w:r>
            <w:r w:rsidR="007D021A" w:rsidRPr="0036023B">
              <w:rPr>
                <w:color w:val="000000"/>
                <w:sz w:val="24"/>
              </w:rPr>
              <w:t>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可转债</w:t>
            </w:r>
            <w:r w:rsidR="00F36DF3">
              <w:rPr>
                <w:rFonts w:hint="eastAsia"/>
                <w:sz w:val="24"/>
              </w:rPr>
              <w:t>（可交换债）</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151,000.00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0.04</w:t>
            </w:r>
          </w:p>
        </w:tc>
      </w:tr>
      <w:tr w:rsidR="002942A1" w:rsidRPr="0036023B" w:rsidTr="00622A9C">
        <w:trPr>
          <w:jc w:val="center"/>
        </w:trPr>
        <w:tc>
          <w:tcPr>
            <w:tcW w:w="1292" w:type="dxa"/>
            <w:shd w:val="clear" w:color="auto" w:fill="auto"/>
            <w:vAlign w:val="center"/>
          </w:tcPr>
          <w:p w:rsidR="002942A1" w:rsidRPr="00CD0479" w:rsidRDefault="002942A1" w:rsidP="00622A9C">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rsidR="002942A1" w:rsidRPr="00CD0479" w:rsidRDefault="002942A1" w:rsidP="00622A9C">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9</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151,000.00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0.04</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0820A8" w:rsidRPr="0036023B" w:rsidTr="00D823F2">
        <w:trPr>
          <w:jc w:val="center"/>
        </w:trPr>
        <w:tc>
          <w:tcPr>
            <w:tcW w:w="125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B52DC5">
        <w:trPr>
          <w:jc w:val="center"/>
        </w:trPr>
        <w:tc>
          <w:tcPr>
            <w:tcW w:w="1302" w:type="dxa"/>
            <w:vAlign w:val="center"/>
          </w:tcPr>
          <w:p w:rsidR="00B52DC5" w:rsidRDefault="00DF5456">
            <w:pPr>
              <w:jc w:val="center"/>
            </w:pPr>
            <w:r>
              <w:rPr>
                <w:color w:val="000000"/>
                <w:sz w:val="24"/>
              </w:rPr>
              <w:t>1</w:t>
            </w:r>
          </w:p>
        </w:tc>
        <w:tc>
          <w:tcPr>
            <w:tcW w:w="1362" w:type="dxa"/>
            <w:vAlign w:val="center"/>
          </w:tcPr>
          <w:p w:rsidR="00B52DC5" w:rsidRDefault="00DF5456">
            <w:pPr>
              <w:jc w:val="center"/>
            </w:pPr>
            <w:r>
              <w:rPr>
                <w:color w:val="000000"/>
                <w:sz w:val="24"/>
              </w:rPr>
              <w:t>110049</w:t>
            </w:r>
          </w:p>
        </w:tc>
        <w:tc>
          <w:tcPr>
            <w:tcW w:w="1333" w:type="dxa"/>
            <w:vAlign w:val="center"/>
          </w:tcPr>
          <w:p w:rsidR="00B52DC5" w:rsidRDefault="00DF5456">
            <w:pPr>
              <w:jc w:val="center"/>
            </w:pPr>
            <w:r>
              <w:rPr>
                <w:color w:val="000000"/>
                <w:sz w:val="24"/>
              </w:rPr>
              <w:t>海尔转债</w:t>
            </w:r>
          </w:p>
        </w:tc>
        <w:tc>
          <w:tcPr>
            <w:tcW w:w="1483" w:type="dxa"/>
            <w:vAlign w:val="center"/>
          </w:tcPr>
          <w:p w:rsidR="00B52DC5" w:rsidRDefault="00DF5456">
            <w:pPr>
              <w:jc w:val="right"/>
            </w:pPr>
            <w:r>
              <w:rPr>
                <w:color w:val="000000"/>
                <w:sz w:val="24"/>
              </w:rPr>
              <w:t>1,510</w:t>
            </w:r>
          </w:p>
        </w:tc>
        <w:tc>
          <w:tcPr>
            <w:tcW w:w="1712" w:type="dxa"/>
            <w:vAlign w:val="center"/>
          </w:tcPr>
          <w:p w:rsidR="00B52DC5" w:rsidRDefault="00DF5456">
            <w:pPr>
              <w:jc w:val="right"/>
            </w:pPr>
            <w:r>
              <w:rPr>
                <w:color w:val="000000"/>
                <w:sz w:val="24"/>
              </w:rPr>
              <w:t>151,000.00</w:t>
            </w:r>
          </w:p>
        </w:tc>
        <w:tc>
          <w:tcPr>
            <w:tcW w:w="1676" w:type="dxa"/>
            <w:vAlign w:val="center"/>
          </w:tcPr>
          <w:p w:rsidR="00B52DC5" w:rsidRDefault="00DF5456">
            <w:pPr>
              <w:jc w:val="right"/>
            </w:pPr>
            <w:r>
              <w:rPr>
                <w:color w:val="000000"/>
                <w:sz w:val="24"/>
              </w:rPr>
              <w:t>0.04</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报告期内本基金投资的前十名证券的发行主体除浦发银行（证券代码：</w:t>
      </w:r>
      <w:r w:rsidRPr="008119CB">
        <w:rPr>
          <w:color w:val="000000"/>
          <w:kern w:val="0"/>
          <w:sz w:val="24"/>
        </w:rPr>
        <w:t>600000</w:t>
      </w:r>
      <w:r w:rsidRPr="008119CB">
        <w:rPr>
          <w:color w:val="000000"/>
          <w:kern w:val="0"/>
          <w:sz w:val="24"/>
        </w:rPr>
        <w:t>）外，未出现被监管部门立案调查，或在报告编制日前一年内受到公开谴责、处罚的情形。</w:t>
      </w:r>
    </w:p>
    <w:p w:rsidR="00B52DC5" w:rsidRDefault="00DF5456">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报告期内本基金投资的前十名证券之一浦发银行（证券代码：</w:t>
      </w:r>
      <w:r>
        <w:rPr>
          <w:color w:val="000000"/>
          <w:kern w:val="0"/>
          <w:sz w:val="24"/>
        </w:rPr>
        <w:t>600000</w:t>
      </w:r>
      <w:r>
        <w:rPr>
          <w:color w:val="000000"/>
          <w:kern w:val="0"/>
          <w:sz w:val="24"/>
        </w:rPr>
        <w:t>）于</w:t>
      </w:r>
      <w:r>
        <w:rPr>
          <w:color w:val="000000"/>
          <w:kern w:val="0"/>
          <w:sz w:val="24"/>
        </w:rPr>
        <w:t>2018</w:t>
      </w:r>
      <w:r>
        <w:rPr>
          <w:color w:val="000000"/>
          <w:kern w:val="0"/>
          <w:sz w:val="24"/>
        </w:rPr>
        <w:t>年</w:t>
      </w:r>
      <w:r>
        <w:rPr>
          <w:color w:val="000000"/>
          <w:kern w:val="0"/>
          <w:sz w:val="24"/>
        </w:rPr>
        <w:t>1</w:t>
      </w:r>
      <w:r>
        <w:rPr>
          <w:color w:val="000000"/>
          <w:kern w:val="0"/>
          <w:sz w:val="24"/>
        </w:rPr>
        <w:t>月</w:t>
      </w:r>
      <w:r>
        <w:rPr>
          <w:color w:val="000000"/>
          <w:kern w:val="0"/>
          <w:sz w:val="24"/>
        </w:rPr>
        <w:t>20</w:t>
      </w:r>
      <w:r>
        <w:rPr>
          <w:color w:val="000000"/>
          <w:kern w:val="0"/>
          <w:sz w:val="24"/>
        </w:rPr>
        <w:t>日收到中国银行业监督管理委员会四川监管局（以下简称</w:t>
      </w:r>
      <w:r>
        <w:rPr>
          <w:color w:val="000000"/>
          <w:kern w:val="0"/>
          <w:sz w:val="24"/>
        </w:rPr>
        <w:t>“</w:t>
      </w:r>
      <w:r>
        <w:rPr>
          <w:color w:val="000000"/>
          <w:kern w:val="0"/>
          <w:sz w:val="24"/>
        </w:rPr>
        <w:t>银监会四川监管局</w:t>
      </w:r>
      <w:r>
        <w:rPr>
          <w:color w:val="000000"/>
          <w:kern w:val="0"/>
          <w:sz w:val="24"/>
        </w:rPr>
        <w:t>”</w:t>
      </w:r>
      <w:r>
        <w:rPr>
          <w:color w:val="000000"/>
          <w:kern w:val="0"/>
          <w:sz w:val="24"/>
        </w:rPr>
        <w:t>）行政处罚决定书（川银监罚字【</w:t>
      </w:r>
      <w:r>
        <w:rPr>
          <w:color w:val="000000"/>
          <w:kern w:val="0"/>
          <w:sz w:val="24"/>
        </w:rPr>
        <w:t>2018</w:t>
      </w:r>
      <w:r>
        <w:rPr>
          <w:color w:val="000000"/>
          <w:kern w:val="0"/>
          <w:sz w:val="24"/>
        </w:rPr>
        <w:t>】</w:t>
      </w:r>
      <w:r>
        <w:rPr>
          <w:color w:val="000000"/>
          <w:kern w:val="0"/>
          <w:sz w:val="24"/>
        </w:rPr>
        <w:t>2</w:t>
      </w:r>
      <w:r>
        <w:rPr>
          <w:color w:val="000000"/>
          <w:kern w:val="0"/>
          <w:sz w:val="24"/>
        </w:rPr>
        <w:t>号）</w:t>
      </w:r>
      <w:r>
        <w:rPr>
          <w:color w:val="000000"/>
          <w:kern w:val="0"/>
          <w:sz w:val="24"/>
        </w:rPr>
        <w:t>,</w:t>
      </w:r>
      <w:r>
        <w:rPr>
          <w:color w:val="000000"/>
          <w:kern w:val="0"/>
          <w:sz w:val="24"/>
        </w:rPr>
        <w:t>对成都分行内控管理严重失效</w:t>
      </w:r>
      <w:r>
        <w:rPr>
          <w:color w:val="000000"/>
          <w:kern w:val="0"/>
          <w:sz w:val="24"/>
        </w:rPr>
        <w:t>,</w:t>
      </w:r>
      <w:r>
        <w:rPr>
          <w:color w:val="000000"/>
          <w:kern w:val="0"/>
          <w:sz w:val="24"/>
        </w:rPr>
        <w:t>授信管理违规，违</w:t>
      </w:r>
      <w:r>
        <w:rPr>
          <w:color w:val="000000"/>
          <w:kern w:val="0"/>
          <w:sz w:val="24"/>
        </w:rPr>
        <w:lastRenderedPageBreak/>
        <w:t>规办理信贷业务等严重违反审慎经营规则的违规行为依法查处，执行罚款</w:t>
      </w:r>
      <w:r>
        <w:rPr>
          <w:color w:val="000000"/>
          <w:kern w:val="0"/>
          <w:sz w:val="24"/>
        </w:rPr>
        <w:t>46,175</w:t>
      </w:r>
      <w:r>
        <w:rPr>
          <w:color w:val="000000"/>
          <w:kern w:val="0"/>
          <w:sz w:val="24"/>
        </w:rPr>
        <w:t>万元人民币。</w:t>
      </w:r>
    </w:p>
    <w:p w:rsidR="00B52DC5" w:rsidRDefault="00DF5456">
      <w:pPr>
        <w:autoSpaceDE w:val="0"/>
        <w:autoSpaceDN w:val="0"/>
        <w:adjustRightInd w:val="0"/>
        <w:spacing w:before="29" w:line="288" w:lineRule="auto"/>
        <w:jc w:val="left"/>
        <w:rPr>
          <w:color w:val="000000"/>
          <w:kern w:val="0"/>
          <w:sz w:val="24"/>
        </w:rPr>
      </w:pPr>
      <w:r>
        <w:rPr>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r w:rsidR="003C51E4">
        <w:rPr>
          <w:rFonts w:hint="eastAsia"/>
          <w:color w:val="000000"/>
          <w:kern w:val="0"/>
          <w:sz w:val="24"/>
        </w:rPr>
        <w:t>。</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2,035.71</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461.01</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2,496.72</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4431FF" w:rsidP="0099526C">
      <w:pPr>
        <w:autoSpaceDE w:val="0"/>
        <w:autoSpaceDN w:val="0"/>
        <w:adjustRightInd w:val="0"/>
        <w:spacing w:before="29" w:line="288" w:lineRule="auto"/>
        <w:jc w:val="left"/>
        <w:rPr>
          <w:color w:val="000000"/>
          <w:sz w:val="24"/>
        </w:rPr>
      </w:pPr>
      <w:r w:rsidRPr="004431FF">
        <w:rPr>
          <w:rFonts w:hint="eastAsia"/>
          <w:color w:val="000000"/>
          <w:sz w:val="24"/>
        </w:rPr>
        <w:t>本基金本报告期末积极投资前五名股票中不存在流通受限情况。</w:t>
      </w:r>
    </w:p>
    <w:p w:rsidR="004D1A45" w:rsidRPr="0036023B" w:rsidRDefault="004D1A45" w:rsidP="0099526C">
      <w:pPr>
        <w:spacing w:before="29" w:line="288" w:lineRule="auto"/>
        <w:rPr>
          <w:bCs/>
          <w:color w:val="000000"/>
          <w:sz w:val="24"/>
        </w:rPr>
      </w:pPr>
      <w:bookmarkStart w:id="0" w:name="_GoBack"/>
      <w:bookmarkEnd w:id="0"/>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742ADC" w:rsidRPr="00C51B4E" w:rsidRDefault="00742ADC" w:rsidP="00722EDF">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742ADC" w:rsidRPr="00C51B4E" w:rsidRDefault="00742ADC" w:rsidP="00742ADC">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742ADC" w:rsidRPr="00C51B4E" w:rsidRDefault="00742ADC" w:rsidP="00742ADC">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lastRenderedPageBreak/>
        <w:t>本基金本报告期末未持有基金。</w:t>
      </w:r>
    </w:p>
    <w:p w:rsidR="00742ADC" w:rsidRPr="00C51B4E" w:rsidRDefault="00742ADC" w:rsidP="00722EDF">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742ADC" w:rsidRPr="00C51B4E" w:rsidRDefault="00742ADC" w:rsidP="00742ADC">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742ADC" w:rsidRPr="00C51B4E" w:rsidRDefault="00742ADC" w:rsidP="00722EDF">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742ADC" w:rsidRPr="00C51B4E" w:rsidTr="003E4B22">
        <w:tc>
          <w:tcPr>
            <w:tcW w:w="9036" w:type="dxa"/>
          </w:tcPr>
          <w:p w:rsidR="00742ADC" w:rsidRPr="00C51B4E" w:rsidRDefault="00742ADC" w:rsidP="0055680B">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§7</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366,524,362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366,524,362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8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8.1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8.2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52DC5">
        <w:tc>
          <w:tcPr>
            <w:tcW w:w="992" w:type="dxa"/>
            <w:vMerge w:val="restart"/>
          </w:tcPr>
          <w:p w:rsidR="00B52DC5" w:rsidRDefault="00B52DC5"/>
          <w:p w:rsidR="00B52DC5" w:rsidRDefault="00DF5456">
            <w:r>
              <w:rPr>
                <w:rFonts w:ascii="宋体" w:hAnsi="宋体" w:hint="eastAsia"/>
                <w:kern w:val="0"/>
                <w:szCs w:val="21"/>
              </w:rPr>
              <w:t>交银施</w:t>
            </w:r>
            <w:r>
              <w:rPr>
                <w:rFonts w:ascii="宋体" w:hAnsi="宋体" w:hint="eastAsia"/>
                <w:kern w:val="0"/>
                <w:szCs w:val="21"/>
              </w:rPr>
              <w:lastRenderedPageBreak/>
              <w:t>罗德上证180公司治理交易型开放式指数证券投资基金联接基金</w:t>
            </w:r>
          </w:p>
        </w:tc>
        <w:tc>
          <w:tcPr>
            <w:tcW w:w="991" w:type="dxa"/>
            <w:vAlign w:val="center"/>
          </w:tcPr>
          <w:p w:rsidR="00B52DC5" w:rsidRDefault="00DF5456">
            <w:pPr>
              <w:jc w:val="center"/>
            </w:pPr>
            <w:r>
              <w:rPr>
                <w:rFonts w:ascii="宋体" w:hAnsi="宋体" w:hint="eastAsia"/>
                <w:bCs/>
                <w:color w:val="000000"/>
                <w:kern w:val="0"/>
                <w:szCs w:val="21"/>
              </w:rPr>
              <w:lastRenderedPageBreak/>
              <w:t>1</w:t>
            </w:r>
          </w:p>
        </w:tc>
        <w:tc>
          <w:tcPr>
            <w:tcW w:w="1843" w:type="dxa"/>
            <w:vAlign w:val="center"/>
          </w:tcPr>
          <w:p w:rsidR="00B52DC5" w:rsidRDefault="00DF5456">
            <w:pPr>
              <w:jc w:val="center"/>
            </w:pPr>
            <w:r>
              <w:rPr>
                <w:rFonts w:ascii="宋体" w:hAnsi="宋体" w:hint="eastAsia"/>
                <w:bCs/>
                <w:color w:val="000000"/>
                <w:kern w:val="0"/>
                <w:szCs w:val="21"/>
              </w:rPr>
              <w:t>2018/10/1-2018/12/31</w:t>
            </w:r>
          </w:p>
        </w:tc>
        <w:tc>
          <w:tcPr>
            <w:tcW w:w="851" w:type="dxa"/>
            <w:vAlign w:val="center"/>
          </w:tcPr>
          <w:p w:rsidR="00B52DC5" w:rsidRDefault="00DF5456">
            <w:pPr>
              <w:jc w:val="center"/>
            </w:pPr>
            <w:r>
              <w:rPr>
                <w:rFonts w:ascii="宋体" w:hAnsi="宋体" w:hint="eastAsia"/>
                <w:bCs/>
                <w:color w:val="000000"/>
                <w:kern w:val="0"/>
                <w:szCs w:val="21"/>
              </w:rPr>
              <w:t>342,424,699.</w:t>
            </w:r>
            <w:r>
              <w:rPr>
                <w:rFonts w:ascii="宋体" w:hAnsi="宋体" w:hint="eastAsia"/>
                <w:bCs/>
                <w:color w:val="000000"/>
                <w:kern w:val="0"/>
                <w:szCs w:val="21"/>
              </w:rPr>
              <w:lastRenderedPageBreak/>
              <w:t>00</w:t>
            </w:r>
          </w:p>
        </w:tc>
        <w:tc>
          <w:tcPr>
            <w:tcW w:w="850" w:type="dxa"/>
            <w:vAlign w:val="center"/>
          </w:tcPr>
          <w:p w:rsidR="00B52DC5" w:rsidRDefault="00DF5456">
            <w:pPr>
              <w:jc w:val="center"/>
            </w:pPr>
            <w:r>
              <w:rPr>
                <w:rFonts w:ascii="宋体" w:hAnsi="宋体" w:hint="eastAsia"/>
                <w:bCs/>
                <w:color w:val="000000"/>
                <w:kern w:val="0"/>
                <w:szCs w:val="21"/>
              </w:rPr>
              <w:lastRenderedPageBreak/>
              <w:t>-</w:t>
            </w:r>
          </w:p>
        </w:tc>
        <w:tc>
          <w:tcPr>
            <w:tcW w:w="1134" w:type="dxa"/>
            <w:vAlign w:val="center"/>
          </w:tcPr>
          <w:p w:rsidR="00B52DC5" w:rsidRDefault="00DF5456">
            <w:pPr>
              <w:jc w:val="center"/>
            </w:pPr>
            <w:r>
              <w:rPr>
                <w:rFonts w:ascii="宋体" w:hAnsi="宋体" w:hint="eastAsia"/>
                <w:bCs/>
                <w:color w:val="000000"/>
                <w:kern w:val="0"/>
                <w:szCs w:val="21"/>
              </w:rPr>
              <w:t>-</w:t>
            </w:r>
          </w:p>
        </w:tc>
        <w:tc>
          <w:tcPr>
            <w:tcW w:w="1419" w:type="dxa"/>
            <w:vAlign w:val="center"/>
          </w:tcPr>
          <w:p w:rsidR="00B52DC5" w:rsidRDefault="00DF5456">
            <w:pPr>
              <w:jc w:val="center"/>
            </w:pPr>
            <w:r>
              <w:rPr>
                <w:rFonts w:ascii="宋体" w:hAnsi="宋体" w:hint="eastAsia"/>
                <w:bCs/>
                <w:color w:val="000000"/>
                <w:kern w:val="0"/>
                <w:szCs w:val="21"/>
              </w:rPr>
              <w:t>342,424,699.00</w:t>
            </w:r>
          </w:p>
        </w:tc>
        <w:tc>
          <w:tcPr>
            <w:tcW w:w="1130" w:type="dxa"/>
            <w:vAlign w:val="center"/>
          </w:tcPr>
          <w:p w:rsidR="00B52DC5" w:rsidRDefault="00DF5456">
            <w:pPr>
              <w:jc w:val="center"/>
            </w:pPr>
            <w:r>
              <w:rPr>
                <w:rFonts w:ascii="宋体" w:hAnsi="宋体" w:hint="eastAsia"/>
                <w:bCs/>
                <w:color w:val="000000"/>
                <w:kern w:val="0"/>
                <w:szCs w:val="21"/>
              </w:rPr>
              <w:t>93.42%</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10</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B52DC5" w:rsidRDefault="00DF5456">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B52DC5" w:rsidRDefault="00DF5456">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B52DC5" w:rsidRDefault="00DF5456">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B52DC5" w:rsidRDefault="00DF5456">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B52DC5" w:rsidRDefault="00DF5456">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B52DC5" w:rsidRDefault="00DF5456">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B52DC5" w:rsidRDefault="00DF5456">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B52DC5" w:rsidRDefault="00DF545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lastRenderedPageBreak/>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865" w:rsidRDefault="00ED1865">
      <w:r>
        <w:separator/>
      </w:r>
    </w:p>
  </w:endnote>
  <w:endnote w:type="continuationSeparator" w:id="0">
    <w:p w:rsidR="00ED1865" w:rsidRDefault="00ED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4431FF">
      <w:rPr>
        <w:noProof/>
        <w:kern w:val="0"/>
        <w:szCs w:val="21"/>
      </w:rPr>
      <w:t>11</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4431FF">
      <w:rPr>
        <w:noProof/>
        <w:kern w:val="0"/>
        <w:szCs w:val="21"/>
      </w:rPr>
      <w:t>14</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865" w:rsidRDefault="00ED1865">
      <w:r>
        <w:separator/>
      </w:r>
    </w:p>
  </w:footnote>
  <w:footnote w:type="continuationSeparator" w:id="0">
    <w:p w:rsidR="00ED1865" w:rsidRDefault="00ED1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上证</w:t>
    </w:r>
    <w:r w:rsidRPr="003E676C">
      <w:rPr>
        <w:sz w:val="24"/>
        <w:szCs w:val="24"/>
      </w:rPr>
      <w:t>180</w:t>
    </w:r>
    <w:r w:rsidRPr="003E676C">
      <w:rPr>
        <w:sz w:val="24"/>
        <w:szCs w:val="24"/>
      </w:rPr>
      <w:t>公司治理交易型开放式指数证券投资基金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1E4"/>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1FF"/>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2DC5"/>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5456"/>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1865"/>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38583D7-9320-4BB3-987B-0C5DC61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14</Pages>
  <Words>1154</Words>
  <Characters>6584</Characters>
  <Application>Microsoft Office Word</Application>
  <DocSecurity>0</DocSecurity>
  <Lines>54</Lines>
  <Paragraphs>15</Paragraphs>
  <ScaleCrop>false</ScaleCrop>
  <Company>TRT. Ltd. Co.</Company>
  <LinksUpToDate>false</LinksUpToDate>
  <CharactersWithSpaces>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397</cp:revision>
  <cp:lastPrinted>2007-07-19T00:46:00Z</cp:lastPrinted>
  <dcterms:created xsi:type="dcterms:W3CDTF">2012-11-21T04:46:00Z</dcterms:created>
  <dcterms:modified xsi:type="dcterms:W3CDTF">2019-01-17T01:58:00Z</dcterms:modified>
</cp:coreProperties>
</file>