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75FAC" w:rsidRDefault="000E018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75FAC" w:rsidRDefault="000E0187">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75FAC" w:rsidRDefault="000E018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75FAC" w:rsidRDefault="000E018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75FAC" w:rsidRDefault="000E018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2,770,662,767.95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E0187" w:rsidRPr="00414345" w:rsidTr="000E018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E0187" w:rsidRPr="00414345" w:rsidTr="000E018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-143,783,264.39</w:t>
            </w:r>
          </w:p>
        </w:tc>
      </w:tr>
      <w:tr w:rsidR="000E0187" w:rsidRPr="00414345" w:rsidTr="000E018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-462,345,387.18</w:t>
            </w:r>
          </w:p>
        </w:tc>
      </w:tr>
      <w:tr w:rsidR="000E0187" w:rsidRPr="00414345" w:rsidTr="000E018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0E0187">
            <w:pPr>
              <w:adjustRightInd w:val="0"/>
              <w:spacing w:before="29" w:line="288" w:lineRule="auto"/>
              <w:ind w:left="17"/>
              <w:jc w:val="right"/>
              <w:rPr>
                <w:color w:val="000000"/>
                <w:sz w:val="24"/>
                <w:szCs w:val="24"/>
              </w:rPr>
            </w:pPr>
            <w:r w:rsidRPr="00414345">
              <w:rPr>
                <w:color w:val="000000"/>
                <w:sz w:val="24"/>
                <w:szCs w:val="24"/>
              </w:rPr>
              <w:t>-0.166</w:t>
            </w:r>
            <w:r w:rsidR="000E0187">
              <w:rPr>
                <w:color w:val="000000"/>
                <w:sz w:val="24"/>
                <w:szCs w:val="24"/>
              </w:rPr>
              <w:t>4</w:t>
            </w:r>
            <w:bookmarkStart w:id="0" w:name="_GoBack"/>
            <w:bookmarkEnd w:id="0"/>
          </w:p>
        </w:tc>
      </w:tr>
      <w:tr w:rsidR="000E0187" w:rsidRPr="00414345" w:rsidTr="000E018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3,094,755,437.94</w:t>
            </w:r>
          </w:p>
        </w:tc>
      </w:tr>
      <w:tr w:rsidR="000E0187" w:rsidRPr="00414345" w:rsidTr="000E018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1.1170</w:t>
            </w:r>
          </w:p>
        </w:tc>
      </w:tr>
    </w:tbl>
    <w:p w:rsidR="00675FAC" w:rsidRDefault="000E018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75FAC">
        <w:trPr>
          <w:jc w:val="center"/>
        </w:trPr>
        <w:tc>
          <w:tcPr>
            <w:tcW w:w="1701" w:type="dxa"/>
            <w:vAlign w:val="center"/>
          </w:tcPr>
          <w:p w:rsidR="00675FAC" w:rsidRDefault="000E0187">
            <w:pPr>
              <w:jc w:val="left"/>
            </w:pPr>
            <w:r>
              <w:rPr>
                <w:color w:val="000000"/>
                <w:sz w:val="24"/>
                <w:szCs w:val="24"/>
              </w:rPr>
              <w:t>过去三个月</w:t>
            </w:r>
          </w:p>
        </w:tc>
        <w:tc>
          <w:tcPr>
            <w:tcW w:w="1045" w:type="dxa"/>
            <w:vAlign w:val="center"/>
          </w:tcPr>
          <w:p w:rsidR="00675FAC" w:rsidRDefault="000E0187">
            <w:pPr>
              <w:jc w:val="center"/>
            </w:pPr>
            <w:r>
              <w:rPr>
                <w:color w:val="000000"/>
                <w:sz w:val="24"/>
                <w:szCs w:val="24"/>
              </w:rPr>
              <w:t>-12.95%</w:t>
            </w:r>
          </w:p>
        </w:tc>
        <w:tc>
          <w:tcPr>
            <w:tcW w:w="1344" w:type="dxa"/>
            <w:vAlign w:val="center"/>
          </w:tcPr>
          <w:p w:rsidR="00675FAC" w:rsidRDefault="000E0187">
            <w:pPr>
              <w:jc w:val="center"/>
            </w:pPr>
            <w:r>
              <w:rPr>
                <w:color w:val="000000"/>
                <w:sz w:val="24"/>
                <w:szCs w:val="24"/>
              </w:rPr>
              <w:t>1.42%</w:t>
            </w:r>
          </w:p>
        </w:tc>
        <w:tc>
          <w:tcPr>
            <w:tcW w:w="1194" w:type="dxa"/>
            <w:vAlign w:val="center"/>
          </w:tcPr>
          <w:p w:rsidR="00675FAC" w:rsidRDefault="000E0187">
            <w:pPr>
              <w:jc w:val="center"/>
            </w:pPr>
            <w:r>
              <w:rPr>
                <w:color w:val="000000"/>
                <w:sz w:val="24"/>
                <w:szCs w:val="24"/>
              </w:rPr>
              <w:t>-6.87%</w:t>
            </w:r>
          </w:p>
        </w:tc>
        <w:tc>
          <w:tcPr>
            <w:tcW w:w="1492" w:type="dxa"/>
            <w:vAlign w:val="center"/>
          </w:tcPr>
          <w:p w:rsidR="00675FAC" w:rsidRDefault="000E0187">
            <w:pPr>
              <w:jc w:val="center"/>
            </w:pPr>
            <w:r>
              <w:rPr>
                <w:color w:val="000000"/>
                <w:sz w:val="24"/>
                <w:szCs w:val="24"/>
              </w:rPr>
              <w:t>1.09%</w:t>
            </w:r>
          </w:p>
        </w:tc>
        <w:tc>
          <w:tcPr>
            <w:tcW w:w="1194" w:type="dxa"/>
            <w:vAlign w:val="center"/>
          </w:tcPr>
          <w:p w:rsidR="00675FAC" w:rsidRDefault="000E0187">
            <w:pPr>
              <w:jc w:val="center"/>
            </w:pPr>
            <w:r>
              <w:rPr>
                <w:color w:val="000000"/>
                <w:sz w:val="24"/>
                <w:szCs w:val="24"/>
              </w:rPr>
              <w:t>-6.08%</w:t>
            </w:r>
          </w:p>
        </w:tc>
        <w:tc>
          <w:tcPr>
            <w:tcW w:w="898" w:type="dxa"/>
            <w:vAlign w:val="center"/>
          </w:tcPr>
          <w:p w:rsidR="00675FAC" w:rsidRDefault="000E0187">
            <w:pPr>
              <w:jc w:val="center"/>
            </w:pPr>
            <w:r>
              <w:rPr>
                <w:color w:val="000000"/>
                <w:sz w:val="24"/>
                <w:szCs w:val="24"/>
              </w:rPr>
              <w:t>0.33%</w:t>
            </w:r>
          </w:p>
        </w:tc>
      </w:tr>
    </w:tbl>
    <w:p w:rsidR="00675FAC" w:rsidRDefault="000E018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、本基金业绩比较基准自</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日起，由</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新华巴克莱资本中国全债指数</w:t>
      </w:r>
      <w:r>
        <w:rPr>
          <w:color w:val="000000"/>
          <w:sz w:val="24"/>
          <w:szCs w:val="24"/>
        </w:rPr>
        <w:t>”</w:t>
      </w:r>
      <w:r>
        <w:rPr>
          <w:color w:val="000000"/>
          <w:sz w:val="24"/>
          <w:szCs w:val="24"/>
        </w:rPr>
        <w:t>变更为</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中信标普全债指数</w:t>
      </w:r>
      <w:r>
        <w:rPr>
          <w:color w:val="000000"/>
          <w:sz w:val="24"/>
          <w:szCs w:val="24"/>
        </w:rPr>
        <w:t>”</w:t>
      </w:r>
      <w:r>
        <w:rPr>
          <w:color w:val="000000"/>
          <w:sz w:val="24"/>
          <w:szCs w:val="24"/>
        </w:rPr>
        <w:t>，</w:t>
      </w:r>
      <w:r>
        <w:rPr>
          <w:color w:val="000000"/>
          <w:sz w:val="24"/>
          <w:szCs w:val="24"/>
        </w:rPr>
        <w:t>3.2.2</w:t>
      </w:r>
      <w:r>
        <w:rPr>
          <w:color w:val="000000"/>
          <w:sz w:val="24"/>
          <w:szCs w:val="24"/>
        </w:rPr>
        <w:t>同。详情见本基金管理人于</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26</w:t>
      </w:r>
      <w:r>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交银施罗德稳健配置混合型证券投资基金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75FAC">
        <w:trPr>
          <w:jc w:val="center"/>
        </w:trPr>
        <w:tc>
          <w:tcPr>
            <w:tcW w:w="846" w:type="dxa"/>
            <w:vAlign w:val="center"/>
          </w:tcPr>
          <w:p w:rsidR="00675FAC" w:rsidRDefault="000E0187">
            <w:pPr>
              <w:jc w:val="center"/>
            </w:pPr>
            <w:r>
              <w:rPr>
                <w:color w:val="000000"/>
                <w:sz w:val="24"/>
                <w:szCs w:val="24"/>
              </w:rPr>
              <w:t>陈孜铎</w:t>
            </w:r>
          </w:p>
        </w:tc>
        <w:tc>
          <w:tcPr>
            <w:tcW w:w="845" w:type="dxa"/>
            <w:vAlign w:val="center"/>
          </w:tcPr>
          <w:p w:rsidR="00675FAC" w:rsidRDefault="000E0187">
            <w:pPr>
              <w:jc w:val="center"/>
            </w:pPr>
            <w:r>
              <w:rPr>
                <w:color w:val="000000"/>
                <w:sz w:val="24"/>
                <w:szCs w:val="24"/>
              </w:rPr>
              <w:t>交银稳健配置混合的基金经理、交银蓝筹混合的基金经理，公司研究部助理总经理</w:t>
            </w:r>
          </w:p>
        </w:tc>
        <w:tc>
          <w:tcPr>
            <w:tcW w:w="1549" w:type="dxa"/>
            <w:vAlign w:val="center"/>
          </w:tcPr>
          <w:p w:rsidR="00675FAC" w:rsidRDefault="000E0187">
            <w:pPr>
              <w:jc w:val="center"/>
            </w:pPr>
            <w:r>
              <w:rPr>
                <w:color w:val="000000"/>
                <w:sz w:val="24"/>
                <w:szCs w:val="24"/>
              </w:rPr>
              <w:t>2018-07-04</w:t>
            </w:r>
          </w:p>
        </w:tc>
        <w:tc>
          <w:tcPr>
            <w:tcW w:w="1548" w:type="dxa"/>
            <w:vAlign w:val="center"/>
          </w:tcPr>
          <w:p w:rsidR="00675FAC" w:rsidRDefault="000E0187">
            <w:pPr>
              <w:jc w:val="center"/>
            </w:pPr>
            <w:r>
              <w:rPr>
                <w:color w:val="000000"/>
                <w:sz w:val="24"/>
                <w:szCs w:val="24"/>
              </w:rPr>
              <w:t>-</w:t>
            </w:r>
          </w:p>
        </w:tc>
        <w:tc>
          <w:tcPr>
            <w:tcW w:w="1407" w:type="dxa"/>
            <w:vAlign w:val="center"/>
          </w:tcPr>
          <w:p w:rsidR="00675FAC" w:rsidRDefault="000E0187">
            <w:pPr>
              <w:jc w:val="center"/>
            </w:pPr>
            <w:r>
              <w:rPr>
                <w:color w:val="000000"/>
                <w:sz w:val="24"/>
                <w:szCs w:val="24"/>
              </w:rPr>
              <w:t>10</w:t>
            </w:r>
            <w:r>
              <w:rPr>
                <w:color w:val="000000"/>
                <w:sz w:val="24"/>
                <w:szCs w:val="24"/>
              </w:rPr>
              <w:t>年</w:t>
            </w:r>
          </w:p>
        </w:tc>
        <w:tc>
          <w:tcPr>
            <w:tcW w:w="2673" w:type="dxa"/>
            <w:vAlign w:val="center"/>
          </w:tcPr>
          <w:p w:rsidR="00675FAC" w:rsidRDefault="000E0187">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75FAC" w:rsidRDefault="000E018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75FAC" w:rsidRDefault="000E018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w:t>
      </w:r>
      <w:r>
        <w:rPr>
          <w:color w:val="000000"/>
          <w:sz w:val="24"/>
          <w:szCs w:val="24"/>
        </w:rPr>
        <w:t>按事前独立确定的投资方案对交易结果进行分配。</w:t>
      </w:r>
    </w:p>
    <w:p w:rsidR="00675FAC" w:rsidRDefault="000E018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75FAC" w:rsidRDefault="000E0187">
      <w:pPr>
        <w:spacing w:before="29" w:line="288" w:lineRule="auto"/>
        <w:ind w:firstLineChars="200" w:firstLine="480"/>
        <w:rPr>
          <w:color w:val="000000"/>
          <w:sz w:val="24"/>
          <w:szCs w:val="24"/>
        </w:rPr>
      </w:pPr>
      <w:r>
        <w:rPr>
          <w:color w:val="000000"/>
          <w:sz w:val="24"/>
          <w:szCs w:val="24"/>
        </w:rPr>
        <w:t>2018</w:t>
      </w:r>
      <w:r>
        <w:rPr>
          <w:color w:val="000000"/>
          <w:sz w:val="24"/>
          <w:szCs w:val="24"/>
        </w:rPr>
        <w:t>年四季度整个</w:t>
      </w:r>
      <w:r>
        <w:rPr>
          <w:color w:val="000000"/>
          <w:sz w:val="24"/>
          <w:szCs w:val="24"/>
        </w:rPr>
        <w:t>A</w:t>
      </w:r>
      <w:r>
        <w:rPr>
          <w:color w:val="000000"/>
          <w:sz w:val="24"/>
          <w:szCs w:val="24"/>
        </w:rPr>
        <w:t>股市场整体继续呈现盘恒下跌态势，各主要指数均回到过去一到三年较低位置附近。整体市场表现受宏观预期的不确定性影响较大，一方面海外发达市场经济回落趋势更为明确，虽然目前贸易摩擦有所缓解，但国内整体仍然处于信用收缩周期，给股票市场持续带来流</w:t>
      </w:r>
      <w:r>
        <w:rPr>
          <w:color w:val="000000"/>
          <w:sz w:val="24"/>
          <w:szCs w:val="24"/>
        </w:rPr>
        <w:t>动性压力。另一方面经济回落趋势继续显现，中微观指标开始明显体现周期回落的经济压力，与此对应政府不断出台政策进行托底，但面对相对复杂的国际环境和国内经济结构中长期问题，经济的长期内在矛盾尚看不到明显改善，同时全球新的产业周期没有启动迹象。</w:t>
      </w:r>
    </w:p>
    <w:p w:rsidR="00675FAC" w:rsidRDefault="000E0187">
      <w:pPr>
        <w:spacing w:before="29" w:line="288" w:lineRule="auto"/>
        <w:ind w:firstLineChars="200" w:firstLine="480"/>
        <w:rPr>
          <w:color w:val="000000"/>
          <w:sz w:val="24"/>
          <w:szCs w:val="24"/>
        </w:rPr>
      </w:pPr>
      <w:r>
        <w:rPr>
          <w:color w:val="000000"/>
          <w:sz w:val="24"/>
          <w:szCs w:val="24"/>
        </w:rPr>
        <w:t>随着市场不断回落，各个板块估值系统的回落和分化都更为明显，产业资本增持继续增加。在上述市场环境中，本基金在下行过程中逐步提升股票仓位，继续在股价回落中寻找好的投资机会。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2018</w:t>
      </w:r>
      <w:r w:rsidRPr="00414345">
        <w:rPr>
          <w:color w:val="000000"/>
          <w:sz w:val="24"/>
          <w:szCs w:val="24"/>
        </w:rPr>
        <w:t>年以来，去杠杆深化和贸易战超预期大幅影响估值水平和市场风险偏好，产业政策对行业和公司的发展扰动不断。在当前估值水平下，经济的底部和未来可测的前提下，市场具备吸引力，大的投资机会来源于制度与国际竞争环境重归稳定、信用周期方向改善和经济发展中结构性产业周期变化。在上述判断下，本基金积极在负面因素中寻找积极变化，在配置上依然保持均衡，标的选择上在传统行业中更关注价值被低估、行业地位突出的公司，在转型过程中更关注长期前景的中微观路径，积极寻找投资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2,370,882,701.49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76.32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2,370,882,701.49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76.32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177,249,939.52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5.71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177,249,939.52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5.71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150,000,425.00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404,597,915.91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13.02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3,618,715.62</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3,106,349,697.54</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89,880,000.00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858,246,822.45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23,210,740.00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60,284,000.00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118,735,000.00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82,920,000.00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253,545,770.24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599,264,012.06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354,911.26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284,441,445.48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2,370,882,701.49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76.61</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75FAC">
        <w:trPr>
          <w:jc w:val="center"/>
        </w:trPr>
        <w:tc>
          <w:tcPr>
            <w:tcW w:w="855" w:type="dxa"/>
            <w:vAlign w:val="center"/>
          </w:tcPr>
          <w:p w:rsidR="00675FAC" w:rsidRDefault="000E0187">
            <w:pPr>
              <w:jc w:val="center"/>
            </w:pPr>
            <w:r>
              <w:rPr>
                <w:color w:val="000000"/>
                <w:sz w:val="24"/>
                <w:szCs w:val="24"/>
              </w:rPr>
              <w:t>1</w:t>
            </w:r>
          </w:p>
        </w:tc>
        <w:tc>
          <w:tcPr>
            <w:tcW w:w="1334" w:type="dxa"/>
            <w:vAlign w:val="center"/>
          </w:tcPr>
          <w:p w:rsidR="00675FAC" w:rsidRDefault="000E0187">
            <w:pPr>
              <w:jc w:val="center"/>
            </w:pPr>
            <w:r>
              <w:rPr>
                <w:color w:val="000000"/>
                <w:sz w:val="24"/>
                <w:szCs w:val="24"/>
              </w:rPr>
              <w:t>601155</w:t>
            </w:r>
          </w:p>
        </w:tc>
        <w:tc>
          <w:tcPr>
            <w:tcW w:w="1777" w:type="dxa"/>
            <w:vAlign w:val="center"/>
          </w:tcPr>
          <w:p w:rsidR="00675FAC" w:rsidRDefault="000E0187">
            <w:pPr>
              <w:jc w:val="center"/>
            </w:pPr>
            <w:r>
              <w:rPr>
                <w:color w:val="000000"/>
                <w:sz w:val="24"/>
                <w:szCs w:val="24"/>
              </w:rPr>
              <w:t>新城控股</w:t>
            </w:r>
          </w:p>
        </w:tc>
        <w:tc>
          <w:tcPr>
            <w:tcW w:w="1334" w:type="dxa"/>
            <w:vAlign w:val="center"/>
          </w:tcPr>
          <w:p w:rsidR="00675FAC" w:rsidRDefault="000E0187">
            <w:pPr>
              <w:jc w:val="right"/>
            </w:pPr>
            <w:r>
              <w:rPr>
                <w:color w:val="000000"/>
                <w:sz w:val="24"/>
                <w:szCs w:val="24"/>
              </w:rPr>
              <w:t>10,509,771</w:t>
            </w:r>
          </w:p>
        </w:tc>
        <w:tc>
          <w:tcPr>
            <w:tcW w:w="1924" w:type="dxa"/>
            <w:vAlign w:val="center"/>
          </w:tcPr>
          <w:p w:rsidR="00675FAC" w:rsidRDefault="000E0187">
            <w:pPr>
              <w:jc w:val="right"/>
            </w:pPr>
            <w:r>
              <w:rPr>
                <w:color w:val="000000"/>
                <w:sz w:val="24"/>
                <w:szCs w:val="24"/>
              </w:rPr>
              <w:t>248,976,474.99</w:t>
            </w:r>
          </w:p>
        </w:tc>
        <w:tc>
          <w:tcPr>
            <w:tcW w:w="1644" w:type="dxa"/>
            <w:vAlign w:val="center"/>
          </w:tcPr>
          <w:p w:rsidR="00675FAC" w:rsidRDefault="000E0187">
            <w:pPr>
              <w:jc w:val="right"/>
            </w:pPr>
            <w:r>
              <w:rPr>
                <w:color w:val="000000"/>
                <w:sz w:val="24"/>
                <w:szCs w:val="24"/>
              </w:rPr>
              <w:t>8.05</w:t>
            </w:r>
          </w:p>
        </w:tc>
      </w:tr>
      <w:tr w:rsidR="00675FAC">
        <w:trPr>
          <w:jc w:val="center"/>
        </w:trPr>
        <w:tc>
          <w:tcPr>
            <w:tcW w:w="855" w:type="dxa"/>
            <w:vAlign w:val="center"/>
          </w:tcPr>
          <w:p w:rsidR="00675FAC" w:rsidRDefault="000E0187">
            <w:pPr>
              <w:jc w:val="center"/>
            </w:pPr>
            <w:r>
              <w:rPr>
                <w:color w:val="000000"/>
                <w:sz w:val="24"/>
                <w:szCs w:val="24"/>
              </w:rPr>
              <w:t>2</w:t>
            </w:r>
          </w:p>
        </w:tc>
        <w:tc>
          <w:tcPr>
            <w:tcW w:w="1334" w:type="dxa"/>
            <w:vAlign w:val="center"/>
          </w:tcPr>
          <w:p w:rsidR="00675FAC" w:rsidRDefault="000E0187">
            <w:pPr>
              <w:jc w:val="center"/>
            </w:pPr>
            <w:r>
              <w:rPr>
                <w:color w:val="000000"/>
                <w:sz w:val="24"/>
                <w:szCs w:val="24"/>
              </w:rPr>
              <w:t>600048</w:t>
            </w:r>
          </w:p>
        </w:tc>
        <w:tc>
          <w:tcPr>
            <w:tcW w:w="1777" w:type="dxa"/>
            <w:vAlign w:val="center"/>
          </w:tcPr>
          <w:p w:rsidR="00675FAC" w:rsidRDefault="000E0187">
            <w:pPr>
              <w:jc w:val="center"/>
            </w:pPr>
            <w:r>
              <w:rPr>
                <w:color w:val="000000"/>
                <w:sz w:val="24"/>
                <w:szCs w:val="24"/>
              </w:rPr>
              <w:t>保利地产</w:t>
            </w:r>
          </w:p>
        </w:tc>
        <w:tc>
          <w:tcPr>
            <w:tcW w:w="1334" w:type="dxa"/>
            <w:vAlign w:val="center"/>
          </w:tcPr>
          <w:p w:rsidR="00675FAC" w:rsidRDefault="000E0187">
            <w:pPr>
              <w:jc w:val="right"/>
            </w:pPr>
            <w:r>
              <w:rPr>
                <w:color w:val="000000"/>
                <w:sz w:val="24"/>
                <w:szCs w:val="24"/>
              </w:rPr>
              <w:t>18,000,758</w:t>
            </w:r>
          </w:p>
        </w:tc>
        <w:tc>
          <w:tcPr>
            <w:tcW w:w="1924" w:type="dxa"/>
            <w:vAlign w:val="center"/>
          </w:tcPr>
          <w:p w:rsidR="00675FAC" w:rsidRDefault="000E0187">
            <w:pPr>
              <w:jc w:val="right"/>
            </w:pPr>
            <w:r>
              <w:rPr>
                <w:color w:val="000000"/>
                <w:sz w:val="24"/>
                <w:szCs w:val="24"/>
              </w:rPr>
              <w:t>212,228,936.82</w:t>
            </w:r>
          </w:p>
        </w:tc>
        <w:tc>
          <w:tcPr>
            <w:tcW w:w="1644" w:type="dxa"/>
            <w:vAlign w:val="center"/>
          </w:tcPr>
          <w:p w:rsidR="00675FAC" w:rsidRDefault="000E0187">
            <w:pPr>
              <w:jc w:val="right"/>
            </w:pPr>
            <w:r>
              <w:rPr>
                <w:color w:val="000000"/>
                <w:sz w:val="24"/>
                <w:szCs w:val="24"/>
              </w:rPr>
              <w:t>6.86</w:t>
            </w:r>
          </w:p>
        </w:tc>
      </w:tr>
      <w:tr w:rsidR="00675FAC">
        <w:trPr>
          <w:jc w:val="center"/>
        </w:trPr>
        <w:tc>
          <w:tcPr>
            <w:tcW w:w="855" w:type="dxa"/>
            <w:vAlign w:val="center"/>
          </w:tcPr>
          <w:p w:rsidR="00675FAC" w:rsidRDefault="000E0187">
            <w:pPr>
              <w:jc w:val="center"/>
            </w:pPr>
            <w:r>
              <w:rPr>
                <w:color w:val="000000"/>
                <w:sz w:val="24"/>
                <w:szCs w:val="24"/>
              </w:rPr>
              <w:t>3</w:t>
            </w:r>
          </w:p>
        </w:tc>
        <w:tc>
          <w:tcPr>
            <w:tcW w:w="1334" w:type="dxa"/>
            <w:vAlign w:val="center"/>
          </w:tcPr>
          <w:p w:rsidR="00675FAC" w:rsidRDefault="000E0187">
            <w:pPr>
              <w:jc w:val="center"/>
            </w:pPr>
            <w:r>
              <w:rPr>
                <w:color w:val="000000"/>
                <w:sz w:val="24"/>
                <w:szCs w:val="24"/>
              </w:rPr>
              <w:t>300413</w:t>
            </w:r>
          </w:p>
        </w:tc>
        <w:tc>
          <w:tcPr>
            <w:tcW w:w="1777" w:type="dxa"/>
            <w:vAlign w:val="center"/>
          </w:tcPr>
          <w:p w:rsidR="00675FAC" w:rsidRDefault="000E0187">
            <w:pPr>
              <w:jc w:val="center"/>
            </w:pPr>
            <w:r>
              <w:rPr>
                <w:color w:val="000000"/>
                <w:sz w:val="24"/>
                <w:szCs w:val="24"/>
              </w:rPr>
              <w:t>芒果超媒</w:t>
            </w:r>
          </w:p>
        </w:tc>
        <w:tc>
          <w:tcPr>
            <w:tcW w:w="1334" w:type="dxa"/>
            <w:vAlign w:val="center"/>
          </w:tcPr>
          <w:p w:rsidR="00675FAC" w:rsidRDefault="000E0187">
            <w:pPr>
              <w:jc w:val="right"/>
            </w:pPr>
            <w:r>
              <w:rPr>
                <w:color w:val="000000"/>
                <w:sz w:val="24"/>
                <w:szCs w:val="24"/>
              </w:rPr>
              <w:t>5,600,000</w:t>
            </w:r>
          </w:p>
        </w:tc>
        <w:tc>
          <w:tcPr>
            <w:tcW w:w="1924" w:type="dxa"/>
            <w:vAlign w:val="center"/>
          </w:tcPr>
          <w:p w:rsidR="00675FAC" w:rsidRDefault="000E0187">
            <w:pPr>
              <w:jc w:val="right"/>
            </w:pPr>
            <w:r>
              <w:rPr>
                <w:color w:val="000000"/>
                <w:sz w:val="24"/>
                <w:szCs w:val="24"/>
              </w:rPr>
              <w:t>207,256,000.00</w:t>
            </w:r>
          </w:p>
        </w:tc>
        <w:tc>
          <w:tcPr>
            <w:tcW w:w="1644" w:type="dxa"/>
            <w:vAlign w:val="center"/>
          </w:tcPr>
          <w:p w:rsidR="00675FAC" w:rsidRDefault="000E0187">
            <w:pPr>
              <w:jc w:val="right"/>
            </w:pPr>
            <w:r>
              <w:rPr>
                <w:color w:val="000000"/>
                <w:sz w:val="24"/>
                <w:szCs w:val="24"/>
              </w:rPr>
              <w:t>6.70</w:t>
            </w:r>
          </w:p>
        </w:tc>
      </w:tr>
      <w:tr w:rsidR="00675FAC">
        <w:trPr>
          <w:jc w:val="center"/>
        </w:trPr>
        <w:tc>
          <w:tcPr>
            <w:tcW w:w="855" w:type="dxa"/>
            <w:vAlign w:val="center"/>
          </w:tcPr>
          <w:p w:rsidR="00675FAC" w:rsidRDefault="000E0187">
            <w:pPr>
              <w:jc w:val="center"/>
            </w:pPr>
            <w:r>
              <w:rPr>
                <w:color w:val="000000"/>
                <w:sz w:val="24"/>
                <w:szCs w:val="24"/>
              </w:rPr>
              <w:t>4</w:t>
            </w:r>
          </w:p>
        </w:tc>
        <w:tc>
          <w:tcPr>
            <w:tcW w:w="1334" w:type="dxa"/>
            <w:vAlign w:val="center"/>
          </w:tcPr>
          <w:p w:rsidR="00675FAC" w:rsidRDefault="000E0187">
            <w:pPr>
              <w:jc w:val="center"/>
            </w:pPr>
            <w:r>
              <w:rPr>
                <w:color w:val="000000"/>
                <w:sz w:val="24"/>
                <w:szCs w:val="24"/>
              </w:rPr>
              <w:t>601601</w:t>
            </w:r>
          </w:p>
        </w:tc>
        <w:tc>
          <w:tcPr>
            <w:tcW w:w="1777" w:type="dxa"/>
            <w:vAlign w:val="center"/>
          </w:tcPr>
          <w:p w:rsidR="00675FAC" w:rsidRDefault="000E0187">
            <w:pPr>
              <w:jc w:val="center"/>
            </w:pPr>
            <w:r>
              <w:rPr>
                <w:color w:val="000000"/>
                <w:sz w:val="24"/>
                <w:szCs w:val="24"/>
              </w:rPr>
              <w:t>中国太保</w:t>
            </w:r>
          </w:p>
        </w:tc>
        <w:tc>
          <w:tcPr>
            <w:tcW w:w="1334" w:type="dxa"/>
            <w:vAlign w:val="center"/>
          </w:tcPr>
          <w:p w:rsidR="00675FAC" w:rsidRDefault="000E0187">
            <w:pPr>
              <w:jc w:val="right"/>
            </w:pPr>
            <w:r>
              <w:rPr>
                <w:color w:val="000000"/>
                <w:sz w:val="24"/>
                <w:szCs w:val="24"/>
              </w:rPr>
              <w:t>4,299,948</w:t>
            </w:r>
          </w:p>
        </w:tc>
        <w:tc>
          <w:tcPr>
            <w:tcW w:w="1924" w:type="dxa"/>
            <w:vAlign w:val="center"/>
          </w:tcPr>
          <w:p w:rsidR="00675FAC" w:rsidRDefault="000E0187">
            <w:pPr>
              <w:jc w:val="right"/>
            </w:pPr>
            <w:r>
              <w:rPr>
                <w:color w:val="000000"/>
                <w:sz w:val="24"/>
                <w:szCs w:val="24"/>
              </w:rPr>
              <w:t>122,247,521.64</w:t>
            </w:r>
          </w:p>
        </w:tc>
        <w:tc>
          <w:tcPr>
            <w:tcW w:w="1644" w:type="dxa"/>
            <w:vAlign w:val="center"/>
          </w:tcPr>
          <w:p w:rsidR="00675FAC" w:rsidRDefault="000E0187">
            <w:pPr>
              <w:jc w:val="right"/>
            </w:pPr>
            <w:r>
              <w:rPr>
                <w:color w:val="000000"/>
                <w:sz w:val="24"/>
                <w:szCs w:val="24"/>
              </w:rPr>
              <w:t>3.95</w:t>
            </w:r>
          </w:p>
        </w:tc>
      </w:tr>
      <w:tr w:rsidR="00675FAC">
        <w:trPr>
          <w:jc w:val="center"/>
        </w:trPr>
        <w:tc>
          <w:tcPr>
            <w:tcW w:w="855" w:type="dxa"/>
            <w:vAlign w:val="center"/>
          </w:tcPr>
          <w:p w:rsidR="00675FAC" w:rsidRDefault="000E0187">
            <w:pPr>
              <w:jc w:val="center"/>
            </w:pPr>
            <w:r>
              <w:rPr>
                <w:color w:val="000000"/>
                <w:sz w:val="24"/>
                <w:szCs w:val="24"/>
              </w:rPr>
              <w:t>5</w:t>
            </w:r>
          </w:p>
        </w:tc>
        <w:tc>
          <w:tcPr>
            <w:tcW w:w="1334" w:type="dxa"/>
            <w:vAlign w:val="center"/>
          </w:tcPr>
          <w:p w:rsidR="00675FAC" w:rsidRDefault="000E0187">
            <w:pPr>
              <w:jc w:val="center"/>
            </w:pPr>
            <w:r>
              <w:rPr>
                <w:color w:val="000000"/>
                <w:sz w:val="24"/>
                <w:szCs w:val="24"/>
              </w:rPr>
              <w:t>300003</w:t>
            </w:r>
          </w:p>
        </w:tc>
        <w:tc>
          <w:tcPr>
            <w:tcW w:w="1777" w:type="dxa"/>
            <w:vAlign w:val="center"/>
          </w:tcPr>
          <w:p w:rsidR="00675FAC" w:rsidRDefault="000E0187">
            <w:pPr>
              <w:jc w:val="center"/>
            </w:pPr>
            <w:r>
              <w:rPr>
                <w:color w:val="000000"/>
                <w:sz w:val="24"/>
                <w:szCs w:val="24"/>
              </w:rPr>
              <w:t>乐普医疗</w:t>
            </w:r>
          </w:p>
        </w:tc>
        <w:tc>
          <w:tcPr>
            <w:tcW w:w="1334" w:type="dxa"/>
            <w:vAlign w:val="center"/>
          </w:tcPr>
          <w:p w:rsidR="00675FAC" w:rsidRDefault="000E0187">
            <w:pPr>
              <w:jc w:val="right"/>
            </w:pPr>
            <w:r>
              <w:rPr>
                <w:color w:val="000000"/>
                <w:sz w:val="24"/>
                <w:szCs w:val="24"/>
              </w:rPr>
              <w:t>5,500,587</w:t>
            </w:r>
          </w:p>
        </w:tc>
        <w:tc>
          <w:tcPr>
            <w:tcW w:w="1924" w:type="dxa"/>
            <w:vAlign w:val="center"/>
          </w:tcPr>
          <w:p w:rsidR="00675FAC" w:rsidRDefault="000E0187">
            <w:pPr>
              <w:jc w:val="right"/>
            </w:pPr>
            <w:r>
              <w:rPr>
                <w:color w:val="000000"/>
                <w:sz w:val="24"/>
                <w:szCs w:val="24"/>
              </w:rPr>
              <w:t>114,467,215.47</w:t>
            </w:r>
          </w:p>
        </w:tc>
        <w:tc>
          <w:tcPr>
            <w:tcW w:w="1644" w:type="dxa"/>
            <w:vAlign w:val="center"/>
          </w:tcPr>
          <w:p w:rsidR="00675FAC" w:rsidRDefault="000E0187">
            <w:pPr>
              <w:jc w:val="right"/>
            </w:pPr>
            <w:r>
              <w:rPr>
                <w:color w:val="000000"/>
                <w:sz w:val="24"/>
                <w:szCs w:val="24"/>
              </w:rPr>
              <w:t>3.70</w:t>
            </w:r>
          </w:p>
        </w:tc>
      </w:tr>
      <w:tr w:rsidR="00675FAC">
        <w:trPr>
          <w:jc w:val="center"/>
        </w:trPr>
        <w:tc>
          <w:tcPr>
            <w:tcW w:w="855" w:type="dxa"/>
            <w:vAlign w:val="center"/>
          </w:tcPr>
          <w:p w:rsidR="00675FAC" w:rsidRDefault="000E0187">
            <w:pPr>
              <w:jc w:val="center"/>
            </w:pPr>
            <w:r>
              <w:rPr>
                <w:color w:val="000000"/>
                <w:sz w:val="24"/>
                <w:szCs w:val="24"/>
              </w:rPr>
              <w:t>6</w:t>
            </w:r>
          </w:p>
        </w:tc>
        <w:tc>
          <w:tcPr>
            <w:tcW w:w="1334" w:type="dxa"/>
            <w:vAlign w:val="center"/>
          </w:tcPr>
          <w:p w:rsidR="00675FAC" w:rsidRDefault="000E0187">
            <w:pPr>
              <w:jc w:val="center"/>
            </w:pPr>
            <w:r>
              <w:rPr>
                <w:color w:val="000000"/>
                <w:sz w:val="24"/>
                <w:szCs w:val="24"/>
              </w:rPr>
              <w:t>002415</w:t>
            </w:r>
          </w:p>
        </w:tc>
        <w:tc>
          <w:tcPr>
            <w:tcW w:w="1777" w:type="dxa"/>
            <w:vAlign w:val="center"/>
          </w:tcPr>
          <w:p w:rsidR="00675FAC" w:rsidRDefault="000E0187">
            <w:pPr>
              <w:jc w:val="center"/>
            </w:pPr>
            <w:r>
              <w:rPr>
                <w:color w:val="000000"/>
                <w:sz w:val="24"/>
                <w:szCs w:val="24"/>
              </w:rPr>
              <w:t>海康威视</w:t>
            </w:r>
          </w:p>
        </w:tc>
        <w:tc>
          <w:tcPr>
            <w:tcW w:w="1334" w:type="dxa"/>
            <w:vAlign w:val="center"/>
          </w:tcPr>
          <w:p w:rsidR="00675FAC" w:rsidRDefault="000E0187">
            <w:pPr>
              <w:jc w:val="right"/>
            </w:pPr>
            <w:r>
              <w:rPr>
                <w:color w:val="000000"/>
                <w:sz w:val="24"/>
                <w:szCs w:val="24"/>
              </w:rPr>
              <w:t>4,000,000</w:t>
            </w:r>
          </w:p>
        </w:tc>
        <w:tc>
          <w:tcPr>
            <w:tcW w:w="1924" w:type="dxa"/>
            <w:vAlign w:val="center"/>
          </w:tcPr>
          <w:p w:rsidR="00675FAC" w:rsidRDefault="000E0187">
            <w:pPr>
              <w:jc w:val="right"/>
            </w:pPr>
            <w:r>
              <w:rPr>
                <w:color w:val="000000"/>
                <w:sz w:val="24"/>
                <w:szCs w:val="24"/>
              </w:rPr>
              <w:t>103,040,000.00</w:t>
            </w:r>
          </w:p>
        </w:tc>
        <w:tc>
          <w:tcPr>
            <w:tcW w:w="1644" w:type="dxa"/>
            <w:vAlign w:val="center"/>
          </w:tcPr>
          <w:p w:rsidR="00675FAC" w:rsidRDefault="000E0187">
            <w:pPr>
              <w:jc w:val="right"/>
            </w:pPr>
            <w:r>
              <w:rPr>
                <w:color w:val="000000"/>
                <w:sz w:val="24"/>
                <w:szCs w:val="24"/>
              </w:rPr>
              <w:t>3.33</w:t>
            </w:r>
          </w:p>
        </w:tc>
      </w:tr>
      <w:tr w:rsidR="00675FAC">
        <w:trPr>
          <w:jc w:val="center"/>
        </w:trPr>
        <w:tc>
          <w:tcPr>
            <w:tcW w:w="855" w:type="dxa"/>
            <w:vAlign w:val="center"/>
          </w:tcPr>
          <w:p w:rsidR="00675FAC" w:rsidRDefault="000E0187">
            <w:pPr>
              <w:jc w:val="center"/>
            </w:pPr>
            <w:r>
              <w:rPr>
                <w:color w:val="000000"/>
                <w:sz w:val="24"/>
                <w:szCs w:val="24"/>
              </w:rPr>
              <w:t>7</w:t>
            </w:r>
          </w:p>
        </w:tc>
        <w:tc>
          <w:tcPr>
            <w:tcW w:w="1334" w:type="dxa"/>
            <w:vAlign w:val="center"/>
          </w:tcPr>
          <w:p w:rsidR="00675FAC" w:rsidRDefault="000E0187">
            <w:pPr>
              <w:jc w:val="center"/>
            </w:pPr>
            <w:r>
              <w:rPr>
                <w:color w:val="000000"/>
                <w:sz w:val="24"/>
                <w:szCs w:val="24"/>
              </w:rPr>
              <w:t>601100</w:t>
            </w:r>
          </w:p>
        </w:tc>
        <w:tc>
          <w:tcPr>
            <w:tcW w:w="1777" w:type="dxa"/>
            <w:vAlign w:val="center"/>
          </w:tcPr>
          <w:p w:rsidR="00675FAC" w:rsidRDefault="000E0187">
            <w:pPr>
              <w:jc w:val="center"/>
            </w:pPr>
            <w:r>
              <w:rPr>
                <w:color w:val="000000"/>
                <w:sz w:val="24"/>
                <w:szCs w:val="24"/>
              </w:rPr>
              <w:t>恒立液压</w:t>
            </w:r>
          </w:p>
        </w:tc>
        <w:tc>
          <w:tcPr>
            <w:tcW w:w="1334" w:type="dxa"/>
            <w:vAlign w:val="center"/>
          </w:tcPr>
          <w:p w:rsidR="00675FAC" w:rsidRDefault="000E0187">
            <w:pPr>
              <w:jc w:val="right"/>
            </w:pPr>
            <w:r>
              <w:rPr>
                <w:color w:val="000000"/>
                <w:sz w:val="24"/>
                <w:szCs w:val="24"/>
              </w:rPr>
              <w:t>4,000,000</w:t>
            </w:r>
          </w:p>
        </w:tc>
        <w:tc>
          <w:tcPr>
            <w:tcW w:w="1924" w:type="dxa"/>
            <w:vAlign w:val="center"/>
          </w:tcPr>
          <w:p w:rsidR="00675FAC" w:rsidRDefault="000E0187">
            <w:pPr>
              <w:jc w:val="right"/>
            </w:pPr>
            <w:r>
              <w:rPr>
                <w:color w:val="000000"/>
                <w:sz w:val="24"/>
                <w:szCs w:val="24"/>
              </w:rPr>
              <w:t>79,240,000.00</w:t>
            </w:r>
          </w:p>
        </w:tc>
        <w:tc>
          <w:tcPr>
            <w:tcW w:w="1644" w:type="dxa"/>
            <w:vAlign w:val="center"/>
          </w:tcPr>
          <w:p w:rsidR="00675FAC" w:rsidRDefault="000E0187">
            <w:pPr>
              <w:jc w:val="right"/>
            </w:pPr>
            <w:r>
              <w:rPr>
                <w:color w:val="000000"/>
                <w:sz w:val="24"/>
                <w:szCs w:val="24"/>
              </w:rPr>
              <w:t>2.56</w:t>
            </w:r>
          </w:p>
        </w:tc>
      </w:tr>
      <w:tr w:rsidR="00675FAC">
        <w:trPr>
          <w:jc w:val="center"/>
        </w:trPr>
        <w:tc>
          <w:tcPr>
            <w:tcW w:w="855" w:type="dxa"/>
            <w:vAlign w:val="center"/>
          </w:tcPr>
          <w:p w:rsidR="00675FAC" w:rsidRDefault="000E0187">
            <w:pPr>
              <w:jc w:val="center"/>
            </w:pPr>
            <w:r>
              <w:rPr>
                <w:color w:val="000000"/>
                <w:sz w:val="24"/>
                <w:szCs w:val="24"/>
              </w:rPr>
              <w:t>8</w:t>
            </w:r>
          </w:p>
        </w:tc>
        <w:tc>
          <w:tcPr>
            <w:tcW w:w="1334" w:type="dxa"/>
            <w:vAlign w:val="center"/>
          </w:tcPr>
          <w:p w:rsidR="00675FAC" w:rsidRDefault="000E0187">
            <w:pPr>
              <w:jc w:val="center"/>
            </w:pPr>
            <w:r>
              <w:rPr>
                <w:color w:val="000000"/>
                <w:sz w:val="24"/>
                <w:szCs w:val="24"/>
              </w:rPr>
              <w:t>000681</w:t>
            </w:r>
          </w:p>
        </w:tc>
        <w:tc>
          <w:tcPr>
            <w:tcW w:w="1777" w:type="dxa"/>
            <w:vAlign w:val="center"/>
          </w:tcPr>
          <w:p w:rsidR="00675FAC" w:rsidRDefault="000E0187">
            <w:pPr>
              <w:jc w:val="center"/>
            </w:pPr>
            <w:r>
              <w:rPr>
                <w:color w:val="000000"/>
                <w:sz w:val="24"/>
                <w:szCs w:val="24"/>
              </w:rPr>
              <w:t>视觉中国</w:t>
            </w:r>
          </w:p>
        </w:tc>
        <w:tc>
          <w:tcPr>
            <w:tcW w:w="1334" w:type="dxa"/>
            <w:vAlign w:val="center"/>
          </w:tcPr>
          <w:p w:rsidR="00675FAC" w:rsidRDefault="000E0187">
            <w:pPr>
              <w:jc w:val="right"/>
            </w:pPr>
            <w:r>
              <w:rPr>
                <w:color w:val="000000"/>
                <w:sz w:val="24"/>
                <w:szCs w:val="24"/>
              </w:rPr>
              <w:t>3,309,839</w:t>
            </w:r>
          </w:p>
        </w:tc>
        <w:tc>
          <w:tcPr>
            <w:tcW w:w="1924" w:type="dxa"/>
            <w:vAlign w:val="center"/>
          </w:tcPr>
          <w:p w:rsidR="00675FAC" w:rsidRDefault="000E0187">
            <w:pPr>
              <w:jc w:val="right"/>
            </w:pPr>
            <w:r>
              <w:rPr>
                <w:color w:val="000000"/>
                <w:sz w:val="24"/>
                <w:szCs w:val="24"/>
              </w:rPr>
              <w:t>77,185,445.48</w:t>
            </w:r>
          </w:p>
        </w:tc>
        <w:tc>
          <w:tcPr>
            <w:tcW w:w="1644" w:type="dxa"/>
            <w:vAlign w:val="center"/>
          </w:tcPr>
          <w:p w:rsidR="00675FAC" w:rsidRDefault="000E0187">
            <w:pPr>
              <w:jc w:val="right"/>
            </w:pPr>
            <w:r>
              <w:rPr>
                <w:color w:val="000000"/>
                <w:sz w:val="24"/>
                <w:szCs w:val="24"/>
              </w:rPr>
              <w:t>2.49</w:t>
            </w:r>
          </w:p>
        </w:tc>
      </w:tr>
      <w:tr w:rsidR="00675FAC">
        <w:trPr>
          <w:jc w:val="center"/>
        </w:trPr>
        <w:tc>
          <w:tcPr>
            <w:tcW w:w="855" w:type="dxa"/>
            <w:vAlign w:val="center"/>
          </w:tcPr>
          <w:p w:rsidR="00675FAC" w:rsidRDefault="000E0187">
            <w:pPr>
              <w:jc w:val="center"/>
            </w:pPr>
            <w:r>
              <w:rPr>
                <w:color w:val="000000"/>
                <w:sz w:val="24"/>
                <w:szCs w:val="24"/>
              </w:rPr>
              <w:t>9</w:t>
            </w:r>
          </w:p>
        </w:tc>
        <w:tc>
          <w:tcPr>
            <w:tcW w:w="1334" w:type="dxa"/>
            <w:vAlign w:val="center"/>
          </w:tcPr>
          <w:p w:rsidR="00675FAC" w:rsidRDefault="000E0187">
            <w:pPr>
              <w:jc w:val="center"/>
            </w:pPr>
            <w:r>
              <w:rPr>
                <w:color w:val="000000"/>
                <w:sz w:val="24"/>
                <w:szCs w:val="24"/>
              </w:rPr>
              <w:t>600340</w:t>
            </w:r>
          </w:p>
        </w:tc>
        <w:tc>
          <w:tcPr>
            <w:tcW w:w="1777" w:type="dxa"/>
            <w:vAlign w:val="center"/>
          </w:tcPr>
          <w:p w:rsidR="00675FAC" w:rsidRDefault="000E0187">
            <w:pPr>
              <w:jc w:val="center"/>
            </w:pPr>
            <w:r>
              <w:rPr>
                <w:color w:val="000000"/>
                <w:sz w:val="24"/>
                <w:szCs w:val="24"/>
              </w:rPr>
              <w:t>华夏幸福</w:t>
            </w:r>
          </w:p>
        </w:tc>
        <w:tc>
          <w:tcPr>
            <w:tcW w:w="1334" w:type="dxa"/>
            <w:vAlign w:val="center"/>
          </w:tcPr>
          <w:p w:rsidR="00675FAC" w:rsidRDefault="000E0187">
            <w:pPr>
              <w:jc w:val="right"/>
            </w:pPr>
            <w:r>
              <w:rPr>
                <w:color w:val="000000"/>
                <w:sz w:val="24"/>
                <w:szCs w:val="24"/>
              </w:rPr>
              <w:t>2,999,945</w:t>
            </w:r>
          </w:p>
        </w:tc>
        <w:tc>
          <w:tcPr>
            <w:tcW w:w="1924" w:type="dxa"/>
            <w:vAlign w:val="center"/>
          </w:tcPr>
          <w:p w:rsidR="00675FAC" w:rsidRDefault="000E0187">
            <w:pPr>
              <w:jc w:val="right"/>
            </w:pPr>
            <w:r>
              <w:rPr>
                <w:color w:val="000000"/>
                <w:sz w:val="24"/>
                <w:szCs w:val="24"/>
              </w:rPr>
              <w:t>76,348,600.25</w:t>
            </w:r>
          </w:p>
        </w:tc>
        <w:tc>
          <w:tcPr>
            <w:tcW w:w="1644" w:type="dxa"/>
            <w:vAlign w:val="center"/>
          </w:tcPr>
          <w:p w:rsidR="00675FAC" w:rsidRDefault="000E0187">
            <w:pPr>
              <w:jc w:val="right"/>
            </w:pPr>
            <w:r>
              <w:rPr>
                <w:color w:val="000000"/>
                <w:sz w:val="24"/>
                <w:szCs w:val="24"/>
              </w:rPr>
              <w:t>2.47</w:t>
            </w:r>
          </w:p>
        </w:tc>
      </w:tr>
      <w:tr w:rsidR="00675FAC">
        <w:trPr>
          <w:jc w:val="center"/>
        </w:trPr>
        <w:tc>
          <w:tcPr>
            <w:tcW w:w="855" w:type="dxa"/>
            <w:vAlign w:val="center"/>
          </w:tcPr>
          <w:p w:rsidR="00675FAC" w:rsidRDefault="000E0187">
            <w:pPr>
              <w:jc w:val="center"/>
            </w:pPr>
            <w:r>
              <w:rPr>
                <w:color w:val="000000"/>
                <w:sz w:val="24"/>
                <w:szCs w:val="24"/>
              </w:rPr>
              <w:t>10</w:t>
            </w:r>
          </w:p>
        </w:tc>
        <w:tc>
          <w:tcPr>
            <w:tcW w:w="1334" w:type="dxa"/>
            <w:vAlign w:val="center"/>
          </w:tcPr>
          <w:p w:rsidR="00675FAC" w:rsidRDefault="000E0187">
            <w:pPr>
              <w:jc w:val="center"/>
            </w:pPr>
            <w:r>
              <w:rPr>
                <w:color w:val="000000"/>
                <w:sz w:val="24"/>
                <w:szCs w:val="24"/>
              </w:rPr>
              <w:t>600705</w:t>
            </w:r>
          </w:p>
        </w:tc>
        <w:tc>
          <w:tcPr>
            <w:tcW w:w="1777" w:type="dxa"/>
            <w:vAlign w:val="center"/>
          </w:tcPr>
          <w:p w:rsidR="00675FAC" w:rsidRDefault="000E0187">
            <w:pPr>
              <w:jc w:val="center"/>
            </w:pPr>
            <w:r>
              <w:rPr>
                <w:color w:val="000000"/>
                <w:sz w:val="24"/>
                <w:szCs w:val="24"/>
              </w:rPr>
              <w:t>中航资本</w:t>
            </w:r>
          </w:p>
        </w:tc>
        <w:tc>
          <w:tcPr>
            <w:tcW w:w="1334" w:type="dxa"/>
            <w:vAlign w:val="center"/>
          </w:tcPr>
          <w:p w:rsidR="00675FAC" w:rsidRDefault="000E0187">
            <w:pPr>
              <w:jc w:val="right"/>
            </w:pPr>
            <w:r>
              <w:rPr>
                <w:color w:val="000000"/>
                <w:sz w:val="24"/>
                <w:szCs w:val="24"/>
              </w:rPr>
              <w:t>18,000,000</w:t>
            </w:r>
          </w:p>
        </w:tc>
        <w:tc>
          <w:tcPr>
            <w:tcW w:w="1924" w:type="dxa"/>
            <w:vAlign w:val="center"/>
          </w:tcPr>
          <w:p w:rsidR="00675FAC" w:rsidRDefault="000E0187">
            <w:pPr>
              <w:jc w:val="right"/>
            </w:pPr>
            <w:r>
              <w:rPr>
                <w:color w:val="000000"/>
                <w:sz w:val="24"/>
                <w:szCs w:val="24"/>
              </w:rPr>
              <w:t>76,320,000.00</w:t>
            </w:r>
          </w:p>
        </w:tc>
        <w:tc>
          <w:tcPr>
            <w:tcW w:w="1644" w:type="dxa"/>
            <w:vAlign w:val="center"/>
          </w:tcPr>
          <w:p w:rsidR="00675FAC" w:rsidRDefault="000E0187">
            <w:pPr>
              <w:jc w:val="right"/>
            </w:pPr>
            <w:r>
              <w:rPr>
                <w:color w:val="000000"/>
                <w:sz w:val="24"/>
                <w:szCs w:val="24"/>
              </w:rPr>
              <w:t>2.47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149,100,000.00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25,070,000.00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0.81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25,070,000.00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0.81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3,079,939.52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177,249,939.52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5.73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75FAC">
        <w:trPr>
          <w:jc w:val="center"/>
        </w:trPr>
        <w:tc>
          <w:tcPr>
            <w:tcW w:w="850" w:type="dxa"/>
            <w:vAlign w:val="center"/>
          </w:tcPr>
          <w:p w:rsidR="00675FAC" w:rsidRDefault="000E0187">
            <w:pPr>
              <w:jc w:val="center"/>
            </w:pPr>
            <w:r>
              <w:rPr>
                <w:color w:val="000000"/>
                <w:sz w:val="24"/>
                <w:szCs w:val="24"/>
              </w:rPr>
              <w:t>1</w:t>
            </w:r>
          </w:p>
        </w:tc>
        <w:tc>
          <w:tcPr>
            <w:tcW w:w="1475" w:type="dxa"/>
            <w:vAlign w:val="center"/>
          </w:tcPr>
          <w:p w:rsidR="00675FAC" w:rsidRDefault="000E0187">
            <w:pPr>
              <w:jc w:val="center"/>
            </w:pPr>
            <w:r>
              <w:rPr>
                <w:color w:val="000000"/>
                <w:sz w:val="24"/>
                <w:szCs w:val="24"/>
              </w:rPr>
              <w:t>189953</w:t>
            </w:r>
          </w:p>
        </w:tc>
        <w:tc>
          <w:tcPr>
            <w:tcW w:w="1769" w:type="dxa"/>
            <w:vAlign w:val="center"/>
          </w:tcPr>
          <w:p w:rsidR="00675FAC" w:rsidRDefault="000E0187">
            <w:pPr>
              <w:jc w:val="center"/>
            </w:pPr>
            <w:r>
              <w:rPr>
                <w:color w:val="000000"/>
                <w:sz w:val="24"/>
                <w:szCs w:val="24"/>
              </w:rPr>
              <w:t>18</w:t>
            </w:r>
            <w:r>
              <w:rPr>
                <w:color w:val="000000"/>
                <w:sz w:val="24"/>
                <w:szCs w:val="24"/>
              </w:rPr>
              <w:t>贴现国债</w:t>
            </w:r>
            <w:r>
              <w:rPr>
                <w:color w:val="000000"/>
                <w:sz w:val="24"/>
                <w:szCs w:val="24"/>
              </w:rPr>
              <w:t>53</w:t>
            </w:r>
          </w:p>
        </w:tc>
        <w:tc>
          <w:tcPr>
            <w:tcW w:w="1387" w:type="dxa"/>
            <w:vAlign w:val="center"/>
          </w:tcPr>
          <w:p w:rsidR="00675FAC" w:rsidRDefault="000E0187">
            <w:pPr>
              <w:jc w:val="right"/>
            </w:pPr>
            <w:r>
              <w:rPr>
                <w:color w:val="000000"/>
                <w:sz w:val="24"/>
                <w:szCs w:val="24"/>
              </w:rPr>
              <w:t>1,500,000</w:t>
            </w:r>
          </w:p>
        </w:tc>
        <w:tc>
          <w:tcPr>
            <w:tcW w:w="2150" w:type="dxa"/>
            <w:vAlign w:val="center"/>
          </w:tcPr>
          <w:p w:rsidR="00675FAC" w:rsidRDefault="000E0187">
            <w:pPr>
              <w:jc w:val="right"/>
            </w:pPr>
            <w:r>
              <w:rPr>
                <w:color w:val="000000"/>
                <w:sz w:val="24"/>
                <w:szCs w:val="24"/>
              </w:rPr>
              <w:t>149,100,000.00</w:t>
            </w:r>
          </w:p>
        </w:tc>
        <w:tc>
          <w:tcPr>
            <w:tcW w:w="1237" w:type="dxa"/>
            <w:vAlign w:val="center"/>
          </w:tcPr>
          <w:p w:rsidR="00675FAC" w:rsidRDefault="000E0187">
            <w:pPr>
              <w:jc w:val="right"/>
            </w:pPr>
            <w:r>
              <w:rPr>
                <w:color w:val="000000"/>
                <w:sz w:val="24"/>
                <w:szCs w:val="24"/>
              </w:rPr>
              <w:t>4.82</w:t>
            </w:r>
          </w:p>
        </w:tc>
      </w:tr>
      <w:tr w:rsidR="00675FAC">
        <w:trPr>
          <w:jc w:val="center"/>
        </w:trPr>
        <w:tc>
          <w:tcPr>
            <w:tcW w:w="850" w:type="dxa"/>
            <w:vAlign w:val="center"/>
          </w:tcPr>
          <w:p w:rsidR="00675FAC" w:rsidRDefault="000E0187">
            <w:pPr>
              <w:jc w:val="center"/>
            </w:pPr>
            <w:r>
              <w:rPr>
                <w:color w:val="000000"/>
                <w:sz w:val="24"/>
                <w:szCs w:val="24"/>
              </w:rPr>
              <w:t>2</w:t>
            </w:r>
          </w:p>
        </w:tc>
        <w:tc>
          <w:tcPr>
            <w:tcW w:w="1475" w:type="dxa"/>
            <w:vAlign w:val="center"/>
          </w:tcPr>
          <w:p w:rsidR="00675FAC" w:rsidRDefault="000E0187">
            <w:pPr>
              <w:jc w:val="center"/>
            </w:pPr>
            <w:r>
              <w:rPr>
                <w:color w:val="000000"/>
                <w:sz w:val="24"/>
                <w:szCs w:val="24"/>
              </w:rPr>
              <w:t>180207</w:t>
            </w:r>
          </w:p>
        </w:tc>
        <w:tc>
          <w:tcPr>
            <w:tcW w:w="1769" w:type="dxa"/>
            <w:vAlign w:val="center"/>
          </w:tcPr>
          <w:p w:rsidR="00675FAC" w:rsidRDefault="000E0187">
            <w:pPr>
              <w:jc w:val="center"/>
            </w:pPr>
            <w:r>
              <w:rPr>
                <w:color w:val="000000"/>
                <w:sz w:val="24"/>
                <w:szCs w:val="24"/>
              </w:rPr>
              <w:t>18</w:t>
            </w:r>
            <w:r>
              <w:rPr>
                <w:color w:val="000000"/>
                <w:sz w:val="24"/>
                <w:szCs w:val="24"/>
              </w:rPr>
              <w:t>国开</w:t>
            </w:r>
            <w:r>
              <w:rPr>
                <w:color w:val="000000"/>
                <w:sz w:val="24"/>
                <w:szCs w:val="24"/>
              </w:rPr>
              <w:t>07</w:t>
            </w:r>
          </w:p>
        </w:tc>
        <w:tc>
          <w:tcPr>
            <w:tcW w:w="1387" w:type="dxa"/>
            <w:vAlign w:val="center"/>
          </w:tcPr>
          <w:p w:rsidR="00675FAC" w:rsidRDefault="000E0187">
            <w:pPr>
              <w:jc w:val="right"/>
            </w:pPr>
            <w:r>
              <w:rPr>
                <w:color w:val="000000"/>
                <w:sz w:val="24"/>
                <w:szCs w:val="24"/>
              </w:rPr>
              <w:t>200,000</w:t>
            </w:r>
          </w:p>
        </w:tc>
        <w:tc>
          <w:tcPr>
            <w:tcW w:w="2150" w:type="dxa"/>
            <w:vAlign w:val="center"/>
          </w:tcPr>
          <w:p w:rsidR="00675FAC" w:rsidRDefault="000E0187">
            <w:pPr>
              <w:jc w:val="right"/>
            </w:pPr>
            <w:r>
              <w:rPr>
                <w:color w:val="000000"/>
                <w:sz w:val="24"/>
                <w:szCs w:val="24"/>
              </w:rPr>
              <w:t>20,048,000.00</w:t>
            </w:r>
          </w:p>
        </w:tc>
        <w:tc>
          <w:tcPr>
            <w:tcW w:w="1237" w:type="dxa"/>
            <w:vAlign w:val="center"/>
          </w:tcPr>
          <w:p w:rsidR="00675FAC" w:rsidRDefault="000E0187">
            <w:pPr>
              <w:jc w:val="right"/>
            </w:pPr>
            <w:r>
              <w:rPr>
                <w:color w:val="000000"/>
                <w:sz w:val="24"/>
                <w:szCs w:val="24"/>
              </w:rPr>
              <w:t>0.65</w:t>
            </w:r>
          </w:p>
        </w:tc>
      </w:tr>
      <w:tr w:rsidR="00675FAC">
        <w:trPr>
          <w:jc w:val="center"/>
        </w:trPr>
        <w:tc>
          <w:tcPr>
            <w:tcW w:w="850" w:type="dxa"/>
            <w:vAlign w:val="center"/>
          </w:tcPr>
          <w:p w:rsidR="00675FAC" w:rsidRDefault="000E0187">
            <w:pPr>
              <w:jc w:val="center"/>
            </w:pPr>
            <w:r>
              <w:rPr>
                <w:color w:val="000000"/>
                <w:sz w:val="24"/>
                <w:szCs w:val="24"/>
              </w:rPr>
              <w:t>3</w:t>
            </w:r>
          </w:p>
        </w:tc>
        <w:tc>
          <w:tcPr>
            <w:tcW w:w="1475" w:type="dxa"/>
            <w:vAlign w:val="center"/>
          </w:tcPr>
          <w:p w:rsidR="00675FAC" w:rsidRDefault="000E0187">
            <w:pPr>
              <w:jc w:val="center"/>
            </w:pPr>
            <w:r>
              <w:rPr>
                <w:color w:val="000000"/>
                <w:sz w:val="24"/>
                <w:szCs w:val="24"/>
              </w:rPr>
              <w:t>018005</w:t>
            </w:r>
          </w:p>
        </w:tc>
        <w:tc>
          <w:tcPr>
            <w:tcW w:w="1769" w:type="dxa"/>
            <w:vAlign w:val="center"/>
          </w:tcPr>
          <w:p w:rsidR="00675FAC" w:rsidRDefault="000E0187">
            <w:pPr>
              <w:jc w:val="center"/>
            </w:pPr>
            <w:r>
              <w:rPr>
                <w:color w:val="000000"/>
                <w:sz w:val="24"/>
                <w:szCs w:val="24"/>
              </w:rPr>
              <w:t>国开</w:t>
            </w:r>
            <w:r>
              <w:rPr>
                <w:color w:val="000000"/>
                <w:sz w:val="24"/>
                <w:szCs w:val="24"/>
              </w:rPr>
              <w:t>1701</w:t>
            </w:r>
          </w:p>
        </w:tc>
        <w:tc>
          <w:tcPr>
            <w:tcW w:w="1387" w:type="dxa"/>
            <w:vAlign w:val="center"/>
          </w:tcPr>
          <w:p w:rsidR="00675FAC" w:rsidRDefault="000E0187">
            <w:pPr>
              <w:jc w:val="right"/>
            </w:pPr>
            <w:r>
              <w:rPr>
                <w:color w:val="000000"/>
                <w:sz w:val="24"/>
                <w:szCs w:val="24"/>
              </w:rPr>
              <w:t>50,000</w:t>
            </w:r>
          </w:p>
        </w:tc>
        <w:tc>
          <w:tcPr>
            <w:tcW w:w="2150" w:type="dxa"/>
            <w:vAlign w:val="center"/>
          </w:tcPr>
          <w:p w:rsidR="00675FAC" w:rsidRDefault="000E0187">
            <w:pPr>
              <w:jc w:val="right"/>
            </w:pPr>
            <w:r>
              <w:rPr>
                <w:color w:val="000000"/>
                <w:sz w:val="24"/>
                <w:szCs w:val="24"/>
              </w:rPr>
              <w:t>5,022,000.00</w:t>
            </w:r>
          </w:p>
        </w:tc>
        <w:tc>
          <w:tcPr>
            <w:tcW w:w="1237" w:type="dxa"/>
            <w:vAlign w:val="center"/>
          </w:tcPr>
          <w:p w:rsidR="00675FAC" w:rsidRDefault="000E0187">
            <w:pPr>
              <w:jc w:val="right"/>
            </w:pPr>
            <w:r>
              <w:rPr>
                <w:color w:val="000000"/>
                <w:sz w:val="24"/>
                <w:szCs w:val="24"/>
              </w:rPr>
              <w:t>0.16</w:t>
            </w:r>
          </w:p>
        </w:tc>
      </w:tr>
      <w:tr w:rsidR="00675FAC">
        <w:trPr>
          <w:jc w:val="center"/>
        </w:trPr>
        <w:tc>
          <w:tcPr>
            <w:tcW w:w="850" w:type="dxa"/>
            <w:vAlign w:val="center"/>
          </w:tcPr>
          <w:p w:rsidR="00675FAC" w:rsidRDefault="000E0187">
            <w:pPr>
              <w:jc w:val="center"/>
            </w:pPr>
            <w:r>
              <w:rPr>
                <w:color w:val="000000"/>
                <w:sz w:val="24"/>
                <w:szCs w:val="24"/>
              </w:rPr>
              <w:t>4</w:t>
            </w:r>
          </w:p>
        </w:tc>
        <w:tc>
          <w:tcPr>
            <w:tcW w:w="1475" w:type="dxa"/>
            <w:vAlign w:val="center"/>
          </w:tcPr>
          <w:p w:rsidR="00675FAC" w:rsidRDefault="000E0187">
            <w:pPr>
              <w:jc w:val="center"/>
            </w:pPr>
            <w:r>
              <w:rPr>
                <w:color w:val="000000"/>
                <w:sz w:val="24"/>
                <w:szCs w:val="24"/>
              </w:rPr>
              <w:t>128035</w:t>
            </w:r>
          </w:p>
        </w:tc>
        <w:tc>
          <w:tcPr>
            <w:tcW w:w="1769" w:type="dxa"/>
            <w:vAlign w:val="center"/>
          </w:tcPr>
          <w:p w:rsidR="00675FAC" w:rsidRDefault="000E0187">
            <w:pPr>
              <w:jc w:val="center"/>
            </w:pPr>
            <w:r>
              <w:rPr>
                <w:color w:val="000000"/>
                <w:sz w:val="24"/>
                <w:szCs w:val="24"/>
              </w:rPr>
              <w:t>大族转债</w:t>
            </w:r>
          </w:p>
        </w:tc>
        <w:tc>
          <w:tcPr>
            <w:tcW w:w="1387" w:type="dxa"/>
            <w:vAlign w:val="center"/>
          </w:tcPr>
          <w:p w:rsidR="00675FAC" w:rsidRDefault="000E0187">
            <w:pPr>
              <w:jc w:val="right"/>
            </w:pPr>
            <w:r>
              <w:rPr>
                <w:color w:val="000000"/>
                <w:sz w:val="24"/>
                <w:szCs w:val="24"/>
              </w:rPr>
              <w:t>31,514</w:t>
            </w:r>
          </w:p>
        </w:tc>
        <w:tc>
          <w:tcPr>
            <w:tcW w:w="2150" w:type="dxa"/>
            <w:vAlign w:val="center"/>
          </w:tcPr>
          <w:p w:rsidR="00675FAC" w:rsidRDefault="000E0187">
            <w:pPr>
              <w:jc w:val="right"/>
            </w:pPr>
            <w:r>
              <w:rPr>
                <w:color w:val="000000"/>
                <w:sz w:val="24"/>
                <w:szCs w:val="24"/>
              </w:rPr>
              <w:t>3,077,657.24</w:t>
            </w:r>
          </w:p>
        </w:tc>
        <w:tc>
          <w:tcPr>
            <w:tcW w:w="1237" w:type="dxa"/>
            <w:vAlign w:val="center"/>
          </w:tcPr>
          <w:p w:rsidR="00675FAC" w:rsidRDefault="000E0187">
            <w:pPr>
              <w:jc w:val="right"/>
            </w:pPr>
            <w:r>
              <w:rPr>
                <w:color w:val="000000"/>
                <w:sz w:val="24"/>
                <w:szCs w:val="24"/>
              </w:rPr>
              <w:t>0.10</w:t>
            </w:r>
          </w:p>
        </w:tc>
      </w:tr>
      <w:tr w:rsidR="00675FAC">
        <w:trPr>
          <w:jc w:val="center"/>
        </w:trPr>
        <w:tc>
          <w:tcPr>
            <w:tcW w:w="850" w:type="dxa"/>
            <w:vAlign w:val="center"/>
          </w:tcPr>
          <w:p w:rsidR="00675FAC" w:rsidRDefault="000E0187">
            <w:pPr>
              <w:jc w:val="center"/>
            </w:pPr>
            <w:r>
              <w:rPr>
                <w:color w:val="000000"/>
                <w:sz w:val="24"/>
                <w:szCs w:val="24"/>
              </w:rPr>
              <w:t>5</w:t>
            </w:r>
          </w:p>
        </w:tc>
        <w:tc>
          <w:tcPr>
            <w:tcW w:w="1475" w:type="dxa"/>
            <w:vAlign w:val="center"/>
          </w:tcPr>
          <w:p w:rsidR="00675FAC" w:rsidRDefault="000E0187">
            <w:pPr>
              <w:jc w:val="center"/>
            </w:pPr>
            <w:r>
              <w:rPr>
                <w:color w:val="000000"/>
                <w:sz w:val="24"/>
                <w:szCs w:val="24"/>
              </w:rPr>
              <w:t>128023</w:t>
            </w:r>
          </w:p>
        </w:tc>
        <w:tc>
          <w:tcPr>
            <w:tcW w:w="1769" w:type="dxa"/>
            <w:vAlign w:val="center"/>
          </w:tcPr>
          <w:p w:rsidR="00675FAC" w:rsidRDefault="000E0187">
            <w:pPr>
              <w:jc w:val="center"/>
            </w:pPr>
            <w:r>
              <w:rPr>
                <w:color w:val="000000"/>
                <w:sz w:val="24"/>
                <w:szCs w:val="24"/>
              </w:rPr>
              <w:t>亚太转债</w:t>
            </w:r>
          </w:p>
        </w:tc>
        <w:tc>
          <w:tcPr>
            <w:tcW w:w="1387" w:type="dxa"/>
            <w:vAlign w:val="center"/>
          </w:tcPr>
          <w:p w:rsidR="00675FAC" w:rsidRDefault="000E0187">
            <w:pPr>
              <w:jc w:val="right"/>
            </w:pPr>
            <w:r>
              <w:rPr>
                <w:color w:val="000000"/>
                <w:sz w:val="24"/>
                <w:szCs w:val="24"/>
              </w:rPr>
              <w:t>26</w:t>
            </w:r>
          </w:p>
        </w:tc>
        <w:tc>
          <w:tcPr>
            <w:tcW w:w="2150" w:type="dxa"/>
            <w:vAlign w:val="center"/>
          </w:tcPr>
          <w:p w:rsidR="00675FAC" w:rsidRDefault="000E0187">
            <w:pPr>
              <w:jc w:val="right"/>
            </w:pPr>
            <w:r>
              <w:rPr>
                <w:color w:val="000000"/>
                <w:sz w:val="24"/>
                <w:szCs w:val="24"/>
              </w:rPr>
              <w:t>2,282.28</w:t>
            </w:r>
          </w:p>
        </w:tc>
        <w:tc>
          <w:tcPr>
            <w:tcW w:w="1237" w:type="dxa"/>
            <w:vAlign w:val="center"/>
          </w:tcPr>
          <w:p w:rsidR="00675FAC" w:rsidRDefault="000E0187">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1,612,843.78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1,208,017.18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797,854.66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3,618,715.62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675FAC">
        <w:trPr>
          <w:jc w:val="center"/>
        </w:trPr>
        <w:tc>
          <w:tcPr>
            <w:tcW w:w="1883" w:type="dxa"/>
            <w:vAlign w:val="center"/>
          </w:tcPr>
          <w:p w:rsidR="00675FAC" w:rsidRDefault="000E0187">
            <w:pPr>
              <w:jc w:val="center"/>
            </w:pPr>
            <w:r>
              <w:rPr>
                <w:color w:val="000000"/>
                <w:sz w:val="24"/>
                <w:szCs w:val="24"/>
              </w:rPr>
              <w:t>1</w:t>
            </w:r>
          </w:p>
        </w:tc>
        <w:tc>
          <w:tcPr>
            <w:tcW w:w="1801" w:type="dxa"/>
            <w:vAlign w:val="center"/>
          </w:tcPr>
          <w:p w:rsidR="00675FAC" w:rsidRDefault="000E0187">
            <w:pPr>
              <w:jc w:val="center"/>
            </w:pPr>
            <w:r>
              <w:rPr>
                <w:color w:val="000000"/>
                <w:sz w:val="24"/>
                <w:szCs w:val="24"/>
              </w:rPr>
              <w:t>128035</w:t>
            </w:r>
          </w:p>
        </w:tc>
        <w:tc>
          <w:tcPr>
            <w:tcW w:w="1727" w:type="dxa"/>
            <w:vAlign w:val="center"/>
          </w:tcPr>
          <w:p w:rsidR="00675FAC" w:rsidRDefault="000E0187">
            <w:pPr>
              <w:jc w:val="center"/>
            </w:pPr>
            <w:r>
              <w:rPr>
                <w:color w:val="000000"/>
                <w:sz w:val="24"/>
                <w:szCs w:val="24"/>
              </w:rPr>
              <w:t>大族转债</w:t>
            </w:r>
          </w:p>
        </w:tc>
        <w:tc>
          <w:tcPr>
            <w:tcW w:w="1768" w:type="dxa"/>
            <w:vAlign w:val="center"/>
          </w:tcPr>
          <w:p w:rsidR="00675FAC" w:rsidRDefault="000E0187">
            <w:pPr>
              <w:jc w:val="right"/>
            </w:pPr>
            <w:r>
              <w:rPr>
                <w:color w:val="000000"/>
                <w:sz w:val="24"/>
                <w:szCs w:val="24"/>
              </w:rPr>
              <w:t>3,077,657.24</w:t>
            </w:r>
          </w:p>
        </w:tc>
        <w:tc>
          <w:tcPr>
            <w:tcW w:w="1689" w:type="dxa"/>
            <w:vAlign w:val="center"/>
          </w:tcPr>
          <w:p w:rsidR="00675FAC" w:rsidRDefault="000E0187">
            <w:pPr>
              <w:jc w:val="right"/>
            </w:pPr>
            <w:r>
              <w:rPr>
                <w:color w:val="000000"/>
                <w:sz w:val="24"/>
                <w:szCs w:val="24"/>
              </w:rPr>
              <w:t>0.10</w:t>
            </w:r>
          </w:p>
        </w:tc>
      </w:tr>
      <w:tr w:rsidR="00675FAC">
        <w:trPr>
          <w:jc w:val="center"/>
        </w:trPr>
        <w:tc>
          <w:tcPr>
            <w:tcW w:w="1883" w:type="dxa"/>
            <w:vAlign w:val="center"/>
          </w:tcPr>
          <w:p w:rsidR="00675FAC" w:rsidRDefault="000E0187">
            <w:pPr>
              <w:jc w:val="center"/>
            </w:pPr>
            <w:r>
              <w:rPr>
                <w:color w:val="000000"/>
                <w:sz w:val="24"/>
                <w:szCs w:val="24"/>
              </w:rPr>
              <w:t>2</w:t>
            </w:r>
          </w:p>
        </w:tc>
        <w:tc>
          <w:tcPr>
            <w:tcW w:w="1801" w:type="dxa"/>
            <w:vAlign w:val="center"/>
          </w:tcPr>
          <w:p w:rsidR="00675FAC" w:rsidRDefault="000E0187">
            <w:pPr>
              <w:jc w:val="center"/>
            </w:pPr>
            <w:r>
              <w:rPr>
                <w:color w:val="000000"/>
                <w:sz w:val="24"/>
                <w:szCs w:val="24"/>
              </w:rPr>
              <w:t>128023</w:t>
            </w:r>
          </w:p>
        </w:tc>
        <w:tc>
          <w:tcPr>
            <w:tcW w:w="1727" w:type="dxa"/>
            <w:vAlign w:val="center"/>
          </w:tcPr>
          <w:p w:rsidR="00675FAC" w:rsidRDefault="000E0187">
            <w:pPr>
              <w:jc w:val="center"/>
            </w:pPr>
            <w:r>
              <w:rPr>
                <w:color w:val="000000"/>
                <w:sz w:val="24"/>
                <w:szCs w:val="24"/>
              </w:rPr>
              <w:t>亚太转债</w:t>
            </w:r>
          </w:p>
        </w:tc>
        <w:tc>
          <w:tcPr>
            <w:tcW w:w="1768" w:type="dxa"/>
            <w:vAlign w:val="center"/>
          </w:tcPr>
          <w:p w:rsidR="00675FAC" w:rsidRDefault="000E0187">
            <w:pPr>
              <w:jc w:val="right"/>
            </w:pPr>
            <w:r>
              <w:rPr>
                <w:color w:val="000000"/>
                <w:sz w:val="24"/>
                <w:szCs w:val="24"/>
              </w:rPr>
              <w:t>2,282.28</w:t>
            </w:r>
          </w:p>
        </w:tc>
        <w:tc>
          <w:tcPr>
            <w:tcW w:w="1689" w:type="dxa"/>
            <w:vAlign w:val="center"/>
          </w:tcPr>
          <w:p w:rsidR="00675FAC" w:rsidRDefault="000E0187">
            <w:pPr>
              <w:jc w:val="right"/>
            </w:pPr>
            <w:r>
              <w:rPr>
                <w:color w:val="000000"/>
                <w:sz w:val="24"/>
                <w:szCs w:val="24"/>
              </w:rPr>
              <w:t>0.00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2,795,096,863.28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66,137,519.34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90,571,614.67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2,770,662,767.95</w:t>
            </w:r>
          </w:p>
        </w:tc>
      </w:tr>
    </w:tbl>
    <w:p w:rsidR="00675FAC" w:rsidRDefault="000E018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675FAC" w:rsidRDefault="000E018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675FAC" w:rsidRDefault="000E018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675FAC" w:rsidRDefault="000E018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675FAC" w:rsidRDefault="000E018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675FAC" w:rsidRDefault="000E0187">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675FAC" w:rsidRDefault="000E018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675FAC" w:rsidRDefault="000E018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675FAC" w:rsidRDefault="000E018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0E0187">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0E0187">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交银施罗德稳健配置混合型证券投资基金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0187"/>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5FA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6518888-634E-4852-BCC6-5D70FF3E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6B2F1-6441-44AE-92AD-9DAE4FC9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12</Pages>
  <Words>1114</Words>
  <Characters>6350</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杨书月</cp:lastModifiedBy>
  <cp:revision>579</cp:revision>
  <dcterms:created xsi:type="dcterms:W3CDTF">2012-10-16T06:07:00Z</dcterms:created>
  <dcterms:modified xsi:type="dcterms:W3CDTF">2019-01-11T01:57:00Z</dcterms:modified>
</cp:coreProperties>
</file>