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交银施罗德瑞鑫定期开放灵活配置混合型证券投资基金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基金托管人招商银行股份有限公司根据本基金合同规定，于2019年1月18日复核了本报告中的财务指标、净值表现和投资组合报告等内容，保证复核内容不存在虚假记载、误导性陈述或者重大遗漏。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2016年12月14日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300,204,259.10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50%×沪深300指数收益率+50%×中债综合全价指数收益率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-1,064,519.76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-5,152,958.35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-0.0172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335,446,521.81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-1.52%</w:t>
            </w:r>
          </w:p>
        </w:tc>
        <w:tc>
          <w:tcPr>
            <w:vAlign w:val="center"/>
          </w:tcPr>
          <w:p>
            <w:pPr>
              <w:jc w:val="center"/>
            </w:pPr>
            <w:r>
              <w:rPr>
                <w:color w:val="000000"/>
                <w:sz w:val="24"/>
                <w:szCs w:val="24"/>
              </w:rPr>
              <w:t>0.29%</w:t>
            </w:r>
          </w:p>
        </w:tc>
        <w:tc>
          <w:tcPr>
            <w:vAlign w:val="center"/>
          </w:tcPr>
          <w:p>
            <w:pPr>
              <w:jc w:val="center"/>
            </w:pPr>
            <w:r>
              <w:rPr>
                <w:color w:val="000000"/>
                <w:sz w:val="24"/>
                <w:szCs w:val="24"/>
              </w:rPr>
              <w:t>-5.31%</w:t>
            </w:r>
          </w:p>
        </w:tc>
        <w:tc>
          <w:tcPr>
            <w:vAlign w:val="center"/>
          </w:tcPr>
          <w:p>
            <w:pPr>
              <w:jc w:val="center"/>
            </w:pPr>
            <w:r>
              <w:rPr>
                <w:color w:val="000000"/>
                <w:sz w:val="24"/>
                <w:szCs w:val="24"/>
              </w:rPr>
              <w:t>0.81%</w:t>
            </w:r>
          </w:p>
        </w:tc>
        <w:tc>
          <w:tcPr>
            <w:vAlign w:val="center"/>
          </w:tcPr>
          <w:p>
            <w:pPr>
              <w:jc w:val="center"/>
            </w:pPr>
            <w:r>
              <w:rPr>
                <w:color w:val="000000"/>
                <w:sz w:val="24"/>
                <w:szCs w:val="24"/>
              </w:rPr>
              <w:t>3.79%</w:t>
            </w:r>
          </w:p>
        </w:tc>
        <w:tc>
          <w:tcPr>
            <w:vAlign w:val="center"/>
          </w:tcPr>
          <w:p>
            <w:pPr>
              <w:jc w:val="center"/>
            </w:pPr>
            <w:r>
              <w:rPr>
                <w:color w:val="000000"/>
                <w:sz w:val="24"/>
                <w:szCs w:val="24"/>
              </w:rPr>
              <w:t>-0.52%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2016年12月14日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优选回报灵活配置混合、交银优择回报灵活配置混合、交银领先回报灵活配置混合、交银瑞鑫定期开放灵活配置混合、交银裕祥纯债债券的基金经理</w:t>
            </w:r>
          </w:p>
        </w:tc>
        <w:tc>
          <w:tcPr>
            <w:vAlign w:val="center"/>
          </w:tcPr>
          <w:p>
            <w:pPr>
              <w:jc w:val="center"/>
            </w:pPr>
            <w:r>
              <w:rPr>
                <w:color w:val="000000"/>
                <w:sz w:val="24"/>
                <w:szCs w:val="24"/>
              </w:rPr>
              <w:t>2016-12-14</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国内经济增速呈现下行态势，通胀维持低位，市场在两条逻辑线条相互角力下演进，一方面是“宽信用”政策陆续出台，影响基本面预期，从而对债券市场形成阶段性扰动；另一方面，金融数据持续走弱，原油价格快速回落，美联储加息预期下行，工业企业利润和PMI数据走弱等因素，带动债券市场收益率再度下行。年末资金面呈现季节性结构性紧张，整个收益率曲线呈现牛平态势。权益市场在基本面预期下，面临风险偏好持续回落，呈现震荡下行态势。报告期内，上证综指和创业板指分别下跌11.61%和11.39%，十年期国债收益率大幅下行39BP至3.22%，十年期国开债收益率大幅下行56BP至3.65%。</w:t>
      </w:r>
    </w:p>
    <w:p>
      <w:pPr>
        <w:spacing w:before="29" w:line="288" w:lineRule="auto"/>
        <w:ind w:firstLine="480" w:firstLineChars="200"/>
        <w:rPr>
          <w:color w:val="000000"/>
          <w:sz w:val="24"/>
          <w:szCs w:val="24"/>
        </w:rPr>
      </w:pPr>
      <w:r>
        <w:rPr>
          <w:color w:val="000000"/>
          <w:sz w:val="24"/>
          <w:szCs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展望2019年一季度，市场对于基本面下滑的预期相对较为充分，需要关注基本面下滑预期的兑现路径；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58,322,993.64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13.82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58,322,993.64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13.82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337,095,000.00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79.86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337,095,000.00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79.86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21,302,935.15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5,403,794.53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422,124,723.32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5,612,000.00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1.67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26,529,660.40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5,023,806.20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2,025,527.04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16,774,000.00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2,358,000.00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58,322,993.64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1,600,000</w:t>
            </w:r>
          </w:p>
        </w:tc>
        <w:tc>
          <w:tcPr>
            <w:vAlign w:val="center"/>
          </w:tcPr>
          <w:p>
            <w:pPr>
              <w:jc w:val="right"/>
            </w:pPr>
            <w:r>
              <w:rPr>
                <w:color w:val="000000"/>
                <w:sz w:val="24"/>
                <w:szCs w:val="24"/>
              </w:rPr>
              <w:t>8,464,000.00</w:t>
            </w:r>
          </w:p>
        </w:tc>
        <w:tc>
          <w:tcPr>
            <w:vAlign w:val="center"/>
          </w:tcPr>
          <w:p>
            <w:pPr>
              <w:jc w:val="right"/>
            </w:pPr>
            <w:r>
              <w:rPr>
                <w:color w:val="000000"/>
                <w:sz w:val="24"/>
                <w:szCs w:val="24"/>
              </w:rPr>
              <w:t>2.52</w:t>
            </w:r>
          </w:p>
        </w:tc>
      </w:tr>
      <w:tr>
        <w:tc>
          <w:tcPr>
            <w:vAlign w:val="center"/>
          </w:tcPr>
          <w:p>
            <w:pPr>
              <w:jc w:val="center"/>
            </w:pPr>
            <w:r>
              <w:rPr>
                <w:color w:val="000000"/>
                <w:sz w:val="24"/>
                <w:szCs w:val="24"/>
              </w:rPr>
              <w:t>2</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13,000</w:t>
            </w:r>
          </w:p>
        </w:tc>
        <w:tc>
          <w:tcPr>
            <w:vAlign w:val="center"/>
          </w:tcPr>
          <w:p>
            <w:pPr>
              <w:jc w:val="right"/>
            </w:pPr>
            <w:r>
              <w:rPr>
                <w:color w:val="000000"/>
                <w:sz w:val="24"/>
                <w:szCs w:val="24"/>
              </w:rPr>
              <w:t>7,670,130.00</w:t>
            </w:r>
          </w:p>
        </w:tc>
        <w:tc>
          <w:tcPr>
            <w:vAlign w:val="center"/>
          </w:tcPr>
          <w:p>
            <w:pPr>
              <w:jc w:val="right"/>
            </w:pPr>
            <w:r>
              <w:rPr>
                <w:color w:val="000000"/>
                <w:sz w:val="24"/>
                <w:szCs w:val="24"/>
              </w:rPr>
              <w:t>2.29</w:t>
            </w:r>
          </w:p>
        </w:tc>
      </w:tr>
      <w:tr>
        <w:tc>
          <w:tcPr>
            <w:vAlign w:val="center"/>
          </w:tcPr>
          <w:p>
            <w:pPr>
              <w:jc w:val="center"/>
            </w:pPr>
            <w:r>
              <w:rPr>
                <w:color w:val="000000"/>
                <w:sz w:val="24"/>
                <w:szCs w:val="24"/>
              </w:rPr>
              <w:t>3</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250,000</w:t>
            </w:r>
          </w:p>
        </w:tc>
        <w:tc>
          <w:tcPr>
            <w:vAlign w:val="center"/>
          </w:tcPr>
          <w:p>
            <w:pPr>
              <w:jc w:val="right"/>
            </w:pPr>
            <w:r>
              <w:rPr>
                <w:color w:val="000000"/>
                <w:sz w:val="24"/>
                <w:szCs w:val="24"/>
              </w:rPr>
              <w:t>5,720,000.00</w:t>
            </w:r>
          </w:p>
        </w:tc>
        <w:tc>
          <w:tcPr>
            <w:vAlign w:val="center"/>
          </w:tcPr>
          <w:p>
            <w:pPr>
              <w:jc w:val="right"/>
            </w:pPr>
            <w:r>
              <w:rPr>
                <w:color w:val="000000"/>
                <w:sz w:val="24"/>
                <w:szCs w:val="24"/>
              </w:rPr>
              <w:t>1.71</w:t>
            </w:r>
          </w:p>
        </w:tc>
      </w:tr>
      <w:tr>
        <w:tc>
          <w:tcPr>
            <w:vAlign w:val="center"/>
          </w:tcPr>
          <w:p>
            <w:pPr>
              <w:jc w:val="center"/>
            </w:pPr>
            <w:r>
              <w:rPr>
                <w:color w:val="000000"/>
                <w:sz w:val="24"/>
                <w:szCs w:val="24"/>
              </w:rPr>
              <w:t>4</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80,000</w:t>
            </w:r>
          </w:p>
        </w:tc>
        <w:tc>
          <w:tcPr>
            <w:vAlign w:val="center"/>
          </w:tcPr>
          <w:p>
            <w:pPr>
              <w:jc w:val="right"/>
            </w:pPr>
            <w:r>
              <w:rPr>
                <w:color w:val="000000"/>
                <w:sz w:val="24"/>
                <w:szCs w:val="24"/>
              </w:rPr>
              <w:t>4,488,000.00</w:t>
            </w:r>
          </w:p>
        </w:tc>
        <w:tc>
          <w:tcPr>
            <w:vAlign w:val="center"/>
          </w:tcPr>
          <w:p>
            <w:pPr>
              <w:jc w:val="right"/>
            </w:pPr>
            <w:r>
              <w:rPr>
                <w:color w:val="000000"/>
                <w:sz w:val="24"/>
                <w:szCs w:val="24"/>
              </w:rPr>
              <w:t>1.34</w:t>
            </w:r>
          </w:p>
        </w:tc>
      </w:tr>
      <w:tr>
        <w:tc>
          <w:tcPr>
            <w:vAlign w:val="center"/>
          </w:tcPr>
          <w:p>
            <w:pPr>
              <w:jc w:val="center"/>
            </w:pPr>
            <w:r>
              <w:rPr>
                <w:color w:val="000000"/>
                <w:sz w:val="24"/>
                <w:szCs w:val="24"/>
              </w:rPr>
              <w:t>5</w:t>
            </w:r>
          </w:p>
        </w:tc>
        <w:tc>
          <w:tcPr>
            <w:vAlign w:val="center"/>
          </w:tcPr>
          <w:p>
            <w:pPr>
              <w:jc w:val="center"/>
            </w:pPr>
            <w:r>
              <w:rPr>
                <w:color w:val="000000"/>
                <w:sz w:val="24"/>
                <w:szCs w:val="24"/>
              </w:rPr>
              <w:t>601939</w:t>
            </w:r>
          </w:p>
        </w:tc>
        <w:tc>
          <w:tcPr>
            <w:vAlign w:val="center"/>
          </w:tcPr>
          <w:p>
            <w:pPr>
              <w:jc w:val="center"/>
            </w:pPr>
            <w:r>
              <w:rPr>
                <w:color w:val="000000"/>
                <w:sz w:val="24"/>
                <w:szCs w:val="24"/>
              </w:rPr>
              <w:t>建设银行</w:t>
            </w:r>
          </w:p>
        </w:tc>
        <w:tc>
          <w:tcPr>
            <w:vAlign w:val="center"/>
          </w:tcPr>
          <w:p>
            <w:pPr>
              <w:jc w:val="right"/>
            </w:pPr>
            <w:r>
              <w:rPr>
                <w:color w:val="000000"/>
                <w:sz w:val="24"/>
                <w:szCs w:val="24"/>
              </w:rPr>
              <w:t>600,000</w:t>
            </w:r>
          </w:p>
        </w:tc>
        <w:tc>
          <w:tcPr>
            <w:vAlign w:val="center"/>
          </w:tcPr>
          <w:p>
            <w:pPr>
              <w:jc w:val="right"/>
            </w:pPr>
            <w:r>
              <w:rPr>
                <w:color w:val="000000"/>
                <w:sz w:val="24"/>
                <w:szCs w:val="24"/>
              </w:rPr>
              <w:t>3,822,000.00</w:t>
            </w:r>
          </w:p>
        </w:tc>
        <w:tc>
          <w:tcPr>
            <w:vAlign w:val="center"/>
          </w:tcPr>
          <w:p>
            <w:pPr>
              <w:jc w:val="right"/>
            </w:pPr>
            <w:r>
              <w:rPr>
                <w:color w:val="000000"/>
                <w:sz w:val="24"/>
                <w:szCs w:val="24"/>
              </w:rPr>
              <w:t>1.14</w:t>
            </w:r>
          </w:p>
        </w:tc>
      </w:tr>
      <w:tr>
        <w:tc>
          <w:tcPr>
            <w:vAlign w:val="center"/>
          </w:tcPr>
          <w:p>
            <w:pPr>
              <w:jc w:val="center"/>
            </w:pPr>
            <w:r>
              <w:rPr>
                <w:color w:val="000000"/>
                <w:sz w:val="24"/>
                <w:szCs w:val="24"/>
              </w:rPr>
              <w:t>6</w:t>
            </w:r>
          </w:p>
        </w:tc>
        <w:tc>
          <w:tcPr>
            <w:vAlign w:val="center"/>
          </w:tcPr>
          <w:p>
            <w:pPr>
              <w:jc w:val="center"/>
            </w:pPr>
            <w:r>
              <w:rPr>
                <w:color w:val="000000"/>
                <w:sz w:val="24"/>
                <w:szCs w:val="24"/>
              </w:rPr>
              <w:t>601088</w:t>
            </w:r>
          </w:p>
        </w:tc>
        <w:tc>
          <w:tcPr>
            <w:vAlign w:val="center"/>
          </w:tcPr>
          <w:p>
            <w:pPr>
              <w:jc w:val="center"/>
            </w:pPr>
            <w:r>
              <w:rPr>
                <w:color w:val="000000"/>
                <w:sz w:val="24"/>
                <w:szCs w:val="24"/>
              </w:rPr>
              <w:t>中国神华</w:t>
            </w:r>
          </w:p>
        </w:tc>
        <w:tc>
          <w:tcPr>
            <w:vAlign w:val="center"/>
          </w:tcPr>
          <w:p>
            <w:pPr>
              <w:jc w:val="right"/>
            </w:pPr>
            <w:r>
              <w:rPr>
                <w:color w:val="000000"/>
                <w:sz w:val="24"/>
                <w:szCs w:val="24"/>
              </w:rPr>
              <w:t>200,000</w:t>
            </w:r>
          </w:p>
        </w:tc>
        <w:tc>
          <w:tcPr>
            <w:vAlign w:val="center"/>
          </w:tcPr>
          <w:p>
            <w:pPr>
              <w:jc w:val="right"/>
            </w:pPr>
            <w:r>
              <w:rPr>
                <w:color w:val="000000"/>
                <w:sz w:val="24"/>
                <w:szCs w:val="24"/>
              </w:rPr>
              <w:t>3,592,000.00</w:t>
            </w:r>
          </w:p>
        </w:tc>
        <w:tc>
          <w:tcPr>
            <w:vAlign w:val="center"/>
          </w:tcPr>
          <w:p>
            <w:pPr>
              <w:jc w:val="right"/>
            </w:pPr>
            <w:r>
              <w:rPr>
                <w:color w:val="000000"/>
                <w:sz w:val="24"/>
                <w:szCs w:val="24"/>
              </w:rPr>
              <w:t>1.07</w:t>
            </w:r>
          </w:p>
        </w:tc>
      </w:tr>
      <w:tr>
        <w:tc>
          <w:tcPr>
            <w:vAlign w:val="center"/>
          </w:tcPr>
          <w:p>
            <w:pPr>
              <w:jc w:val="center"/>
            </w:pPr>
            <w:r>
              <w:rPr>
                <w:color w:val="000000"/>
                <w:sz w:val="24"/>
                <w:szCs w:val="24"/>
              </w:rPr>
              <w:t>7</w:t>
            </w:r>
          </w:p>
        </w:tc>
        <w:tc>
          <w:tcPr>
            <w:vAlign w:val="center"/>
          </w:tcPr>
          <w:p>
            <w:pPr>
              <w:jc w:val="center"/>
            </w:pPr>
            <w:r>
              <w:rPr>
                <w:color w:val="000000"/>
                <w:sz w:val="24"/>
                <w:szCs w:val="24"/>
              </w:rPr>
              <w:t>601668</w:t>
            </w:r>
          </w:p>
        </w:tc>
        <w:tc>
          <w:tcPr>
            <w:vAlign w:val="center"/>
          </w:tcPr>
          <w:p>
            <w:pPr>
              <w:jc w:val="center"/>
            </w:pPr>
            <w:r>
              <w:rPr>
                <w:color w:val="000000"/>
                <w:sz w:val="24"/>
                <w:szCs w:val="24"/>
              </w:rPr>
              <w:t>中国建筑</w:t>
            </w:r>
          </w:p>
        </w:tc>
        <w:tc>
          <w:tcPr>
            <w:vAlign w:val="center"/>
          </w:tcPr>
          <w:p>
            <w:pPr>
              <w:jc w:val="right"/>
            </w:pPr>
            <w:r>
              <w:rPr>
                <w:color w:val="000000"/>
                <w:sz w:val="24"/>
                <w:szCs w:val="24"/>
              </w:rPr>
              <w:t>499,966</w:t>
            </w:r>
          </w:p>
        </w:tc>
        <w:tc>
          <w:tcPr>
            <w:vAlign w:val="center"/>
          </w:tcPr>
          <w:p>
            <w:pPr>
              <w:jc w:val="right"/>
            </w:pPr>
            <w:r>
              <w:rPr>
                <w:color w:val="000000"/>
                <w:sz w:val="24"/>
                <w:szCs w:val="24"/>
              </w:rPr>
              <w:t>2,849,806.20</w:t>
            </w:r>
          </w:p>
        </w:tc>
        <w:tc>
          <w:tcPr>
            <w:vAlign w:val="center"/>
          </w:tcPr>
          <w:p>
            <w:pPr>
              <w:jc w:val="right"/>
            </w:pPr>
            <w:r>
              <w:rPr>
                <w:color w:val="000000"/>
                <w:sz w:val="24"/>
                <w:szCs w:val="24"/>
              </w:rPr>
              <w:t>0.85</w:t>
            </w:r>
          </w:p>
        </w:tc>
      </w:tr>
      <w:tr>
        <w:tc>
          <w:tcPr>
            <w:vAlign w:val="center"/>
          </w:tcPr>
          <w:p>
            <w:pPr>
              <w:jc w:val="center"/>
            </w:pPr>
            <w:r>
              <w:rPr>
                <w:color w:val="000000"/>
                <w:sz w:val="24"/>
                <w:szCs w:val="24"/>
              </w:rPr>
              <w:t>8</w:t>
            </w:r>
          </w:p>
        </w:tc>
        <w:tc>
          <w:tcPr>
            <w:vAlign w:val="center"/>
          </w:tcPr>
          <w:p>
            <w:pPr>
              <w:jc w:val="center"/>
            </w:pPr>
            <w:r>
              <w:rPr>
                <w:color w:val="000000"/>
                <w:sz w:val="24"/>
                <w:szCs w:val="24"/>
              </w:rPr>
              <w:t>601766</w:t>
            </w:r>
          </w:p>
        </w:tc>
        <w:tc>
          <w:tcPr>
            <w:vAlign w:val="center"/>
          </w:tcPr>
          <w:p>
            <w:pPr>
              <w:jc w:val="center"/>
            </w:pPr>
            <w:r>
              <w:rPr>
                <w:color w:val="000000"/>
                <w:sz w:val="24"/>
                <w:szCs w:val="24"/>
              </w:rPr>
              <w:t>中国中车</w:t>
            </w:r>
          </w:p>
        </w:tc>
        <w:tc>
          <w:tcPr>
            <w:vAlign w:val="center"/>
          </w:tcPr>
          <w:p>
            <w:pPr>
              <w:jc w:val="right"/>
            </w:pPr>
            <w:r>
              <w:rPr>
                <w:color w:val="000000"/>
                <w:sz w:val="24"/>
                <w:szCs w:val="24"/>
              </w:rPr>
              <w:t>300,000</w:t>
            </w:r>
          </w:p>
        </w:tc>
        <w:tc>
          <w:tcPr>
            <w:vAlign w:val="center"/>
          </w:tcPr>
          <w:p>
            <w:pPr>
              <w:jc w:val="right"/>
            </w:pPr>
            <w:r>
              <w:rPr>
                <w:color w:val="000000"/>
                <w:sz w:val="24"/>
                <w:szCs w:val="24"/>
              </w:rPr>
              <w:t>2,706,000.00</w:t>
            </w:r>
          </w:p>
        </w:tc>
        <w:tc>
          <w:tcPr>
            <w:vAlign w:val="center"/>
          </w:tcPr>
          <w:p>
            <w:pPr>
              <w:jc w:val="right"/>
            </w:pPr>
            <w:r>
              <w:rPr>
                <w:color w:val="000000"/>
                <w:sz w:val="24"/>
                <w:szCs w:val="24"/>
              </w:rPr>
              <w:t>0.81</w:t>
            </w:r>
          </w:p>
        </w:tc>
      </w:tr>
      <w:tr>
        <w:tc>
          <w:tcPr>
            <w:vAlign w:val="center"/>
          </w:tcPr>
          <w:p>
            <w:pPr>
              <w:jc w:val="center"/>
            </w:pPr>
            <w:r>
              <w:rPr>
                <w:color w:val="000000"/>
                <w:sz w:val="24"/>
                <w:szCs w:val="24"/>
              </w:rPr>
              <w:t>9</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50,000</w:t>
            </w:r>
          </w:p>
        </w:tc>
        <w:tc>
          <w:tcPr>
            <w:vAlign w:val="center"/>
          </w:tcPr>
          <w:p>
            <w:pPr>
              <w:jc w:val="right"/>
            </w:pPr>
            <w:r>
              <w:rPr>
                <w:color w:val="000000"/>
                <w:sz w:val="24"/>
                <w:szCs w:val="24"/>
              </w:rPr>
              <w:t>2,637,500.00</w:t>
            </w:r>
          </w:p>
        </w:tc>
        <w:tc>
          <w:tcPr>
            <w:vAlign w:val="center"/>
          </w:tcPr>
          <w:p>
            <w:pPr>
              <w:jc w:val="right"/>
            </w:pPr>
            <w:r>
              <w:rPr>
                <w:color w:val="000000"/>
                <w:sz w:val="24"/>
                <w:szCs w:val="24"/>
              </w:rPr>
              <w:t>0.79</w:t>
            </w:r>
          </w:p>
        </w:tc>
      </w:tr>
      <w:tr>
        <w:tc>
          <w:tcPr>
            <w:vAlign w:val="center"/>
          </w:tcPr>
          <w:p>
            <w:pPr>
              <w:jc w:val="center"/>
            </w:pPr>
            <w:r>
              <w:rPr>
                <w:color w:val="000000"/>
                <w:sz w:val="24"/>
                <w:szCs w:val="24"/>
              </w:rPr>
              <w:t>10</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200,000</w:t>
            </w:r>
          </w:p>
        </w:tc>
        <w:tc>
          <w:tcPr>
            <w:vAlign w:val="center"/>
          </w:tcPr>
          <w:p>
            <w:pPr>
              <w:jc w:val="right"/>
            </w:pPr>
            <w:r>
              <w:rPr>
                <w:color w:val="000000"/>
                <w:sz w:val="24"/>
                <w:szCs w:val="24"/>
              </w:rPr>
              <w:t>2,358,000.00</w:t>
            </w:r>
          </w:p>
        </w:tc>
        <w:tc>
          <w:tcPr>
            <w:vAlign w:val="center"/>
          </w:tcPr>
          <w:p>
            <w:pPr>
              <w:jc w:val="right"/>
            </w:pPr>
            <w:r>
              <w:rPr>
                <w:color w:val="000000"/>
                <w:sz w:val="24"/>
                <w:szCs w:val="24"/>
              </w:rPr>
              <w:t>0.70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63,950,000.00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19.06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63,950,000.00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19.06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154,637,000.00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46.10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60,420,000.00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18.01</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58,014,000.00</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17.29</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337,095,000.00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100.49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180205</w:t>
            </w:r>
          </w:p>
        </w:tc>
        <w:tc>
          <w:tcPr>
            <w:vAlign w:val="center"/>
          </w:tcPr>
          <w:p>
            <w:pPr>
              <w:jc w:val="center"/>
            </w:pPr>
            <w:r>
              <w:rPr>
                <w:color w:val="000000"/>
                <w:sz w:val="24"/>
                <w:szCs w:val="24"/>
              </w:rPr>
              <w:t>18国开05</w:t>
            </w:r>
          </w:p>
        </w:tc>
        <w:tc>
          <w:tcPr>
            <w:vAlign w:val="center"/>
          </w:tcPr>
          <w:p>
            <w:pPr>
              <w:jc w:val="right"/>
            </w:pPr>
            <w:r>
              <w:rPr>
                <w:color w:val="000000"/>
                <w:sz w:val="24"/>
                <w:szCs w:val="24"/>
              </w:rPr>
              <w:t>400,000</w:t>
            </w:r>
          </w:p>
        </w:tc>
        <w:tc>
          <w:tcPr>
            <w:vAlign w:val="center"/>
          </w:tcPr>
          <w:p>
            <w:pPr>
              <w:jc w:val="right"/>
            </w:pPr>
            <w:r>
              <w:rPr>
                <w:color w:val="000000"/>
                <w:sz w:val="24"/>
                <w:szCs w:val="24"/>
              </w:rPr>
              <w:t>43,584,000.00</w:t>
            </w:r>
          </w:p>
        </w:tc>
        <w:tc>
          <w:tcPr>
            <w:vAlign w:val="center"/>
          </w:tcPr>
          <w:p>
            <w:pPr>
              <w:jc w:val="right"/>
            </w:pPr>
            <w:r>
              <w:rPr>
                <w:color w:val="000000"/>
                <w:sz w:val="24"/>
                <w:szCs w:val="24"/>
              </w:rPr>
              <w:t>12.99</w:t>
            </w:r>
          </w:p>
        </w:tc>
      </w:tr>
      <w:tr>
        <w:tc>
          <w:tcPr>
            <w:vAlign w:val="center"/>
          </w:tcPr>
          <w:p>
            <w:pPr>
              <w:jc w:val="center"/>
            </w:pPr>
            <w:r>
              <w:rPr>
                <w:color w:val="000000"/>
                <w:sz w:val="24"/>
                <w:szCs w:val="24"/>
              </w:rPr>
              <w:t>2</w:t>
            </w:r>
          </w:p>
        </w:tc>
        <w:tc>
          <w:tcPr>
            <w:vAlign w:val="center"/>
          </w:tcPr>
          <w:p>
            <w:pPr>
              <w:jc w:val="center"/>
            </w:pPr>
            <w:r>
              <w:rPr>
                <w:color w:val="000000"/>
                <w:sz w:val="24"/>
                <w:szCs w:val="24"/>
              </w:rPr>
              <w:t>111812224</w:t>
            </w:r>
          </w:p>
        </w:tc>
        <w:tc>
          <w:tcPr>
            <w:vAlign w:val="center"/>
          </w:tcPr>
          <w:p>
            <w:pPr>
              <w:jc w:val="center"/>
            </w:pPr>
            <w:r>
              <w:rPr>
                <w:color w:val="000000"/>
                <w:sz w:val="24"/>
                <w:szCs w:val="24"/>
              </w:rPr>
              <w:t>18北京银行CD224</w:t>
            </w:r>
          </w:p>
        </w:tc>
        <w:tc>
          <w:tcPr>
            <w:vAlign w:val="center"/>
          </w:tcPr>
          <w:p>
            <w:pPr>
              <w:jc w:val="right"/>
            </w:pPr>
            <w:r>
              <w:rPr>
                <w:color w:val="000000"/>
                <w:sz w:val="24"/>
                <w:szCs w:val="24"/>
              </w:rPr>
              <w:t>400,000</w:t>
            </w:r>
          </w:p>
        </w:tc>
        <w:tc>
          <w:tcPr>
            <w:vAlign w:val="center"/>
          </w:tcPr>
          <w:p>
            <w:pPr>
              <w:jc w:val="right"/>
            </w:pPr>
            <w:r>
              <w:rPr>
                <w:color w:val="000000"/>
                <w:sz w:val="24"/>
                <w:szCs w:val="24"/>
              </w:rPr>
              <w:t>38,676,000.00</w:t>
            </w:r>
          </w:p>
        </w:tc>
        <w:tc>
          <w:tcPr>
            <w:vAlign w:val="center"/>
          </w:tcPr>
          <w:p>
            <w:pPr>
              <w:jc w:val="right"/>
            </w:pPr>
            <w:r>
              <w:rPr>
                <w:color w:val="000000"/>
                <w:sz w:val="24"/>
                <w:szCs w:val="24"/>
              </w:rPr>
              <w:t>11.53</w:t>
            </w:r>
          </w:p>
        </w:tc>
      </w:tr>
      <w:tr>
        <w:tc>
          <w:tcPr>
            <w:vAlign w:val="center"/>
          </w:tcPr>
          <w:p>
            <w:pPr>
              <w:jc w:val="center"/>
            </w:pPr>
            <w:r>
              <w:rPr>
                <w:color w:val="000000"/>
                <w:sz w:val="24"/>
                <w:szCs w:val="24"/>
              </w:rPr>
              <w:t>3</w:t>
            </w:r>
          </w:p>
        </w:tc>
        <w:tc>
          <w:tcPr>
            <w:vAlign w:val="center"/>
          </w:tcPr>
          <w:p>
            <w:pPr>
              <w:jc w:val="center"/>
            </w:pPr>
            <w:r>
              <w:rPr>
                <w:color w:val="000000"/>
                <w:sz w:val="24"/>
                <w:szCs w:val="24"/>
              </w:rPr>
              <w:t>180208</w:t>
            </w:r>
          </w:p>
        </w:tc>
        <w:tc>
          <w:tcPr>
            <w:vAlign w:val="center"/>
          </w:tcPr>
          <w:p>
            <w:pPr>
              <w:jc w:val="center"/>
            </w:pPr>
            <w:r>
              <w:rPr>
                <w:color w:val="000000"/>
                <w:sz w:val="24"/>
                <w:szCs w:val="24"/>
              </w:rPr>
              <w:t>18国开08</w:t>
            </w:r>
          </w:p>
        </w:tc>
        <w:tc>
          <w:tcPr>
            <w:vAlign w:val="center"/>
          </w:tcPr>
          <w:p>
            <w:pPr>
              <w:jc w:val="right"/>
            </w:pPr>
            <w:r>
              <w:rPr>
                <w:color w:val="000000"/>
                <w:sz w:val="24"/>
                <w:szCs w:val="24"/>
              </w:rPr>
              <w:t>200,000</w:t>
            </w:r>
          </w:p>
        </w:tc>
        <w:tc>
          <w:tcPr>
            <w:vAlign w:val="center"/>
          </w:tcPr>
          <w:p>
            <w:pPr>
              <w:jc w:val="right"/>
            </w:pPr>
            <w:r>
              <w:rPr>
                <w:color w:val="000000"/>
                <w:sz w:val="24"/>
                <w:szCs w:val="24"/>
              </w:rPr>
              <w:t>20,366,000.00</w:t>
            </w:r>
          </w:p>
        </w:tc>
        <w:tc>
          <w:tcPr>
            <w:vAlign w:val="center"/>
          </w:tcPr>
          <w:p>
            <w:pPr>
              <w:jc w:val="right"/>
            </w:pPr>
            <w:r>
              <w:rPr>
                <w:color w:val="000000"/>
                <w:sz w:val="24"/>
                <w:szCs w:val="24"/>
              </w:rPr>
              <w:t>6.07</w:t>
            </w:r>
          </w:p>
        </w:tc>
      </w:tr>
      <w:tr>
        <w:tc>
          <w:tcPr>
            <w:vAlign w:val="center"/>
          </w:tcPr>
          <w:p>
            <w:pPr>
              <w:jc w:val="center"/>
            </w:pPr>
            <w:r>
              <w:rPr>
                <w:color w:val="000000"/>
                <w:sz w:val="24"/>
                <w:szCs w:val="24"/>
              </w:rPr>
              <w:t>4</w:t>
            </w:r>
          </w:p>
        </w:tc>
        <w:tc>
          <w:tcPr>
            <w:vAlign w:val="center"/>
          </w:tcPr>
          <w:p>
            <w:pPr>
              <w:jc w:val="center"/>
            </w:pPr>
            <w:r>
              <w:rPr>
                <w:color w:val="000000"/>
                <w:sz w:val="24"/>
                <w:szCs w:val="24"/>
              </w:rPr>
              <w:t>143725</w:t>
            </w:r>
          </w:p>
        </w:tc>
        <w:tc>
          <w:tcPr>
            <w:vAlign w:val="center"/>
          </w:tcPr>
          <w:p>
            <w:pPr>
              <w:jc w:val="center"/>
            </w:pPr>
            <w:r>
              <w:rPr>
                <w:color w:val="000000"/>
                <w:sz w:val="24"/>
                <w:szCs w:val="24"/>
              </w:rPr>
              <w:t>18光明01</w:t>
            </w:r>
          </w:p>
        </w:tc>
        <w:tc>
          <w:tcPr>
            <w:vAlign w:val="center"/>
          </w:tcPr>
          <w:p>
            <w:pPr>
              <w:jc w:val="right"/>
            </w:pPr>
            <w:r>
              <w:rPr>
                <w:color w:val="000000"/>
                <w:sz w:val="24"/>
                <w:szCs w:val="24"/>
              </w:rPr>
              <w:t>200,000</w:t>
            </w:r>
          </w:p>
        </w:tc>
        <w:tc>
          <w:tcPr>
            <w:vAlign w:val="center"/>
          </w:tcPr>
          <w:p>
            <w:pPr>
              <w:jc w:val="right"/>
            </w:pPr>
            <w:r>
              <w:rPr>
                <w:color w:val="000000"/>
                <w:sz w:val="24"/>
                <w:szCs w:val="24"/>
              </w:rPr>
              <w:t>20,250,000.00</w:t>
            </w:r>
          </w:p>
        </w:tc>
        <w:tc>
          <w:tcPr>
            <w:vAlign w:val="center"/>
          </w:tcPr>
          <w:p>
            <w:pPr>
              <w:jc w:val="right"/>
            </w:pPr>
            <w:r>
              <w:rPr>
                <w:color w:val="000000"/>
                <w:sz w:val="24"/>
                <w:szCs w:val="24"/>
              </w:rPr>
              <w:t>6.04</w:t>
            </w:r>
          </w:p>
        </w:tc>
      </w:tr>
      <w:tr>
        <w:tc>
          <w:tcPr>
            <w:vAlign w:val="center"/>
          </w:tcPr>
          <w:p>
            <w:pPr>
              <w:jc w:val="center"/>
            </w:pPr>
            <w:r>
              <w:rPr>
                <w:color w:val="000000"/>
                <w:sz w:val="24"/>
                <w:szCs w:val="24"/>
              </w:rPr>
              <w:t>5</w:t>
            </w:r>
          </w:p>
        </w:tc>
        <w:tc>
          <w:tcPr>
            <w:vAlign w:val="center"/>
          </w:tcPr>
          <w:p>
            <w:pPr>
              <w:jc w:val="center"/>
            </w:pPr>
            <w:r>
              <w:rPr>
                <w:color w:val="000000"/>
                <w:sz w:val="24"/>
                <w:szCs w:val="24"/>
              </w:rPr>
              <w:t>011801217</w:t>
            </w:r>
          </w:p>
        </w:tc>
        <w:tc>
          <w:tcPr>
            <w:vAlign w:val="center"/>
          </w:tcPr>
          <w:p>
            <w:pPr>
              <w:jc w:val="center"/>
            </w:pPr>
            <w:r>
              <w:rPr>
                <w:color w:val="000000"/>
                <w:sz w:val="24"/>
                <w:szCs w:val="24"/>
              </w:rPr>
              <w:t>18中原高速SCP003</w:t>
            </w:r>
          </w:p>
        </w:tc>
        <w:tc>
          <w:tcPr>
            <w:vAlign w:val="center"/>
          </w:tcPr>
          <w:p>
            <w:pPr>
              <w:jc w:val="right"/>
            </w:pPr>
            <w:r>
              <w:rPr>
                <w:color w:val="000000"/>
                <w:sz w:val="24"/>
                <w:szCs w:val="24"/>
              </w:rPr>
              <w:t>200,000</w:t>
            </w:r>
          </w:p>
        </w:tc>
        <w:tc>
          <w:tcPr>
            <w:vAlign w:val="center"/>
          </w:tcPr>
          <w:p>
            <w:pPr>
              <w:jc w:val="right"/>
            </w:pPr>
            <w:r>
              <w:rPr>
                <w:color w:val="000000"/>
                <w:sz w:val="24"/>
                <w:szCs w:val="24"/>
              </w:rPr>
              <w:t>20,164,000.00</w:t>
            </w:r>
          </w:p>
        </w:tc>
        <w:tc>
          <w:tcPr>
            <w:vAlign w:val="center"/>
          </w:tcPr>
          <w:p>
            <w:pPr>
              <w:jc w:val="right"/>
            </w:pPr>
            <w:r>
              <w:rPr>
                <w:color w:val="000000"/>
                <w:sz w:val="24"/>
                <w:szCs w:val="24"/>
              </w:rPr>
              <w:t>6.01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7,861.38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5,395,933.15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5,403,794.53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300,204,259.10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300,204,259.10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99.93%</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1、中国证监会准予交银施罗德瑞鑫定期开放灵活配置混合型证券投资基金募集注册的文件；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2、《交银施罗德瑞鑫定期开放灵活配置混合型证券投资基金基金合同》；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3、《交银施罗德瑞鑫定期开放灵活配置混合型证券投资基金招募说明书》；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4、《交银施罗德瑞鑫定期开放灵活配置混合型证券投资基金托管协议》；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5、关于申请募集注册交银施罗德瑞鑫定期开放灵活配置混合型证券投资基金的法律意见书；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8、报告期内交银施罗德瑞鑫定期开放灵活配置混合型证券投资基金在指定报刊上各项公告的原稿。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交银施罗德瑞鑫定期开放灵活配置混合型证券投资基金2018年第4季度报告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