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交银施罗德先锋混合型证券投资基金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2009年4月10日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990,076,770.97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75%×中证700指数+25%×中证综合债券指数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-77,786,322.93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-148,022,107.97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-0.1519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1,012,505,058.46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1.0227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-13.22%</w:t>
            </w:r>
          </w:p>
        </w:tc>
        <w:tc>
          <w:tcPr>
            <w:vAlign w:val="center"/>
          </w:tcPr>
          <w:p>
            <w:pPr>
              <w:jc w:val="center"/>
            </w:pPr>
            <w:r>
              <w:rPr>
                <w:color w:val="000000"/>
                <w:sz w:val="24"/>
                <w:szCs w:val="24"/>
              </w:rPr>
              <w:t>1.97%</w:t>
            </w:r>
          </w:p>
        </w:tc>
        <w:tc>
          <w:tcPr>
            <w:vAlign w:val="center"/>
          </w:tcPr>
          <w:p>
            <w:pPr>
              <w:jc w:val="center"/>
            </w:pPr>
            <w:r>
              <w:rPr>
                <w:color w:val="000000"/>
                <w:sz w:val="24"/>
                <w:szCs w:val="24"/>
              </w:rPr>
              <w:t>-8.98%</w:t>
            </w:r>
          </w:p>
        </w:tc>
        <w:tc>
          <w:tcPr>
            <w:vAlign w:val="center"/>
          </w:tcPr>
          <w:p>
            <w:pPr>
              <w:jc w:val="center"/>
            </w:pPr>
            <w:r>
              <w:rPr>
                <w:color w:val="000000"/>
                <w:sz w:val="24"/>
                <w:szCs w:val="24"/>
              </w:rPr>
              <w:t>1.36%</w:t>
            </w:r>
          </w:p>
        </w:tc>
        <w:tc>
          <w:tcPr>
            <w:vAlign w:val="center"/>
          </w:tcPr>
          <w:p>
            <w:pPr>
              <w:jc w:val="center"/>
            </w:pPr>
            <w:r>
              <w:rPr>
                <w:color w:val="000000"/>
                <w:sz w:val="24"/>
                <w:szCs w:val="24"/>
              </w:rPr>
              <w:t>-4.24%</w:t>
            </w:r>
          </w:p>
        </w:tc>
        <w:tc>
          <w:tcPr>
            <w:vAlign w:val="center"/>
          </w:tcPr>
          <w:p>
            <w:pPr>
              <w:jc w:val="center"/>
            </w:pPr>
            <w:r>
              <w:rPr>
                <w:color w:val="000000"/>
                <w:sz w:val="24"/>
                <w:szCs w:val="24"/>
              </w:rPr>
              <w:t>0.61%</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700指数+25%×中信全债指数”变更为“75%×中证700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交银施罗德先锋混合型证券投资基金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2009年4月10日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交银先锋混合、交银科技创新灵活配置混合、交银数据产业灵活配置混合的基金经理</w:t>
            </w:r>
          </w:p>
        </w:tc>
        <w:tc>
          <w:tcPr>
            <w:vAlign w:val="center"/>
          </w:tcPr>
          <w:p>
            <w:pPr>
              <w:jc w:val="center"/>
            </w:pPr>
            <w:r>
              <w:rPr>
                <w:color w:val="000000"/>
                <w:sz w:val="24"/>
                <w:szCs w:val="24"/>
              </w:rPr>
              <w:t>2015-05-18</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四季度，由于房地产销售增速下滑，从而带动整个宏观经济增速下滑，同样消费受整体宏观经济影响增速也开始下滑。贸易战不确定性仍然存在，受美国持续加息的影响，全球资产价格都承受压力，美股持续大幅调整，国内股票市场受宏观增速下滑和贸易战影响也持续调整。</w:t>
      </w:r>
    </w:p>
    <w:p>
      <w:pPr>
        <w:spacing w:before="29" w:line="288" w:lineRule="auto"/>
        <w:ind w:firstLine="480" w:firstLineChars="200"/>
        <w:rPr>
          <w:color w:val="000000"/>
          <w:sz w:val="24"/>
          <w:szCs w:val="24"/>
        </w:rPr>
      </w:pPr>
      <w:r>
        <w:rPr>
          <w:color w:val="000000"/>
          <w:sz w:val="24"/>
          <w:szCs w:val="24"/>
        </w:rPr>
        <w:t>我们在四季度坚持选择不受宏观经济总量影响或少受影响的行业，持有业绩持续有正增长的个股。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xml:space="preserve">展望2019年一季度，我们认为随着宏观经济的下行，个股的盈利下调刚刚开始，但是由于2018年全年上证指数下跌了24.59%，创业板综合指数下跌了31.12%，已经提前反映了这种盈利下滑的预期，预计2019年股票市场整体估值压缩的空间不大。本基金将致力于寻找盈利不受宏观影响还能持续增长的个股，努力提升组合收益水平。 </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958,351,525.14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93.63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958,351,525.14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93.63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45,528,300.00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45,528,300.00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17,649,421.28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1,976,306.07</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0.19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1,023,505,552.49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604,659,550.00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302,350,258.64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51,341,716.50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958,351,525.14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94.65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4,428,252</w:t>
            </w:r>
          </w:p>
        </w:tc>
        <w:tc>
          <w:tcPr>
            <w:vAlign w:val="center"/>
          </w:tcPr>
          <w:p>
            <w:pPr>
              <w:jc w:val="right"/>
            </w:pPr>
            <w:r>
              <w:rPr>
                <w:color w:val="000000"/>
                <w:sz w:val="24"/>
                <w:szCs w:val="24"/>
              </w:rPr>
              <w:t>92,550,466.80</w:t>
            </w:r>
          </w:p>
        </w:tc>
        <w:tc>
          <w:tcPr>
            <w:vAlign w:val="center"/>
          </w:tcPr>
          <w:p>
            <w:pPr>
              <w:jc w:val="right"/>
            </w:pPr>
            <w:r>
              <w:rPr>
                <w:color w:val="000000"/>
                <w:sz w:val="24"/>
                <w:szCs w:val="24"/>
              </w:rPr>
              <w:t>9.14</w:t>
            </w:r>
          </w:p>
        </w:tc>
      </w:tr>
      <w:tr>
        <w:tc>
          <w:tcPr>
            <w:vAlign w:val="center"/>
          </w:tcPr>
          <w:p>
            <w:pPr>
              <w:jc w:val="center"/>
            </w:pPr>
            <w:r>
              <w:rPr>
                <w:color w:val="000000"/>
                <w:sz w:val="24"/>
                <w:szCs w:val="24"/>
              </w:rPr>
              <w:t>2</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1,933,416</w:t>
            </w:r>
          </w:p>
        </w:tc>
        <w:tc>
          <w:tcPr>
            <w:vAlign w:val="center"/>
          </w:tcPr>
          <w:p>
            <w:pPr>
              <w:jc w:val="right"/>
            </w:pPr>
            <w:r>
              <w:rPr>
                <w:color w:val="000000"/>
                <w:sz w:val="24"/>
                <w:szCs w:val="24"/>
              </w:rPr>
              <w:t>83,813,583.60</w:t>
            </w:r>
          </w:p>
        </w:tc>
        <w:tc>
          <w:tcPr>
            <w:vAlign w:val="center"/>
          </w:tcPr>
          <w:p>
            <w:pPr>
              <w:jc w:val="right"/>
            </w:pPr>
            <w:r>
              <w:rPr>
                <w:color w:val="000000"/>
                <w:sz w:val="24"/>
                <w:szCs w:val="24"/>
              </w:rPr>
              <w:t>8.28</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2,236,598</w:t>
            </w:r>
          </w:p>
        </w:tc>
        <w:tc>
          <w:tcPr>
            <w:vAlign w:val="center"/>
          </w:tcPr>
          <w:p>
            <w:pPr>
              <w:jc w:val="right"/>
            </w:pPr>
            <w:r>
              <w:rPr>
                <w:color w:val="000000"/>
                <w:sz w:val="24"/>
                <w:szCs w:val="24"/>
              </w:rPr>
              <w:t>83,559,301.28</w:t>
            </w:r>
          </w:p>
        </w:tc>
        <w:tc>
          <w:tcPr>
            <w:vAlign w:val="center"/>
          </w:tcPr>
          <w:p>
            <w:pPr>
              <w:jc w:val="right"/>
            </w:pPr>
            <w:r>
              <w:rPr>
                <w:color w:val="000000"/>
                <w:sz w:val="24"/>
                <w:szCs w:val="24"/>
              </w:rPr>
              <w:t>8.25</w:t>
            </w:r>
          </w:p>
        </w:tc>
      </w:tr>
      <w:tr>
        <w:tc>
          <w:tcPr>
            <w:vAlign w:val="center"/>
          </w:tcPr>
          <w:p>
            <w:pPr>
              <w:jc w:val="center"/>
            </w:pPr>
            <w:r>
              <w:rPr>
                <w:color w:val="000000"/>
                <w:sz w:val="24"/>
                <w:szCs w:val="24"/>
              </w:rPr>
              <w:t>4</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6,597,532</w:t>
            </w:r>
          </w:p>
        </w:tc>
        <w:tc>
          <w:tcPr>
            <w:vAlign w:val="center"/>
          </w:tcPr>
          <w:p>
            <w:pPr>
              <w:jc w:val="right"/>
            </w:pPr>
            <w:r>
              <w:rPr>
                <w:color w:val="000000"/>
                <w:sz w:val="24"/>
                <w:szCs w:val="24"/>
              </w:rPr>
              <w:t>82,205,248.72</w:t>
            </w:r>
          </w:p>
        </w:tc>
        <w:tc>
          <w:tcPr>
            <w:vAlign w:val="center"/>
          </w:tcPr>
          <w:p>
            <w:pPr>
              <w:jc w:val="right"/>
            </w:pPr>
            <w:r>
              <w:rPr>
                <w:color w:val="000000"/>
                <w:sz w:val="24"/>
                <w:szCs w:val="24"/>
              </w:rPr>
              <w:t>8.12</w:t>
            </w:r>
          </w:p>
        </w:tc>
      </w:tr>
      <w:tr>
        <w:tc>
          <w:tcPr>
            <w:vAlign w:val="center"/>
          </w:tcPr>
          <w:p>
            <w:pPr>
              <w:jc w:val="center"/>
            </w:pPr>
            <w:r>
              <w:rPr>
                <w:color w:val="000000"/>
                <w:sz w:val="24"/>
                <w:szCs w:val="24"/>
              </w:rPr>
              <w:t>5</w:t>
            </w:r>
          </w:p>
        </w:tc>
        <w:tc>
          <w:tcPr>
            <w:vAlign w:val="center"/>
          </w:tcPr>
          <w:p>
            <w:pPr>
              <w:jc w:val="center"/>
            </w:pPr>
            <w:r>
              <w:rPr>
                <w:color w:val="000000"/>
                <w:sz w:val="24"/>
                <w:szCs w:val="24"/>
              </w:rPr>
              <w:t>300395</w:t>
            </w:r>
          </w:p>
        </w:tc>
        <w:tc>
          <w:tcPr>
            <w:vAlign w:val="center"/>
          </w:tcPr>
          <w:p>
            <w:pPr>
              <w:jc w:val="center"/>
            </w:pPr>
            <w:r>
              <w:rPr>
                <w:color w:val="000000"/>
                <w:sz w:val="24"/>
                <w:szCs w:val="24"/>
              </w:rPr>
              <w:t>菲利华</w:t>
            </w:r>
          </w:p>
        </w:tc>
        <w:tc>
          <w:tcPr>
            <w:vAlign w:val="center"/>
          </w:tcPr>
          <w:p>
            <w:pPr>
              <w:jc w:val="right"/>
            </w:pPr>
            <w:r>
              <w:rPr>
                <w:color w:val="000000"/>
                <w:sz w:val="24"/>
                <w:szCs w:val="24"/>
              </w:rPr>
              <w:t>5,273,287</w:t>
            </w:r>
          </w:p>
        </w:tc>
        <w:tc>
          <w:tcPr>
            <w:vAlign w:val="center"/>
          </w:tcPr>
          <w:p>
            <w:pPr>
              <w:jc w:val="right"/>
            </w:pPr>
            <w:r>
              <w:rPr>
                <w:color w:val="000000"/>
                <w:sz w:val="24"/>
                <w:szCs w:val="24"/>
              </w:rPr>
              <w:t>75,671,668.45</w:t>
            </w:r>
          </w:p>
        </w:tc>
        <w:tc>
          <w:tcPr>
            <w:vAlign w:val="center"/>
          </w:tcPr>
          <w:p>
            <w:pPr>
              <w:jc w:val="right"/>
            </w:pPr>
            <w:r>
              <w:rPr>
                <w:color w:val="000000"/>
                <w:sz w:val="24"/>
                <w:szCs w:val="24"/>
              </w:rPr>
              <w:t>7.47</w:t>
            </w:r>
          </w:p>
        </w:tc>
      </w:tr>
      <w:tr>
        <w:tc>
          <w:tcPr>
            <w:vAlign w:val="center"/>
          </w:tcPr>
          <w:p>
            <w:pPr>
              <w:jc w:val="center"/>
            </w:pPr>
            <w:r>
              <w:rPr>
                <w:color w:val="000000"/>
                <w:sz w:val="24"/>
                <w:szCs w:val="24"/>
              </w:rPr>
              <w:t>6</w:t>
            </w:r>
          </w:p>
        </w:tc>
        <w:tc>
          <w:tcPr>
            <w:vAlign w:val="center"/>
          </w:tcPr>
          <w:p>
            <w:pPr>
              <w:jc w:val="center"/>
            </w:pPr>
            <w:r>
              <w:rPr>
                <w:color w:val="000000"/>
                <w:sz w:val="24"/>
                <w:szCs w:val="24"/>
              </w:rPr>
              <w:t>002599</w:t>
            </w:r>
          </w:p>
        </w:tc>
        <w:tc>
          <w:tcPr>
            <w:vAlign w:val="center"/>
          </w:tcPr>
          <w:p>
            <w:pPr>
              <w:jc w:val="center"/>
            </w:pPr>
            <w:r>
              <w:rPr>
                <w:color w:val="000000"/>
                <w:sz w:val="24"/>
                <w:szCs w:val="24"/>
              </w:rPr>
              <w:t>盛通股份</w:t>
            </w:r>
          </w:p>
        </w:tc>
        <w:tc>
          <w:tcPr>
            <w:vAlign w:val="center"/>
          </w:tcPr>
          <w:p>
            <w:pPr>
              <w:jc w:val="right"/>
            </w:pPr>
            <w:r>
              <w:rPr>
                <w:color w:val="000000"/>
                <w:sz w:val="24"/>
                <w:szCs w:val="24"/>
              </w:rPr>
              <w:t>7,191,421</w:t>
            </w:r>
          </w:p>
        </w:tc>
        <w:tc>
          <w:tcPr>
            <w:vAlign w:val="center"/>
          </w:tcPr>
          <w:p>
            <w:pPr>
              <w:jc w:val="right"/>
            </w:pPr>
            <w:r>
              <w:rPr>
                <w:color w:val="000000"/>
                <w:sz w:val="24"/>
                <w:szCs w:val="24"/>
              </w:rPr>
              <w:t>70,475,925.80</w:t>
            </w:r>
          </w:p>
        </w:tc>
        <w:tc>
          <w:tcPr>
            <w:vAlign w:val="center"/>
          </w:tcPr>
          <w:p>
            <w:pPr>
              <w:jc w:val="right"/>
            </w:pPr>
            <w:r>
              <w:rPr>
                <w:color w:val="000000"/>
                <w:sz w:val="24"/>
                <w:szCs w:val="24"/>
              </w:rPr>
              <w:t>6.96</w:t>
            </w:r>
          </w:p>
        </w:tc>
      </w:tr>
      <w:tr>
        <w:tc>
          <w:tcPr>
            <w:vAlign w:val="center"/>
          </w:tcPr>
          <w:p>
            <w:pPr>
              <w:jc w:val="center"/>
            </w:pPr>
            <w:r>
              <w:rPr>
                <w:color w:val="000000"/>
                <w:sz w:val="24"/>
                <w:szCs w:val="24"/>
              </w:rPr>
              <w:t>7</w:t>
            </w:r>
          </w:p>
        </w:tc>
        <w:tc>
          <w:tcPr>
            <w:vAlign w:val="center"/>
          </w:tcPr>
          <w:p>
            <w:pPr>
              <w:jc w:val="center"/>
            </w:pPr>
            <w:r>
              <w:rPr>
                <w:color w:val="000000"/>
                <w:sz w:val="24"/>
                <w:szCs w:val="24"/>
              </w:rPr>
              <w:t>000768</w:t>
            </w:r>
          </w:p>
        </w:tc>
        <w:tc>
          <w:tcPr>
            <w:vAlign w:val="center"/>
          </w:tcPr>
          <w:p>
            <w:pPr>
              <w:jc w:val="center"/>
            </w:pPr>
            <w:r>
              <w:rPr>
                <w:color w:val="000000"/>
                <w:sz w:val="24"/>
                <w:szCs w:val="24"/>
              </w:rPr>
              <w:t>中航飞机</w:t>
            </w:r>
          </w:p>
        </w:tc>
        <w:tc>
          <w:tcPr>
            <w:vAlign w:val="center"/>
          </w:tcPr>
          <w:p>
            <w:pPr>
              <w:jc w:val="right"/>
            </w:pPr>
            <w:r>
              <w:rPr>
                <w:color w:val="000000"/>
                <w:sz w:val="24"/>
                <w:szCs w:val="24"/>
              </w:rPr>
              <w:t>5,265,578</w:t>
            </w:r>
          </w:p>
        </w:tc>
        <w:tc>
          <w:tcPr>
            <w:vAlign w:val="center"/>
          </w:tcPr>
          <w:p>
            <w:pPr>
              <w:jc w:val="right"/>
            </w:pPr>
            <w:r>
              <w:rPr>
                <w:color w:val="000000"/>
                <w:sz w:val="24"/>
                <w:szCs w:val="24"/>
              </w:rPr>
              <w:t>69,716,252.72</w:t>
            </w:r>
          </w:p>
        </w:tc>
        <w:tc>
          <w:tcPr>
            <w:vAlign w:val="center"/>
          </w:tcPr>
          <w:p>
            <w:pPr>
              <w:jc w:val="right"/>
            </w:pPr>
            <w:r>
              <w:rPr>
                <w:color w:val="000000"/>
                <w:sz w:val="24"/>
                <w:szCs w:val="24"/>
              </w:rPr>
              <w:t>6.89</w:t>
            </w:r>
          </w:p>
        </w:tc>
      </w:tr>
      <w:tr>
        <w:tc>
          <w:tcPr>
            <w:vAlign w:val="center"/>
          </w:tcPr>
          <w:p>
            <w:pPr>
              <w:jc w:val="center"/>
            </w:pPr>
            <w:r>
              <w:rPr>
                <w:color w:val="000000"/>
                <w:sz w:val="24"/>
                <w:szCs w:val="24"/>
              </w:rPr>
              <w:t>8</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7,838,430</w:t>
            </w:r>
          </w:p>
        </w:tc>
        <w:tc>
          <w:tcPr>
            <w:vAlign w:val="center"/>
          </w:tcPr>
          <w:p>
            <w:pPr>
              <w:jc w:val="right"/>
            </w:pPr>
            <w:r>
              <w:rPr>
                <w:color w:val="000000"/>
                <w:sz w:val="24"/>
                <w:szCs w:val="24"/>
              </w:rPr>
              <w:t>51,341,716.50</w:t>
            </w:r>
          </w:p>
        </w:tc>
        <w:tc>
          <w:tcPr>
            <w:vAlign w:val="center"/>
          </w:tcPr>
          <w:p>
            <w:pPr>
              <w:jc w:val="right"/>
            </w:pPr>
            <w:r>
              <w:rPr>
                <w:color w:val="000000"/>
                <w:sz w:val="24"/>
                <w:szCs w:val="24"/>
              </w:rPr>
              <w:t>5.07</w:t>
            </w:r>
          </w:p>
        </w:tc>
      </w:tr>
      <w:tr>
        <w:tc>
          <w:tcPr>
            <w:vAlign w:val="center"/>
          </w:tcPr>
          <w:p>
            <w:pPr>
              <w:jc w:val="center"/>
            </w:pPr>
            <w:r>
              <w:rPr>
                <w:color w:val="000000"/>
                <w:sz w:val="24"/>
                <w:szCs w:val="24"/>
              </w:rPr>
              <w:t>9</w:t>
            </w:r>
          </w:p>
        </w:tc>
        <w:tc>
          <w:tcPr>
            <w:vAlign w:val="center"/>
          </w:tcPr>
          <w:p>
            <w:pPr>
              <w:jc w:val="center"/>
            </w:pPr>
            <w:r>
              <w:rPr>
                <w:color w:val="000000"/>
                <w:sz w:val="24"/>
                <w:szCs w:val="24"/>
              </w:rPr>
              <w:t>002371</w:t>
            </w:r>
          </w:p>
        </w:tc>
        <w:tc>
          <w:tcPr>
            <w:vAlign w:val="center"/>
          </w:tcPr>
          <w:p>
            <w:pPr>
              <w:jc w:val="center"/>
            </w:pPr>
            <w:r>
              <w:rPr>
                <w:color w:val="000000"/>
                <w:sz w:val="24"/>
                <w:szCs w:val="24"/>
              </w:rPr>
              <w:t>北方华创</w:t>
            </w:r>
          </w:p>
        </w:tc>
        <w:tc>
          <w:tcPr>
            <w:vAlign w:val="center"/>
          </w:tcPr>
          <w:p>
            <w:pPr>
              <w:jc w:val="right"/>
            </w:pPr>
            <w:r>
              <w:rPr>
                <w:color w:val="000000"/>
                <w:sz w:val="24"/>
                <w:szCs w:val="24"/>
              </w:rPr>
              <w:t>1,269,477</w:t>
            </w:r>
          </w:p>
        </w:tc>
        <w:tc>
          <w:tcPr>
            <w:vAlign w:val="center"/>
          </w:tcPr>
          <w:p>
            <w:pPr>
              <w:jc w:val="right"/>
            </w:pPr>
            <w:r>
              <w:rPr>
                <w:color w:val="000000"/>
                <w:sz w:val="24"/>
                <w:szCs w:val="24"/>
              </w:rPr>
              <w:t>47,935,451.52</w:t>
            </w:r>
          </w:p>
        </w:tc>
        <w:tc>
          <w:tcPr>
            <w:vAlign w:val="center"/>
          </w:tcPr>
          <w:p>
            <w:pPr>
              <w:jc w:val="right"/>
            </w:pPr>
            <w:r>
              <w:rPr>
                <w:color w:val="000000"/>
                <w:sz w:val="24"/>
                <w:szCs w:val="24"/>
              </w:rPr>
              <w:t>4.73</w:t>
            </w:r>
          </w:p>
        </w:tc>
      </w:tr>
      <w:tr>
        <w:tc>
          <w:tcPr>
            <w:vAlign w:val="center"/>
          </w:tcPr>
          <w:p>
            <w:pPr>
              <w:jc w:val="center"/>
            </w:pPr>
            <w:r>
              <w:rPr>
                <w:color w:val="000000"/>
                <w:sz w:val="24"/>
                <w:szCs w:val="24"/>
              </w:rPr>
              <w:t>10</w:t>
            </w:r>
          </w:p>
        </w:tc>
        <w:tc>
          <w:tcPr>
            <w:vAlign w:val="center"/>
          </w:tcPr>
          <w:p>
            <w:pPr>
              <w:jc w:val="center"/>
            </w:pPr>
            <w:r>
              <w:rPr>
                <w:color w:val="000000"/>
                <w:sz w:val="24"/>
                <w:szCs w:val="24"/>
              </w:rPr>
              <w:t>000066</w:t>
            </w:r>
          </w:p>
        </w:tc>
        <w:tc>
          <w:tcPr>
            <w:vAlign w:val="center"/>
          </w:tcPr>
          <w:p>
            <w:pPr>
              <w:jc w:val="center"/>
            </w:pPr>
            <w:r>
              <w:rPr>
                <w:color w:val="000000"/>
                <w:sz w:val="24"/>
                <w:szCs w:val="24"/>
              </w:rPr>
              <w:t>中国长城</w:t>
            </w:r>
          </w:p>
        </w:tc>
        <w:tc>
          <w:tcPr>
            <w:vAlign w:val="center"/>
          </w:tcPr>
          <w:p>
            <w:pPr>
              <w:jc w:val="right"/>
            </w:pPr>
            <w:r>
              <w:rPr>
                <w:color w:val="000000"/>
                <w:sz w:val="24"/>
                <w:szCs w:val="24"/>
              </w:rPr>
              <w:t>8,521,273</w:t>
            </w:r>
          </w:p>
        </w:tc>
        <w:tc>
          <w:tcPr>
            <w:vAlign w:val="center"/>
          </w:tcPr>
          <w:p>
            <w:pPr>
              <w:jc w:val="right"/>
            </w:pPr>
            <w:r>
              <w:rPr>
                <w:color w:val="000000"/>
                <w:sz w:val="24"/>
                <w:szCs w:val="24"/>
              </w:rPr>
              <w:t>40,390,834.02</w:t>
            </w:r>
          </w:p>
        </w:tc>
        <w:tc>
          <w:tcPr>
            <w:vAlign w:val="center"/>
          </w:tcPr>
          <w:p>
            <w:pPr>
              <w:jc w:val="right"/>
            </w:pPr>
            <w:r>
              <w:rPr>
                <w:color w:val="000000"/>
                <w:sz w:val="24"/>
                <w:szCs w:val="24"/>
              </w:rPr>
              <w:t>3.99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45,528,300.00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45,528,300.00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45,528,300.00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160301</w:t>
            </w:r>
          </w:p>
        </w:tc>
        <w:tc>
          <w:tcPr>
            <w:vAlign w:val="center"/>
          </w:tcPr>
          <w:p>
            <w:pPr>
              <w:jc w:val="center"/>
            </w:pPr>
            <w:r>
              <w:rPr>
                <w:color w:val="000000"/>
                <w:sz w:val="24"/>
                <w:szCs w:val="24"/>
              </w:rPr>
              <w:t>16进出01</w:t>
            </w:r>
          </w:p>
        </w:tc>
        <w:tc>
          <w:tcPr>
            <w:vAlign w:val="center"/>
          </w:tcPr>
          <w:p>
            <w:pPr>
              <w:jc w:val="right"/>
            </w:pPr>
            <w:r>
              <w:rPr>
                <w:color w:val="000000"/>
                <w:sz w:val="24"/>
                <w:szCs w:val="24"/>
              </w:rPr>
              <w:t>400,000</w:t>
            </w:r>
          </w:p>
        </w:tc>
        <w:tc>
          <w:tcPr>
            <w:vAlign w:val="center"/>
          </w:tcPr>
          <w:p>
            <w:pPr>
              <w:jc w:val="right"/>
            </w:pPr>
            <w:r>
              <w:rPr>
                <w:color w:val="000000"/>
                <w:sz w:val="24"/>
                <w:szCs w:val="24"/>
              </w:rPr>
              <w:t>40,008,000.00</w:t>
            </w:r>
          </w:p>
        </w:tc>
        <w:tc>
          <w:tcPr>
            <w:vAlign w:val="center"/>
          </w:tcPr>
          <w:p>
            <w:pPr>
              <w:jc w:val="right"/>
            </w:pPr>
            <w:r>
              <w:rPr>
                <w:color w:val="000000"/>
                <w:sz w:val="24"/>
                <w:szCs w:val="24"/>
              </w:rPr>
              <w:t>3.95</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018005</w:t>
            </w:r>
          </w:p>
        </w:tc>
        <w:tc>
          <w:tcPr>
            <w:vAlign w:val="center"/>
          </w:tcPr>
          <w:p>
            <w:pPr>
              <w:jc w:val="center"/>
            </w:pPr>
            <w:r>
              <w:rPr>
                <w:color w:val="000000"/>
                <w:sz w:val="24"/>
                <w:szCs w:val="24"/>
              </w:rPr>
              <w:t>国开1701</w:t>
            </w:r>
          </w:p>
        </w:tc>
        <w:tc>
          <w:tcPr>
            <w:vAlign w:val="center"/>
          </w:tcPr>
          <w:p>
            <w:pPr>
              <w:jc w:val="right"/>
            </w:pPr>
            <w:r>
              <w:rPr>
                <w:color w:val="000000"/>
                <w:sz w:val="24"/>
                <w:szCs w:val="24"/>
              </w:rPr>
              <w:t>45,000</w:t>
            </w:r>
          </w:p>
        </w:tc>
        <w:tc>
          <w:tcPr>
            <w:vAlign w:val="center"/>
          </w:tcPr>
          <w:p>
            <w:pPr>
              <w:jc w:val="right"/>
            </w:pPr>
            <w:r>
              <w:rPr>
                <w:color w:val="000000"/>
                <w:sz w:val="24"/>
                <w:szCs w:val="24"/>
              </w:rPr>
              <w:t>4,519,800.00</w:t>
            </w:r>
          </w:p>
        </w:tc>
        <w:tc>
          <w:tcPr>
            <w:vAlign w:val="center"/>
          </w:tcPr>
          <w:p>
            <w:pPr>
              <w:jc w:val="right"/>
            </w:pPr>
            <w:r>
              <w:rPr>
                <w:color w:val="000000"/>
                <w:sz w:val="24"/>
                <w:szCs w:val="24"/>
              </w:rPr>
              <w:t>0.45</w:t>
            </w:r>
          </w:p>
        </w:tc>
      </w:tr>
      <w:tr>
        <w:tc>
          <w:tcPr>
            <w:vAlign w:val="center"/>
          </w:tcPr>
          <w:p>
            <w:pPr>
              <w:jc w:val="center"/>
            </w:pPr>
            <w:r>
              <w:rPr>
                <w:color w:val="000000"/>
                <w:sz w:val="24"/>
                <w:szCs w:val="24"/>
              </w:rPr>
              <w:t>3</w:t>
            </w:r>
          </w:p>
        </w:tc>
        <w:tc>
          <w:tcPr>
            <w:vAlign w:val="center"/>
          </w:tcPr>
          <w:p>
            <w:pPr>
              <w:jc w:val="center"/>
            </w:pPr>
            <w:r>
              <w:rPr>
                <w:color w:val="000000"/>
                <w:sz w:val="24"/>
                <w:szCs w:val="24"/>
              </w:rPr>
              <w:t>018002</w:t>
            </w:r>
          </w:p>
        </w:tc>
        <w:tc>
          <w:tcPr>
            <w:vAlign w:val="center"/>
          </w:tcPr>
          <w:p>
            <w:pPr>
              <w:jc w:val="center"/>
            </w:pPr>
            <w:r>
              <w:rPr>
                <w:color w:val="000000"/>
                <w:sz w:val="24"/>
                <w:szCs w:val="24"/>
              </w:rPr>
              <w:t>国开1302</w:t>
            </w:r>
          </w:p>
        </w:tc>
        <w:tc>
          <w:tcPr>
            <w:vAlign w:val="center"/>
          </w:tcPr>
          <w:p>
            <w:pPr>
              <w:jc w:val="right"/>
            </w:pPr>
            <w:r>
              <w:rPr>
                <w:color w:val="000000"/>
                <w:sz w:val="24"/>
                <w:szCs w:val="24"/>
              </w:rPr>
              <w:t>10,000</w:t>
            </w:r>
          </w:p>
        </w:tc>
        <w:tc>
          <w:tcPr>
            <w:vAlign w:val="center"/>
          </w:tcPr>
          <w:p>
            <w:pPr>
              <w:jc w:val="right"/>
            </w:pPr>
            <w:r>
              <w:rPr>
                <w:color w:val="000000"/>
                <w:sz w:val="24"/>
                <w:szCs w:val="24"/>
              </w:rPr>
              <w:t>1,000,500.00</w:t>
            </w:r>
          </w:p>
        </w:tc>
        <w:tc>
          <w:tcPr>
            <w:vAlign w:val="center"/>
          </w:tcPr>
          <w:p>
            <w:pPr>
              <w:jc w:val="right"/>
            </w:pPr>
            <w:r>
              <w:rPr>
                <w:color w:val="000000"/>
                <w:sz w:val="24"/>
                <w:szCs w:val="24"/>
              </w:rPr>
              <w:t>0.10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353,071.64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1,156,621.70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466,612.73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1,976,306.07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935,080,540.20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138,440,277.86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83,444,047.09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990,076,770.97</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1、中国证监会核准交银施罗德先锋股票证券投资基金募集的文件；</w:t>
      </w:r>
    </w:p>
    <w:p>
      <w:pPr>
        <w:spacing w:before="29" w:line="288" w:lineRule="auto"/>
        <w:ind w:firstLine="480" w:firstLineChars="200"/>
        <w:rPr>
          <w:color w:val="000000"/>
          <w:sz w:val="24"/>
          <w:szCs w:val="24"/>
        </w:rPr>
      </w:pPr>
      <w:r>
        <w:rPr>
          <w:color w:val="000000"/>
          <w:sz w:val="24"/>
          <w:szCs w:val="24"/>
        </w:rPr>
        <w:t>2、《交银施罗德先锋混合型证券投资基金基金合同》；</w:t>
      </w:r>
    </w:p>
    <w:p>
      <w:pPr>
        <w:spacing w:before="29" w:line="288" w:lineRule="auto"/>
        <w:ind w:firstLine="480" w:firstLineChars="200"/>
        <w:rPr>
          <w:color w:val="000000"/>
          <w:sz w:val="24"/>
          <w:szCs w:val="24"/>
        </w:rPr>
      </w:pPr>
      <w:r>
        <w:rPr>
          <w:color w:val="000000"/>
          <w:sz w:val="24"/>
          <w:szCs w:val="24"/>
        </w:rPr>
        <w:t>3、《交银施罗德先锋混合型证券投资基金招募说明书》；</w:t>
      </w:r>
    </w:p>
    <w:p>
      <w:pPr>
        <w:spacing w:before="29" w:line="288" w:lineRule="auto"/>
        <w:ind w:firstLine="480" w:firstLineChars="200"/>
        <w:rPr>
          <w:color w:val="000000"/>
          <w:sz w:val="24"/>
          <w:szCs w:val="24"/>
        </w:rPr>
      </w:pPr>
      <w:r>
        <w:rPr>
          <w:color w:val="000000"/>
          <w:sz w:val="24"/>
          <w:szCs w:val="24"/>
        </w:rPr>
        <w:t>4、《交银施罗德先锋混合型证券投资基金托管协议》；</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7、关于申请募集交银施罗德先锋股票证券投资基金之法律意见书；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8、报告期内交银施罗德先锋混合型证券投资基金在指定报刊上各项公告的原稿。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交银施罗德先锋混合型证券投资基金2018年第4季度报告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