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交银施罗德国企改革灵活配置混合型证券投资基金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51801" w:rsidRDefault="0087052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51801" w:rsidRDefault="0087052C">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51801" w:rsidRDefault="0087052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51801" w:rsidRDefault="0087052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51801" w:rsidRDefault="0087052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604,778,941.70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7052C" w:rsidRPr="00414345" w:rsidTr="0087052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7052C" w:rsidRPr="00414345" w:rsidTr="008705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690570" w:rsidP="00C15CAC">
            <w:pPr>
              <w:adjustRightInd w:val="0"/>
              <w:spacing w:before="29" w:line="288" w:lineRule="auto"/>
              <w:ind w:left="17"/>
              <w:jc w:val="right"/>
              <w:rPr>
                <w:color w:val="000000"/>
                <w:sz w:val="24"/>
                <w:szCs w:val="24"/>
              </w:rPr>
            </w:pPr>
            <w:r w:rsidRPr="00690570">
              <w:rPr>
                <w:color w:val="000000"/>
                <w:sz w:val="24"/>
                <w:szCs w:val="24"/>
              </w:rPr>
              <w:t>-27,468,759.22</w:t>
            </w:r>
          </w:p>
        </w:tc>
      </w:tr>
      <w:tr w:rsidR="0087052C" w:rsidRPr="00414345" w:rsidTr="008705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690570" w:rsidP="00C15CAC">
            <w:pPr>
              <w:adjustRightInd w:val="0"/>
              <w:spacing w:before="29" w:line="288" w:lineRule="auto"/>
              <w:ind w:left="17"/>
              <w:jc w:val="right"/>
              <w:rPr>
                <w:color w:val="000000"/>
                <w:sz w:val="24"/>
                <w:szCs w:val="24"/>
              </w:rPr>
            </w:pPr>
            <w:r w:rsidRPr="00690570">
              <w:rPr>
                <w:color w:val="000000"/>
                <w:sz w:val="24"/>
                <w:szCs w:val="24"/>
              </w:rPr>
              <w:t>-55,462,830.85</w:t>
            </w:r>
          </w:p>
        </w:tc>
      </w:tr>
      <w:tr w:rsidR="0087052C" w:rsidRPr="00414345" w:rsidTr="008705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690570" w:rsidP="00C15CAC">
            <w:pPr>
              <w:adjustRightInd w:val="0"/>
              <w:spacing w:before="29" w:line="288" w:lineRule="auto"/>
              <w:ind w:left="17"/>
              <w:jc w:val="right"/>
              <w:rPr>
                <w:color w:val="000000"/>
                <w:sz w:val="24"/>
                <w:szCs w:val="24"/>
              </w:rPr>
            </w:pPr>
            <w:r w:rsidRPr="00690570">
              <w:rPr>
                <w:color w:val="000000"/>
                <w:sz w:val="24"/>
                <w:szCs w:val="24"/>
              </w:rPr>
              <w:t>-0.0914</w:t>
            </w:r>
          </w:p>
        </w:tc>
      </w:tr>
      <w:tr w:rsidR="0087052C" w:rsidRPr="00414345" w:rsidTr="008705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490,231,479.04</w:t>
            </w:r>
          </w:p>
        </w:tc>
      </w:tr>
      <w:tr w:rsidR="0087052C" w:rsidRPr="00414345" w:rsidTr="0087052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0.811</w:t>
            </w:r>
          </w:p>
        </w:tc>
      </w:tr>
    </w:tbl>
    <w:p w:rsidR="00851801" w:rsidRDefault="0087052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51801">
        <w:trPr>
          <w:jc w:val="center"/>
        </w:trPr>
        <w:tc>
          <w:tcPr>
            <w:tcW w:w="1701" w:type="dxa"/>
            <w:vAlign w:val="center"/>
          </w:tcPr>
          <w:p w:rsidR="00851801" w:rsidRDefault="0087052C">
            <w:pPr>
              <w:jc w:val="left"/>
            </w:pPr>
            <w:r>
              <w:rPr>
                <w:color w:val="000000"/>
                <w:sz w:val="24"/>
                <w:szCs w:val="24"/>
              </w:rPr>
              <w:t>过去三个月</w:t>
            </w:r>
          </w:p>
        </w:tc>
        <w:tc>
          <w:tcPr>
            <w:tcW w:w="1045" w:type="dxa"/>
            <w:vAlign w:val="center"/>
          </w:tcPr>
          <w:p w:rsidR="00851801" w:rsidRDefault="0087052C">
            <w:pPr>
              <w:jc w:val="center"/>
            </w:pPr>
            <w:r>
              <w:rPr>
                <w:color w:val="000000"/>
                <w:sz w:val="24"/>
                <w:szCs w:val="24"/>
              </w:rPr>
              <w:t>-10.09%</w:t>
            </w:r>
          </w:p>
        </w:tc>
        <w:tc>
          <w:tcPr>
            <w:tcW w:w="1344" w:type="dxa"/>
            <w:vAlign w:val="center"/>
          </w:tcPr>
          <w:p w:rsidR="00851801" w:rsidRDefault="0087052C">
            <w:pPr>
              <w:jc w:val="center"/>
            </w:pPr>
            <w:r>
              <w:rPr>
                <w:color w:val="000000"/>
                <w:sz w:val="24"/>
                <w:szCs w:val="24"/>
              </w:rPr>
              <w:t>1.54%</w:t>
            </w:r>
          </w:p>
        </w:tc>
        <w:tc>
          <w:tcPr>
            <w:tcW w:w="1194" w:type="dxa"/>
            <w:vAlign w:val="center"/>
          </w:tcPr>
          <w:p w:rsidR="00851801" w:rsidRDefault="0087052C">
            <w:pPr>
              <w:jc w:val="center"/>
            </w:pPr>
            <w:r>
              <w:rPr>
                <w:color w:val="000000"/>
                <w:sz w:val="24"/>
                <w:szCs w:val="24"/>
              </w:rPr>
              <w:t>-6.54%</w:t>
            </w:r>
          </w:p>
        </w:tc>
        <w:tc>
          <w:tcPr>
            <w:tcW w:w="1492" w:type="dxa"/>
            <w:vAlign w:val="center"/>
          </w:tcPr>
          <w:p w:rsidR="00851801" w:rsidRDefault="0087052C">
            <w:pPr>
              <w:jc w:val="center"/>
            </w:pPr>
            <w:r>
              <w:rPr>
                <w:color w:val="000000"/>
                <w:sz w:val="24"/>
                <w:szCs w:val="24"/>
              </w:rPr>
              <w:t>0.98%</w:t>
            </w:r>
          </w:p>
        </w:tc>
        <w:tc>
          <w:tcPr>
            <w:tcW w:w="1194" w:type="dxa"/>
            <w:vAlign w:val="center"/>
          </w:tcPr>
          <w:p w:rsidR="00851801" w:rsidRDefault="0087052C">
            <w:pPr>
              <w:jc w:val="center"/>
            </w:pPr>
            <w:r>
              <w:rPr>
                <w:color w:val="000000"/>
                <w:sz w:val="24"/>
                <w:szCs w:val="24"/>
              </w:rPr>
              <w:t>-3.55%</w:t>
            </w:r>
          </w:p>
        </w:tc>
        <w:tc>
          <w:tcPr>
            <w:tcW w:w="898" w:type="dxa"/>
            <w:vAlign w:val="center"/>
          </w:tcPr>
          <w:p w:rsidR="00851801" w:rsidRDefault="0087052C">
            <w:pPr>
              <w:jc w:val="center"/>
            </w:pPr>
            <w:r>
              <w:rPr>
                <w:color w:val="000000"/>
                <w:sz w:val="24"/>
                <w:szCs w:val="24"/>
              </w:rPr>
              <w:t>0.56%</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交银施罗德国企改革灵活配置混合型证券投资基金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51801">
        <w:trPr>
          <w:jc w:val="center"/>
        </w:trPr>
        <w:tc>
          <w:tcPr>
            <w:tcW w:w="846" w:type="dxa"/>
            <w:vAlign w:val="center"/>
          </w:tcPr>
          <w:p w:rsidR="00851801" w:rsidRDefault="0087052C">
            <w:pPr>
              <w:jc w:val="center"/>
            </w:pPr>
            <w:r>
              <w:rPr>
                <w:color w:val="000000"/>
                <w:sz w:val="24"/>
                <w:szCs w:val="24"/>
              </w:rPr>
              <w:t>沈楠</w:t>
            </w:r>
          </w:p>
        </w:tc>
        <w:tc>
          <w:tcPr>
            <w:tcW w:w="845" w:type="dxa"/>
            <w:vAlign w:val="center"/>
          </w:tcPr>
          <w:p w:rsidR="00851801" w:rsidRDefault="0087052C">
            <w:pPr>
              <w:jc w:val="center"/>
            </w:pPr>
            <w:r>
              <w:rPr>
                <w:color w:val="000000"/>
                <w:sz w:val="24"/>
                <w:szCs w:val="24"/>
              </w:rPr>
              <w:t>交银主题优选混合、交银国企改革灵活配置混合的基金经理</w:t>
            </w:r>
          </w:p>
        </w:tc>
        <w:tc>
          <w:tcPr>
            <w:tcW w:w="1549" w:type="dxa"/>
            <w:vAlign w:val="center"/>
          </w:tcPr>
          <w:p w:rsidR="00851801" w:rsidRDefault="0087052C">
            <w:pPr>
              <w:jc w:val="center"/>
            </w:pPr>
            <w:r>
              <w:rPr>
                <w:color w:val="000000"/>
                <w:sz w:val="24"/>
                <w:szCs w:val="24"/>
              </w:rPr>
              <w:t>2015-06-10</w:t>
            </w:r>
          </w:p>
        </w:tc>
        <w:tc>
          <w:tcPr>
            <w:tcW w:w="1548" w:type="dxa"/>
            <w:vAlign w:val="center"/>
          </w:tcPr>
          <w:p w:rsidR="00851801" w:rsidRDefault="0087052C">
            <w:pPr>
              <w:jc w:val="center"/>
            </w:pPr>
            <w:r>
              <w:rPr>
                <w:color w:val="000000"/>
                <w:sz w:val="24"/>
                <w:szCs w:val="24"/>
              </w:rPr>
              <w:t>-</w:t>
            </w:r>
          </w:p>
        </w:tc>
        <w:tc>
          <w:tcPr>
            <w:tcW w:w="1407" w:type="dxa"/>
            <w:vAlign w:val="center"/>
          </w:tcPr>
          <w:p w:rsidR="00851801" w:rsidRDefault="0087052C">
            <w:pPr>
              <w:jc w:val="center"/>
            </w:pPr>
            <w:r>
              <w:rPr>
                <w:color w:val="000000"/>
                <w:sz w:val="24"/>
                <w:szCs w:val="24"/>
              </w:rPr>
              <w:t>9</w:t>
            </w:r>
            <w:r>
              <w:rPr>
                <w:color w:val="000000"/>
                <w:sz w:val="24"/>
                <w:szCs w:val="24"/>
              </w:rPr>
              <w:t>年</w:t>
            </w:r>
          </w:p>
        </w:tc>
        <w:tc>
          <w:tcPr>
            <w:tcW w:w="2673" w:type="dxa"/>
            <w:vAlign w:val="center"/>
          </w:tcPr>
          <w:p w:rsidR="00851801" w:rsidRDefault="0087052C">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51801" w:rsidRDefault="0087052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51801" w:rsidRDefault="0087052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51801" w:rsidRDefault="0087052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51801" w:rsidRDefault="0087052C">
      <w:pPr>
        <w:spacing w:before="29" w:line="288" w:lineRule="auto"/>
        <w:ind w:firstLineChars="200" w:firstLine="480"/>
        <w:rPr>
          <w:color w:val="000000"/>
          <w:sz w:val="24"/>
          <w:szCs w:val="24"/>
        </w:rPr>
      </w:pPr>
      <w:r>
        <w:rPr>
          <w:color w:val="000000"/>
          <w:sz w:val="24"/>
          <w:szCs w:val="24"/>
        </w:rPr>
        <w:t>2018</w:t>
      </w:r>
      <w:r>
        <w:rPr>
          <w:color w:val="000000"/>
          <w:sz w:val="24"/>
          <w:szCs w:val="24"/>
        </w:rPr>
        <w:t>年四季度，国内经济总需求进一步减弱，需求放缓体现在投资、消费及外贸出口等各个领域，导致市场对经济下滑产生明显担忧。内部受制于社融增速的放缓，外部则受困于中美贸易战，尽管政府出台了增强基建、鼓励创新、激发民营经济活力、加强改革等多方面举措，但短期政府的边际政策宽松并未对市场预期产生明显扭转，国内股市估值持续压缩。本基金管理人认为市场中期来看可能已经处于相对底部区域，但短期伴随内忧外患仍可能在低位震荡消化。</w:t>
      </w:r>
    </w:p>
    <w:p w:rsidR="00851801" w:rsidRDefault="0087052C">
      <w:pPr>
        <w:spacing w:before="29" w:line="288" w:lineRule="auto"/>
        <w:ind w:firstLineChars="200" w:firstLine="480"/>
        <w:rPr>
          <w:color w:val="000000"/>
          <w:sz w:val="24"/>
          <w:szCs w:val="24"/>
        </w:rPr>
      </w:pPr>
      <w:r>
        <w:rPr>
          <w:color w:val="000000"/>
          <w:sz w:val="24"/>
          <w:szCs w:val="24"/>
        </w:rPr>
        <w:t>随着内外环境的复杂化，我们预计国企改革的进程可能放缓，部分领域例如混改试点将进入执行效果落实观察期。一旦外部环境有所改善，则中央将加快推进包括国企改革在内的一系列改革进程，因此我们继续看好该领域的投资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内本基金重点配置了食品饮料、医药、金融地产以及航空酒店等消费性行业，同时进一步增配了军工、制造国产化等成长性行业以及公用事业等稳定性行业。展望未来半年，我们认为可以继续关注重点区域的改革试点。本产品将结合外部环境的变化，综合判断下一步改革试点的突破口，把握最新政策动向受益的国有企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393,665,952.09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80.06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393,665,952.09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80.06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30,003,135.00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30,003,135.00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66,987,307.35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13.62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CD1444" w:rsidP="002D2971">
            <w:pPr>
              <w:spacing w:line="360" w:lineRule="auto"/>
              <w:jc w:val="right"/>
              <w:rPr>
                <w:rFonts w:eastAsiaTheme="minorEastAsia"/>
                <w:color w:val="000000" w:themeColor="text1"/>
                <w:sz w:val="24"/>
                <w:szCs w:val="24"/>
              </w:rPr>
            </w:pPr>
            <w:r w:rsidRPr="00CD1444">
              <w:rPr>
                <w:rFonts w:eastAsiaTheme="minorEastAsia"/>
                <w:color w:val="000000" w:themeColor="text1"/>
                <w:sz w:val="24"/>
                <w:szCs w:val="24"/>
              </w:rPr>
              <w:t>1,046,517.02</w:t>
            </w:r>
          </w:p>
        </w:tc>
        <w:tc>
          <w:tcPr>
            <w:tcW w:w="2801" w:type="dxa"/>
            <w:vAlign w:val="center"/>
          </w:tcPr>
          <w:p w:rsidR="00BF0019" w:rsidRPr="007B5F21" w:rsidRDefault="00BF0019" w:rsidP="00CD1444">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w:t>
            </w:r>
            <w:r w:rsidR="00CD1444">
              <w:rPr>
                <w:rFonts w:eastAsiaTheme="minorEastAsia"/>
                <w:color w:val="000000" w:themeColor="text1"/>
                <w:sz w:val="24"/>
                <w:szCs w:val="24"/>
              </w:rPr>
              <w:t>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CD1444" w:rsidP="002D2971">
            <w:pPr>
              <w:spacing w:line="360" w:lineRule="auto"/>
              <w:jc w:val="right"/>
              <w:rPr>
                <w:rFonts w:eastAsiaTheme="minorEastAsia"/>
                <w:color w:val="000000" w:themeColor="text1"/>
                <w:sz w:val="24"/>
                <w:szCs w:val="24"/>
              </w:rPr>
            </w:pPr>
            <w:r w:rsidRPr="00CD1444">
              <w:rPr>
                <w:rFonts w:eastAsiaTheme="minorEastAsia"/>
                <w:color w:val="000000" w:themeColor="text1"/>
                <w:sz w:val="24"/>
                <w:szCs w:val="24"/>
              </w:rPr>
              <w:t>491,702,911.46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4,579,816.80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18,661,324.00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158,647,287.89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4,563,000.00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12,896,983.00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28,570,972.10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42,928,186.20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12,686,444.40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2.59</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10,416,744.96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48,045,329.32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19,015,359.00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2,992,500.00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6,341,996.22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23,320,008.20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393,665,952.09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80.30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51801">
        <w:trPr>
          <w:jc w:val="center"/>
        </w:trPr>
        <w:tc>
          <w:tcPr>
            <w:tcW w:w="855" w:type="dxa"/>
            <w:vAlign w:val="center"/>
          </w:tcPr>
          <w:p w:rsidR="00851801" w:rsidRDefault="0087052C">
            <w:pPr>
              <w:jc w:val="center"/>
            </w:pPr>
            <w:r>
              <w:rPr>
                <w:color w:val="000000"/>
                <w:sz w:val="24"/>
                <w:szCs w:val="24"/>
              </w:rPr>
              <w:t>1</w:t>
            </w:r>
          </w:p>
        </w:tc>
        <w:tc>
          <w:tcPr>
            <w:tcW w:w="1334" w:type="dxa"/>
            <w:vAlign w:val="center"/>
          </w:tcPr>
          <w:p w:rsidR="00851801" w:rsidRDefault="0087052C">
            <w:pPr>
              <w:jc w:val="center"/>
            </w:pPr>
            <w:r>
              <w:rPr>
                <w:color w:val="000000"/>
                <w:sz w:val="24"/>
                <w:szCs w:val="24"/>
              </w:rPr>
              <w:t>603043</w:t>
            </w:r>
          </w:p>
        </w:tc>
        <w:tc>
          <w:tcPr>
            <w:tcW w:w="1777" w:type="dxa"/>
            <w:vAlign w:val="center"/>
          </w:tcPr>
          <w:p w:rsidR="00851801" w:rsidRDefault="0087052C">
            <w:pPr>
              <w:jc w:val="center"/>
            </w:pPr>
            <w:r>
              <w:rPr>
                <w:color w:val="000000"/>
                <w:sz w:val="24"/>
                <w:szCs w:val="24"/>
              </w:rPr>
              <w:t>广州酒家</w:t>
            </w:r>
          </w:p>
        </w:tc>
        <w:tc>
          <w:tcPr>
            <w:tcW w:w="1334" w:type="dxa"/>
            <w:vAlign w:val="center"/>
          </w:tcPr>
          <w:p w:rsidR="00851801" w:rsidRDefault="0087052C">
            <w:pPr>
              <w:jc w:val="right"/>
            </w:pPr>
            <w:r>
              <w:rPr>
                <w:color w:val="000000"/>
                <w:sz w:val="24"/>
                <w:szCs w:val="24"/>
              </w:rPr>
              <w:t>632,267</w:t>
            </w:r>
          </w:p>
        </w:tc>
        <w:tc>
          <w:tcPr>
            <w:tcW w:w="1924" w:type="dxa"/>
            <w:vAlign w:val="center"/>
          </w:tcPr>
          <w:p w:rsidR="00851801" w:rsidRDefault="0087052C">
            <w:pPr>
              <w:jc w:val="right"/>
            </w:pPr>
            <w:r>
              <w:rPr>
                <w:color w:val="000000"/>
                <w:sz w:val="24"/>
                <w:szCs w:val="24"/>
              </w:rPr>
              <w:t>17,121,790.36</w:t>
            </w:r>
          </w:p>
        </w:tc>
        <w:tc>
          <w:tcPr>
            <w:tcW w:w="1644" w:type="dxa"/>
            <w:vAlign w:val="center"/>
          </w:tcPr>
          <w:p w:rsidR="00851801" w:rsidRDefault="0087052C">
            <w:pPr>
              <w:jc w:val="right"/>
            </w:pPr>
            <w:r>
              <w:rPr>
                <w:color w:val="000000"/>
                <w:sz w:val="24"/>
                <w:szCs w:val="24"/>
              </w:rPr>
              <w:t>3.49</w:t>
            </w:r>
          </w:p>
        </w:tc>
      </w:tr>
      <w:tr w:rsidR="00851801">
        <w:trPr>
          <w:jc w:val="center"/>
        </w:trPr>
        <w:tc>
          <w:tcPr>
            <w:tcW w:w="855" w:type="dxa"/>
            <w:vAlign w:val="center"/>
          </w:tcPr>
          <w:p w:rsidR="00851801" w:rsidRDefault="0087052C">
            <w:pPr>
              <w:jc w:val="center"/>
            </w:pPr>
            <w:r>
              <w:rPr>
                <w:color w:val="000000"/>
                <w:sz w:val="24"/>
                <w:szCs w:val="24"/>
              </w:rPr>
              <w:t>2</w:t>
            </w:r>
          </w:p>
        </w:tc>
        <w:tc>
          <w:tcPr>
            <w:tcW w:w="1334" w:type="dxa"/>
            <w:vAlign w:val="center"/>
          </w:tcPr>
          <w:p w:rsidR="00851801" w:rsidRDefault="0087052C">
            <w:pPr>
              <w:jc w:val="center"/>
            </w:pPr>
            <w:r>
              <w:rPr>
                <w:color w:val="000000"/>
                <w:sz w:val="24"/>
                <w:szCs w:val="24"/>
              </w:rPr>
              <w:t>600048</w:t>
            </w:r>
          </w:p>
        </w:tc>
        <w:tc>
          <w:tcPr>
            <w:tcW w:w="1777" w:type="dxa"/>
            <w:vAlign w:val="center"/>
          </w:tcPr>
          <w:p w:rsidR="00851801" w:rsidRDefault="0087052C">
            <w:pPr>
              <w:jc w:val="center"/>
            </w:pPr>
            <w:r>
              <w:rPr>
                <w:color w:val="000000"/>
                <w:sz w:val="24"/>
                <w:szCs w:val="24"/>
              </w:rPr>
              <w:t>保利地产</w:t>
            </w:r>
          </w:p>
        </w:tc>
        <w:tc>
          <w:tcPr>
            <w:tcW w:w="1334" w:type="dxa"/>
            <w:vAlign w:val="center"/>
          </w:tcPr>
          <w:p w:rsidR="00851801" w:rsidRDefault="0087052C">
            <w:pPr>
              <w:jc w:val="right"/>
            </w:pPr>
            <w:r>
              <w:rPr>
                <w:color w:val="000000"/>
                <w:sz w:val="24"/>
                <w:szCs w:val="24"/>
              </w:rPr>
              <w:t>1,392,100</w:t>
            </w:r>
          </w:p>
        </w:tc>
        <w:tc>
          <w:tcPr>
            <w:tcW w:w="1924" w:type="dxa"/>
            <w:vAlign w:val="center"/>
          </w:tcPr>
          <w:p w:rsidR="00851801" w:rsidRDefault="0087052C">
            <w:pPr>
              <w:jc w:val="right"/>
            </w:pPr>
            <w:r>
              <w:rPr>
                <w:color w:val="000000"/>
                <w:sz w:val="24"/>
                <w:szCs w:val="24"/>
              </w:rPr>
              <w:t>16,412,859.00</w:t>
            </w:r>
          </w:p>
        </w:tc>
        <w:tc>
          <w:tcPr>
            <w:tcW w:w="1644" w:type="dxa"/>
            <w:vAlign w:val="center"/>
          </w:tcPr>
          <w:p w:rsidR="00851801" w:rsidRDefault="0087052C">
            <w:pPr>
              <w:jc w:val="right"/>
            </w:pPr>
            <w:r>
              <w:rPr>
                <w:color w:val="000000"/>
                <w:sz w:val="24"/>
                <w:szCs w:val="24"/>
              </w:rPr>
              <w:t>3.35</w:t>
            </w:r>
          </w:p>
        </w:tc>
      </w:tr>
      <w:tr w:rsidR="00851801">
        <w:trPr>
          <w:jc w:val="center"/>
        </w:trPr>
        <w:tc>
          <w:tcPr>
            <w:tcW w:w="855" w:type="dxa"/>
            <w:vAlign w:val="center"/>
          </w:tcPr>
          <w:p w:rsidR="00851801" w:rsidRDefault="0087052C">
            <w:pPr>
              <w:jc w:val="center"/>
            </w:pPr>
            <w:r>
              <w:rPr>
                <w:color w:val="000000"/>
                <w:sz w:val="24"/>
                <w:szCs w:val="24"/>
              </w:rPr>
              <w:t>3</w:t>
            </w:r>
          </w:p>
        </w:tc>
        <w:tc>
          <w:tcPr>
            <w:tcW w:w="1334" w:type="dxa"/>
            <w:vAlign w:val="center"/>
          </w:tcPr>
          <w:p w:rsidR="00851801" w:rsidRDefault="0087052C">
            <w:pPr>
              <w:jc w:val="center"/>
            </w:pPr>
            <w:r>
              <w:rPr>
                <w:color w:val="000000"/>
                <w:sz w:val="24"/>
                <w:szCs w:val="24"/>
              </w:rPr>
              <w:t>600029</w:t>
            </w:r>
          </w:p>
        </w:tc>
        <w:tc>
          <w:tcPr>
            <w:tcW w:w="1777" w:type="dxa"/>
            <w:vAlign w:val="center"/>
          </w:tcPr>
          <w:p w:rsidR="00851801" w:rsidRDefault="0087052C">
            <w:pPr>
              <w:jc w:val="center"/>
            </w:pPr>
            <w:r>
              <w:rPr>
                <w:color w:val="000000"/>
                <w:sz w:val="24"/>
                <w:szCs w:val="24"/>
              </w:rPr>
              <w:t>南方航空</w:t>
            </w:r>
          </w:p>
        </w:tc>
        <w:tc>
          <w:tcPr>
            <w:tcW w:w="1334" w:type="dxa"/>
            <w:vAlign w:val="center"/>
          </w:tcPr>
          <w:p w:rsidR="00851801" w:rsidRDefault="0087052C">
            <w:pPr>
              <w:jc w:val="right"/>
            </w:pPr>
            <w:r>
              <w:rPr>
                <w:color w:val="000000"/>
                <w:sz w:val="24"/>
                <w:szCs w:val="24"/>
              </w:rPr>
              <w:t>2,414,200</w:t>
            </w:r>
          </w:p>
        </w:tc>
        <w:tc>
          <w:tcPr>
            <w:tcW w:w="1924" w:type="dxa"/>
            <w:vAlign w:val="center"/>
          </w:tcPr>
          <w:p w:rsidR="00851801" w:rsidRDefault="0087052C">
            <w:pPr>
              <w:jc w:val="right"/>
            </w:pPr>
            <w:r>
              <w:rPr>
                <w:color w:val="000000"/>
                <w:sz w:val="24"/>
                <w:szCs w:val="24"/>
              </w:rPr>
              <w:t>16,030,288.00</w:t>
            </w:r>
          </w:p>
        </w:tc>
        <w:tc>
          <w:tcPr>
            <w:tcW w:w="1644" w:type="dxa"/>
            <w:vAlign w:val="center"/>
          </w:tcPr>
          <w:p w:rsidR="00851801" w:rsidRDefault="0087052C">
            <w:pPr>
              <w:jc w:val="right"/>
            </w:pPr>
            <w:r>
              <w:rPr>
                <w:color w:val="000000"/>
                <w:sz w:val="24"/>
                <w:szCs w:val="24"/>
              </w:rPr>
              <w:t>3.27</w:t>
            </w:r>
          </w:p>
        </w:tc>
      </w:tr>
      <w:tr w:rsidR="00851801">
        <w:trPr>
          <w:jc w:val="center"/>
        </w:trPr>
        <w:tc>
          <w:tcPr>
            <w:tcW w:w="855" w:type="dxa"/>
            <w:vAlign w:val="center"/>
          </w:tcPr>
          <w:p w:rsidR="00851801" w:rsidRDefault="0087052C">
            <w:pPr>
              <w:jc w:val="center"/>
            </w:pPr>
            <w:r>
              <w:rPr>
                <w:color w:val="000000"/>
                <w:sz w:val="24"/>
                <w:szCs w:val="24"/>
              </w:rPr>
              <w:t>4</w:t>
            </w:r>
          </w:p>
        </w:tc>
        <w:tc>
          <w:tcPr>
            <w:tcW w:w="1334" w:type="dxa"/>
            <w:vAlign w:val="center"/>
          </w:tcPr>
          <w:p w:rsidR="00851801" w:rsidRDefault="0087052C">
            <w:pPr>
              <w:jc w:val="center"/>
            </w:pPr>
            <w:r>
              <w:rPr>
                <w:color w:val="000000"/>
                <w:sz w:val="24"/>
                <w:szCs w:val="24"/>
              </w:rPr>
              <w:t>601398</w:t>
            </w:r>
          </w:p>
        </w:tc>
        <w:tc>
          <w:tcPr>
            <w:tcW w:w="1777" w:type="dxa"/>
            <w:vAlign w:val="center"/>
          </w:tcPr>
          <w:p w:rsidR="00851801" w:rsidRDefault="0087052C">
            <w:pPr>
              <w:jc w:val="center"/>
            </w:pPr>
            <w:r>
              <w:rPr>
                <w:color w:val="000000"/>
                <w:sz w:val="24"/>
                <w:szCs w:val="24"/>
              </w:rPr>
              <w:t>工商银行</w:t>
            </w:r>
          </w:p>
        </w:tc>
        <w:tc>
          <w:tcPr>
            <w:tcW w:w="1334" w:type="dxa"/>
            <w:vAlign w:val="center"/>
          </w:tcPr>
          <w:p w:rsidR="00851801" w:rsidRDefault="0087052C">
            <w:pPr>
              <w:jc w:val="right"/>
            </w:pPr>
            <w:r>
              <w:rPr>
                <w:color w:val="000000"/>
                <w:sz w:val="24"/>
                <w:szCs w:val="24"/>
              </w:rPr>
              <w:t>2,799,900</w:t>
            </w:r>
          </w:p>
        </w:tc>
        <w:tc>
          <w:tcPr>
            <w:tcW w:w="1924" w:type="dxa"/>
            <w:vAlign w:val="center"/>
          </w:tcPr>
          <w:p w:rsidR="00851801" w:rsidRDefault="0087052C">
            <w:pPr>
              <w:jc w:val="right"/>
            </w:pPr>
            <w:r>
              <w:rPr>
                <w:color w:val="000000"/>
                <w:sz w:val="24"/>
                <w:szCs w:val="24"/>
              </w:rPr>
              <w:t>14,811,471.00</w:t>
            </w:r>
          </w:p>
        </w:tc>
        <w:tc>
          <w:tcPr>
            <w:tcW w:w="1644" w:type="dxa"/>
            <w:vAlign w:val="center"/>
          </w:tcPr>
          <w:p w:rsidR="00851801" w:rsidRDefault="0087052C">
            <w:pPr>
              <w:jc w:val="right"/>
            </w:pPr>
            <w:r>
              <w:rPr>
                <w:color w:val="000000"/>
                <w:sz w:val="24"/>
                <w:szCs w:val="24"/>
              </w:rPr>
              <w:t>3.02</w:t>
            </w:r>
          </w:p>
        </w:tc>
      </w:tr>
      <w:tr w:rsidR="00851801">
        <w:trPr>
          <w:jc w:val="center"/>
        </w:trPr>
        <w:tc>
          <w:tcPr>
            <w:tcW w:w="855" w:type="dxa"/>
            <w:vAlign w:val="center"/>
          </w:tcPr>
          <w:p w:rsidR="00851801" w:rsidRDefault="0087052C">
            <w:pPr>
              <w:jc w:val="center"/>
            </w:pPr>
            <w:r>
              <w:rPr>
                <w:color w:val="000000"/>
                <w:sz w:val="24"/>
                <w:szCs w:val="24"/>
              </w:rPr>
              <w:t>5</w:t>
            </w:r>
          </w:p>
        </w:tc>
        <w:tc>
          <w:tcPr>
            <w:tcW w:w="1334" w:type="dxa"/>
            <w:vAlign w:val="center"/>
          </w:tcPr>
          <w:p w:rsidR="00851801" w:rsidRDefault="0087052C">
            <w:pPr>
              <w:jc w:val="center"/>
            </w:pPr>
            <w:r>
              <w:rPr>
                <w:color w:val="000000"/>
                <w:sz w:val="24"/>
                <w:szCs w:val="24"/>
              </w:rPr>
              <w:t>601100</w:t>
            </w:r>
          </w:p>
        </w:tc>
        <w:tc>
          <w:tcPr>
            <w:tcW w:w="1777" w:type="dxa"/>
            <w:vAlign w:val="center"/>
          </w:tcPr>
          <w:p w:rsidR="00851801" w:rsidRDefault="0087052C">
            <w:pPr>
              <w:jc w:val="center"/>
            </w:pPr>
            <w:r>
              <w:rPr>
                <w:color w:val="000000"/>
                <w:sz w:val="24"/>
                <w:szCs w:val="24"/>
              </w:rPr>
              <w:t>恒立液压</w:t>
            </w:r>
          </w:p>
        </w:tc>
        <w:tc>
          <w:tcPr>
            <w:tcW w:w="1334" w:type="dxa"/>
            <w:vAlign w:val="center"/>
          </w:tcPr>
          <w:p w:rsidR="00851801" w:rsidRDefault="0087052C">
            <w:pPr>
              <w:jc w:val="right"/>
            </w:pPr>
            <w:r>
              <w:rPr>
                <w:color w:val="000000"/>
                <w:sz w:val="24"/>
                <w:szCs w:val="24"/>
              </w:rPr>
              <w:t>736,347</w:t>
            </w:r>
          </w:p>
        </w:tc>
        <w:tc>
          <w:tcPr>
            <w:tcW w:w="1924" w:type="dxa"/>
            <w:vAlign w:val="center"/>
          </w:tcPr>
          <w:p w:rsidR="00851801" w:rsidRDefault="0087052C">
            <w:pPr>
              <w:jc w:val="right"/>
            </w:pPr>
            <w:r>
              <w:rPr>
                <w:color w:val="000000"/>
                <w:sz w:val="24"/>
                <w:szCs w:val="24"/>
              </w:rPr>
              <w:t>14,587,034.07</w:t>
            </w:r>
          </w:p>
        </w:tc>
        <w:tc>
          <w:tcPr>
            <w:tcW w:w="1644" w:type="dxa"/>
            <w:vAlign w:val="center"/>
          </w:tcPr>
          <w:p w:rsidR="00851801" w:rsidRDefault="0087052C">
            <w:pPr>
              <w:jc w:val="right"/>
            </w:pPr>
            <w:r>
              <w:rPr>
                <w:color w:val="000000"/>
                <w:sz w:val="24"/>
                <w:szCs w:val="24"/>
              </w:rPr>
              <w:t>2.98</w:t>
            </w:r>
          </w:p>
        </w:tc>
      </w:tr>
      <w:tr w:rsidR="00851801">
        <w:trPr>
          <w:jc w:val="center"/>
        </w:trPr>
        <w:tc>
          <w:tcPr>
            <w:tcW w:w="855" w:type="dxa"/>
            <w:vAlign w:val="center"/>
          </w:tcPr>
          <w:p w:rsidR="00851801" w:rsidRDefault="0087052C">
            <w:pPr>
              <w:jc w:val="center"/>
            </w:pPr>
            <w:r>
              <w:rPr>
                <w:color w:val="000000"/>
                <w:sz w:val="24"/>
                <w:szCs w:val="24"/>
              </w:rPr>
              <w:t>6</w:t>
            </w:r>
          </w:p>
        </w:tc>
        <w:tc>
          <w:tcPr>
            <w:tcW w:w="1334" w:type="dxa"/>
            <w:vAlign w:val="center"/>
          </w:tcPr>
          <w:p w:rsidR="00851801" w:rsidRDefault="0087052C">
            <w:pPr>
              <w:jc w:val="center"/>
            </w:pPr>
            <w:r>
              <w:rPr>
                <w:color w:val="000000"/>
                <w:sz w:val="24"/>
                <w:szCs w:val="24"/>
              </w:rPr>
              <w:t>600030</w:t>
            </w:r>
          </w:p>
        </w:tc>
        <w:tc>
          <w:tcPr>
            <w:tcW w:w="1777" w:type="dxa"/>
            <w:vAlign w:val="center"/>
          </w:tcPr>
          <w:p w:rsidR="00851801" w:rsidRDefault="0087052C">
            <w:pPr>
              <w:jc w:val="center"/>
            </w:pPr>
            <w:r>
              <w:rPr>
                <w:color w:val="000000"/>
                <w:sz w:val="24"/>
                <w:szCs w:val="24"/>
              </w:rPr>
              <w:t>中信证券</w:t>
            </w:r>
          </w:p>
        </w:tc>
        <w:tc>
          <w:tcPr>
            <w:tcW w:w="1334" w:type="dxa"/>
            <w:vAlign w:val="center"/>
          </w:tcPr>
          <w:p w:rsidR="00851801" w:rsidRDefault="0087052C">
            <w:pPr>
              <w:jc w:val="right"/>
            </w:pPr>
            <w:r>
              <w:rPr>
                <w:color w:val="000000"/>
                <w:sz w:val="24"/>
                <w:szCs w:val="24"/>
              </w:rPr>
              <w:t>907,700</w:t>
            </w:r>
          </w:p>
        </w:tc>
        <w:tc>
          <w:tcPr>
            <w:tcW w:w="1924" w:type="dxa"/>
            <w:vAlign w:val="center"/>
          </w:tcPr>
          <w:p w:rsidR="00851801" w:rsidRDefault="0087052C">
            <w:pPr>
              <w:jc w:val="right"/>
            </w:pPr>
            <w:r>
              <w:rPr>
                <w:color w:val="000000"/>
                <w:sz w:val="24"/>
                <w:szCs w:val="24"/>
              </w:rPr>
              <w:t>14,532,277.00</w:t>
            </w:r>
          </w:p>
        </w:tc>
        <w:tc>
          <w:tcPr>
            <w:tcW w:w="1644" w:type="dxa"/>
            <w:vAlign w:val="center"/>
          </w:tcPr>
          <w:p w:rsidR="00851801" w:rsidRDefault="0087052C">
            <w:pPr>
              <w:jc w:val="right"/>
            </w:pPr>
            <w:r>
              <w:rPr>
                <w:color w:val="000000"/>
                <w:sz w:val="24"/>
                <w:szCs w:val="24"/>
              </w:rPr>
              <w:t>2.96</w:t>
            </w:r>
          </w:p>
        </w:tc>
      </w:tr>
      <w:tr w:rsidR="00851801">
        <w:trPr>
          <w:jc w:val="center"/>
        </w:trPr>
        <w:tc>
          <w:tcPr>
            <w:tcW w:w="855" w:type="dxa"/>
            <w:vAlign w:val="center"/>
          </w:tcPr>
          <w:p w:rsidR="00851801" w:rsidRDefault="0087052C">
            <w:pPr>
              <w:jc w:val="center"/>
            </w:pPr>
            <w:r>
              <w:rPr>
                <w:color w:val="000000"/>
                <w:sz w:val="24"/>
                <w:szCs w:val="24"/>
              </w:rPr>
              <w:t>7</w:t>
            </w:r>
          </w:p>
        </w:tc>
        <w:tc>
          <w:tcPr>
            <w:tcW w:w="1334" w:type="dxa"/>
            <w:vAlign w:val="center"/>
          </w:tcPr>
          <w:p w:rsidR="00851801" w:rsidRDefault="0087052C">
            <w:pPr>
              <w:jc w:val="center"/>
            </w:pPr>
            <w:r>
              <w:rPr>
                <w:color w:val="000000"/>
                <w:sz w:val="24"/>
                <w:szCs w:val="24"/>
              </w:rPr>
              <w:t>600511</w:t>
            </w:r>
          </w:p>
        </w:tc>
        <w:tc>
          <w:tcPr>
            <w:tcW w:w="1777" w:type="dxa"/>
            <w:vAlign w:val="center"/>
          </w:tcPr>
          <w:p w:rsidR="00851801" w:rsidRDefault="0087052C">
            <w:pPr>
              <w:jc w:val="center"/>
            </w:pPr>
            <w:r>
              <w:rPr>
                <w:color w:val="000000"/>
                <w:sz w:val="24"/>
                <w:szCs w:val="24"/>
              </w:rPr>
              <w:t>国药股份</w:t>
            </w:r>
          </w:p>
        </w:tc>
        <w:tc>
          <w:tcPr>
            <w:tcW w:w="1334" w:type="dxa"/>
            <w:vAlign w:val="center"/>
          </w:tcPr>
          <w:p w:rsidR="00851801" w:rsidRDefault="0087052C">
            <w:pPr>
              <w:jc w:val="right"/>
            </w:pPr>
            <w:r>
              <w:rPr>
                <w:color w:val="000000"/>
                <w:sz w:val="24"/>
                <w:szCs w:val="24"/>
              </w:rPr>
              <w:t>591,920</w:t>
            </w:r>
          </w:p>
        </w:tc>
        <w:tc>
          <w:tcPr>
            <w:tcW w:w="1924" w:type="dxa"/>
            <w:vAlign w:val="center"/>
          </w:tcPr>
          <w:p w:rsidR="00851801" w:rsidRDefault="0087052C">
            <w:pPr>
              <w:jc w:val="right"/>
            </w:pPr>
            <w:r>
              <w:rPr>
                <w:color w:val="000000"/>
                <w:sz w:val="24"/>
                <w:szCs w:val="24"/>
              </w:rPr>
              <w:t>13,762,140.00</w:t>
            </w:r>
          </w:p>
        </w:tc>
        <w:tc>
          <w:tcPr>
            <w:tcW w:w="1644" w:type="dxa"/>
            <w:vAlign w:val="center"/>
          </w:tcPr>
          <w:p w:rsidR="00851801" w:rsidRDefault="0087052C">
            <w:pPr>
              <w:jc w:val="right"/>
            </w:pPr>
            <w:r>
              <w:rPr>
                <w:color w:val="000000"/>
                <w:sz w:val="24"/>
                <w:szCs w:val="24"/>
              </w:rPr>
              <w:t>2.81</w:t>
            </w:r>
          </w:p>
        </w:tc>
      </w:tr>
      <w:tr w:rsidR="00851801">
        <w:trPr>
          <w:jc w:val="center"/>
        </w:trPr>
        <w:tc>
          <w:tcPr>
            <w:tcW w:w="855" w:type="dxa"/>
            <w:vAlign w:val="center"/>
          </w:tcPr>
          <w:p w:rsidR="00851801" w:rsidRDefault="0087052C">
            <w:pPr>
              <w:jc w:val="center"/>
            </w:pPr>
            <w:r>
              <w:rPr>
                <w:color w:val="000000"/>
                <w:sz w:val="24"/>
                <w:szCs w:val="24"/>
              </w:rPr>
              <w:t>8</w:t>
            </w:r>
          </w:p>
        </w:tc>
        <w:tc>
          <w:tcPr>
            <w:tcW w:w="1334" w:type="dxa"/>
            <w:vAlign w:val="center"/>
          </w:tcPr>
          <w:p w:rsidR="00851801" w:rsidRDefault="0087052C">
            <w:pPr>
              <w:jc w:val="center"/>
            </w:pPr>
            <w:r>
              <w:rPr>
                <w:color w:val="000000"/>
                <w:sz w:val="24"/>
                <w:szCs w:val="24"/>
              </w:rPr>
              <w:t>300413</w:t>
            </w:r>
          </w:p>
        </w:tc>
        <w:tc>
          <w:tcPr>
            <w:tcW w:w="1777" w:type="dxa"/>
            <w:vAlign w:val="center"/>
          </w:tcPr>
          <w:p w:rsidR="00851801" w:rsidRDefault="0087052C">
            <w:pPr>
              <w:jc w:val="center"/>
            </w:pPr>
            <w:r>
              <w:rPr>
                <w:color w:val="000000"/>
                <w:sz w:val="24"/>
                <w:szCs w:val="24"/>
              </w:rPr>
              <w:t>芒果超媒</w:t>
            </w:r>
          </w:p>
        </w:tc>
        <w:tc>
          <w:tcPr>
            <w:tcW w:w="1334" w:type="dxa"/>
            <w:vAlign w:val="center"/>
          </w:tcPr>
          <w:p w:rsidR="00851801" w:rsidRDefault="0087052C">
            <w:pPr>
              <w:jc w:val="right"/>
            </w:pPr>
            <w:r>
              <w:rPr>
                <w:color w:val="000000"/>
                <w:sz w:val="24"/>
                <w:szCs w:val="24"/>
              </w:rPr>
              <w:t>366,820</w:t>
            </w:r>
          </w:p>
        </w:tc>
        <w:tc>
          <w:tcPr>
            <w:tcW w:w="1924" w:type="dxa"/>
            <w:vAlign w:val="center"/>
          </w:tcPr>
          <w:p w:rsidR="00851801" w:rsidRDefault="0087052C">
            <w:pPr>
              <w:jc w:val="right"/>
            </w:pPr>
            <w:r>
              <w:rPr>
                <w:color w:val="000000"/>
                <w:sz w:val="24"/>
                <w:szCs w:val="24"/>
              </w:rPr>
              <w:t>13,576,008.20</w:t>
            </w:r>
          </w:p>
        </w:tc>
        <w:tc>
          <w:tcPr>
            <w:tcW w:w="1644" w:type="dxa"/>
            <w:vAlign w:val="center"/>
          </w:tcPr>
          <w:p w:rsidR="00851801" w:rsidRDefault="0087052C">
            <w:pPr>
              <w:jc w:val="right"/>
            </w:pPr>
            <w:r>
              <w:rPr>
                <w:color w:val="000000"/>
                <w:sz w:val="24"/>
                <w:szCs w:val="24"/>
              </w:rPr>
              <w:t>2.77</w:t>
            </w:r>
          </w:p>
        </w:tc>
      </w:tr>
      <w:tr w:rsidR="00851801">
        <w:trPr>
          <w:jc w:val="center"/>
        </w:trPr>
        <w:tc>
          <w:tcPr>
            <w:tcW w:w="855" w:type="dxa"/>
            <w:vAlign w:val="center"/>
          </w:tcPr>
          <w:p w:rsidR="00851801" w:rsidRDefault="0087052C">
            <w:pPr>
              <w:jc w:val="center"/>
            </w:pPr>
            <w:r>
              <w:rPr>
                <w:color w:val="000000"/>
                <w:sz w:val="24"/>
                <w:szCs w:val="24"/>
              </w:rPr>
              <w:t>9</w:t>
            </w:r>
          </w:p>
        </w:tc>
        <w:tc>
          <w:tcPr>
            <w:tcW w:w="1334" w:type="dxa"/>
            <w:vAlign w:val="center"/>
          </w:tcPr>
          <w:p w:rsidR="00851801" w:rsidRDefault="0087052C">
            <w:pPr>
              <w:jc w:val="center"/>
            </w:pPr>
            <w:r>
              <w:rPr>
                <w:color w:val="000000"/>
                <w:sz w:val="24"/>
                <w:szCs w:val="24"/>
              </w:rPr>
              <w:t>600258</w:t>
            </w:r>
          </w:p>
        </w:tc>
        <w:tc>
          <w:tcPr>
            <w:tcW w:w="1777" w:type="dxa"/>
            <w:vAlign w:val="center"/>
          </w:tcPr>
          <w:p w:rsidR="00851801" w:rsidRDefault="0087052C">
            <w:pPr>
              <w:jc w:val="center"/>
            </w:pPr>
            <w:r>
              <w:rPr>
                <w:color w:val="000000"/>
                <w:sz w:val="24"/>
                <w:szCs w:val="24"/>
              </w:rPr>
              <w:t>首旅酒店</w:t>
            </w:r>
          </w:p>
        </w:tc>
        <w:tc>
          <w:tcPr>
            <w:tcW w:w="1334" w:type="dxa"/>
            <w:vAlign w:val="center"/>
          </w:tcPr>
          <w:p w:rsidR="00851801" w:rsidRDefault="0087052C">
            <w:pPr>
              <w:jc w:val="right"/>
            </w:pPr>
            <w:r>
              <w:rPr>
                <w:color w:val="000000"/>
                <w:sz w:val="24"/>
                <w:szCs w:val="24"/>
              </w:rPr>
              <w:t>794,890</w:t>
            </w:r>
          </w:p>
        </w:tc>
        <w:tc>
          <w:tcPr>
            <w:tcW w:w="1924" w:type="dxa"/>
            <w:vAlign w:val="center"/>
          </w:tcPr>
          <w:p w:rsidR="00851801" w:rsidRDefault="0087052C">
            <w:pPr>
              <w:jc w:val="right"/>
            </w:pPr>
            <w:r>
              <w:rPr>
                <w:color w:val="000000"/>
                <w:sz w:val="24"/>
                <w:szCs w:val="24"/>
              </w:rPr>
              <w:t>12,686,444.40</w:t>
            </w:r>
          </w:p>
        </w:tc>
        <w:tc>
          <w:tcPr>
            <w:tcW w:w="1644" w:type="dxa"/>
            <w:vAlign w:val="center"/>
          </w:tcPr>
          <w:p w:rsidR="00851801" w:rsidRDefault="0087052C">
            <w:pPr>
              <w:jc w:val="right"/>
            </w:pPr>
            <w:r>
              <w:rPr>
                <w:color w:val="000000"/>
                <w:sz w:val="24"/>
                <w:szCs w:val="24"/>
              </w:rPr>
              <w:t>2.59</w:t>
            </w:r>
          </w:p>
        </w:tc>
      </w:tr>
      <w:tr w:rsidR="00851801">
        <w:trPr>
          <w:jc w:val="center"/>
        </w:trPr>
        <w:tc>
          <w:tcPr>
            <w:tcW w:w="855" w:type="dxa"/>
            <w:vAlign w:val="center"/>
          </w:tcPr>
          <w:p w:rsidR="00851801" w:rsidRDefault="0087052C">
            <w:pPr>
              <w:jc w:val="center"/>
            </w:pPr>
            <w:r>
              <w:rPr>
                <w:color w:val="000000"/>
                <w:sz w:val="24"/>
                <w:szCs w:val="24"/>
              </w:rPr>
              <w:t>10</w:t>
            </w:r>
          </w:p>
        </w:tc>
        <w:tc>
          <w:tcPr>
            <w:tcW w:w="1334" w:type="dxa"/>
            <w:vAlign w:val="center"/>
          </w:tcPr>
          <w:p w:rsidR="00851801" w:rsidRDefault="0087052C">
            <w:pPr>
              <w:jc w:val="center"/>
            </w:pPr>
            <w:r>
              <w:rPr>
                <w:color w:val="000000"/>
                <w:sz w:val="24"/>
                <w:szCs w:val="24"/>
              </w:rPr>
              <w:t>600548</w:t>
            </w:r>
          </w:p>
        </w:tc>
        <w:tc>
          <w:tcPr>
            <w:tcW w:w="1777" w:type="dxa"/>
            <w:vAlign w:val="center"/>
          </w:tcPr>
          <w:p w:rsidR="00851801" w:rsidRDefault="0087052C">
            <w:pPr>
              <w:jc w:val="center"/>
            </w:pPr>
            <w:r>
              <w:rPr>
                <w:color w:val="000000"/>
                <w:sz w:val="24"/>
                <w:szCs w:val="24"/>
              </w:rPr>
              <w:t>深高速</w:t>
            </w:r>
          </w:p>
        </w:tc>
        <w:tc>
          <w:tcPr>
            <w:tcW w:w="1334" w:type="dxa"/>
            <w:vAlign w:val="center"/>
          </w:tcPr>
          <w:p w:rsidR="00851801" w:rsidRDefault="0087052C">
            <w:pPr>
              <w:jc w:val="right"/>
            </w:pPr>
            <w:r>
              <w:rPr>
                <w:color w:val="000000"/>
                <w:sz w:val="24"/>
                <w:szCs w:val="24"/>
              </w:rPr>
              <w:t>1,213,040</w:t>
            </w:r>
          </w:p>
        </w:tc>
        <w:tc>
          <w:tcPr>
            <w:tcW w:w="1924" w:type="dxa"/>
            <w:vAlign w:val="center"/>
          </w:tcPr>
          <w:p w:rsidR="00851801" w:rsidRDefault="0087052C">
            <w:pPr>
              <w:jc w:val="right"/>
            </w:pPr>
            <w:r>
              <w:rPr>
                <w:color w:val="000000"/>
                <w:sz w:val="24"/>
                <w:szCs w:val="24"/>
              </w:rPr>
              <w:t>10,893,099.20</w:t>
            </w:r>
          </w:p>
        </w:tc>
        <w:tc>
          <w:tcPr>
            <w:tcW w:w="1644" w:type="dxa"/>
            <w:vAlign w:val="center"/>
          </w:tcPr>
          <w:p w:rsidR="00851801" w:rsidRDefault="0087052C">
            <w:pPr>
              <w:jc w:val="right"/>
            </w:pPr>
            <w:r>
              <w:rPr>
                <w:color w:val="000000"/>
                <w:sz w:val="24"/>
                <w:szCs w:val="24"/>
              </w:rPr>
              <w:t>2.22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29,820,000.00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183,135.00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0.04</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30,003,135.00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6.12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51801">
        <w:trPr>
          <w:jc w:val="center"/>
        </w:trPr>
        <w:tc>
          <w:tcPr>
            <w:tcW w:w="850" w:type="dxa"/>
            <w:vAlign w:val="center"/>
          </w:tcPr>
          <w:p w:rsidR="00851801" w:rsidRDefault="0087052C">
            <w:pPr>
              <w:jc w:val="center"/>
            </w:pPr>
            <w:r>
              <w:rPr>
                <w:color w:val="000000"/>
                <w:sz w:val="24"/>
                <w:szCs w:val="24"/>
              </w:rPr>
              <w:t>1</w:t>
            </w:r>
          </w:p>
        </w:tc>
        <w:tc>
          <w:tcPr>
            <w:tcW w:w="1475" w:type="dxa"/>
            <w:vAlign w:val="center"/>
          </w:tcPr>
          <w:p w:rsidR="00851801" w:rsidRDefault="0087052C">
            <w:pPr>
              <w:jc w:val="center"/>
            </w:pPr>
            <w:r>
              <w:rPr>
                <w:color w:val="000000"/>
                <w:sz w:val="24"/>
                <w:szCs w:val="24"/>
              </w:rPr>
              <w:t>189953</w:t>
            </w:r>
          </w:p>
        </w:tc>
        <w:tc>
          <w:tcPr>
            <w:tcW w:w="1769" w:type="dxa"/>
            <w:vAlign w:val="center"/>
          </w:tcPr>
          <w:p w:rsidR="00851801" w:rsidRDefault="0087052C">
            <w:pPr>
              <w:jc w:val="center"/>
            </w:pPr>
            <w:r>
              <w:rPr>
                <w:color w:val="000000"/>
                <w:sz w:val="24"/>
                <w:szCs w:val="24"/>
              </w:rPr>
              <w:t>18</w:t>
            </w:r>
            <w:r>
              <w:rPr>
                <w:color w:val="000000"/>
                <w:sz w:val="24"/>
                <w:szCs w:val="24"/>
              </w:rPr>
              <w:t>贴现国债</w:t>
            </w:r>
            <w:r>
              <w:rPr>
                <w:color w:val="000000"/>
                <w:sz w:val="24"/>
                <w:szCs w:val="24"/>
              </w:rPr>
              <w:t>53</w:t>
            </w:r>
          </w:p>
        </w:tc>
        <w:tc>
          <w:tcPr>
            <w:tcW w:w="1387" w:type="dxa"/>
            <w:vAlign w:val="center"/>
          </w:tcPr>
          <w:p w:rsidR="00851801" w:rsidRDefault="0087052C">
            <w:pPr>
              <w:jc w:val="right"/>
            </w:pPr>
            <w:r>
              <w:rPr>
                <w:color w:val="000000"/>
                <w:sz w:val="24"/>
                <w:szCs w:val="24"/>
              </w:rPr>
              <w:t>300,000</w:t>
            </w:r>
          </w:p>
        </w:tc>
        <w:tc>
          <w:tcPr>
            <w:tcW w:w="2150" w:type="dxa"/>
            <w:vAlign w:val="center"/>
          </w:tcPr>
          <w:p w:rsidR="00851801" w:rsidRDefault="0087052C">
            <w:pPr>
              <w:jc w:val="right"/>
            </w:pPr>
            <w:r>
              <w:rPr>
                <w:color w:val="000000"/>
                <w:sz w:val="24"/>
                <w:szCs w:val="24"/>
              </w:rPr>
              <w:t>29,820,000.00</w:t>
            </w:r>
          </w:p>
        </w:tc>
        <w:tc>
          <w:tcPr>
            <w:tcW w:w="1237" w:type="dxa"/>
            <w:vAlign w:val="center"/>
          </w:tcPr>
          <w:p w:rsidR="00851801" w:rsidRDefault="0087052C">
            <w:pPr>
              <w:jc w:val="right"/>
            </w:pPr>
            <w:r>
              <w:rPr>
                <w:color w:val="000000"/>
                <w:sz w:val="24"/>
                <w:szCs w:val="24"/>
              </w:rPr>
              <w:t>6.08</w:t>
            </w:r>
          </w:p>
        </w:tc>
      </w:tr>
      <w:tr w:rsidR="00851801">
        <w:trPr>
          <w:jc w:val="center"/>
        </w:trPr>
        <w:tc>
          <w:tcPr>
            <w:tcW w:w="850" w:type="dxa"/>
            <w:vAlign w:val="center"/>
          </w:tcPr>
          <w:p w:rsidR="00851801" w:rsidRDefault="0087052C">
            <w:pPr>
              <w:jc w:val="center"/>
            </w:pPr>
            <w:r>
              <w:rPr>
                <w:color w:val="000000"/>
                <w:sz w:val="24"/>
                <w:szCs w:val="24"/>
              </w:rPr>
              <w:t>2</w:t>
            </w:r>
          </w:p>
        </w:tc>
        <w:tc>
          <w:tcPr>
            <w:tcW w:w="1475" w:type="dxa"/>
            <w:vAlign w:val="center"/>
          </w:tcPr>
          <w:p w:rsidR="00851801" w:rsidRDefault="0087052C">
            <w:pPr>
              <w:jc w:val="center"/>
            </w:pPr>
            <w:r>
              <w:rPr>
                <w:color w:val="000000"/>
                <w:sz w:val="24"/>
                <w:szCs w:val="24"/>
              </w:rPr>
              <w:t>113517</w:t>
            </w:r>
          </w:p>
        </w:tc>
        <w:tc>
          <w:tcPr>
            <w:tcW w:w="1769" w:type="dxa"/>
            <w:vAlign w:val="center"/>
          </w:tcPr>
          <w:p w:rsidR="00851801" w:rsidRDefault="0087052C">
            <w:pPr>
              <w:jc w:val="center"/>
            </w:pPr>
            <w:r>
              <w:rPr>
                <w:color w:val="000000"/>
                <w:sz w:val="24"/>
                <w:szCs w:val="24"/>
              </w:rPr>
              <w:t>曙光转债</w:t>
            </w:r>
          </w:p>
        </w:tc>
        <w:tc>
          <w:tcPr>
            <w:tcW w:w="1387" w:type="dxa"/>
            <w:vAlign w:val="center"/>
          </w:tcPr>
          <w:p w:rsidR="00851801" w:rsidRDefault="0087052C">
            <w:pPr>
              <w:jc w:val="right"/>
            </w:pPr>
            <w:r>
              <w:rPr>
                <w:color w:val="000000"/>
                <w:sz w:val="24"/>
                <w:szCs w:val="24"/>
              </w:rPr>
              <w:t>1,740</w:t>
            </w:r>
          </w:p>
        </w:tc>
        <w:tc>
          <w:tcPr>
            <w:tcW w:w="2150" w:type="dxa"/>
            <w:vAlign w:val="center"/>
          </w:tcPr>
          <w:p w:rsidR="00851801" w:rsidRDefault="0087052C">
            <w:pPr>
              <w:jc w:val="right"/>
            </w:pPr>
            <w:r>
              <w:rPr>
                <w:color w:val="000000"/>
                <w:sz w:val="24"/>
                <w:szCs w:val="24"/>
              </w:rPr>
              <w:t>183,135.00</w:t>
            </w:r>
          </w:p>
        </w:tc>
        <w:tc>
          <w:tcPr>
            <w:tcW w:w="1237" w:type="dxa"/>
            <w:vAlign w:val="center"/>
          </w:tcPr>
          <w:p w:rsidR="00851801" w:rsidRDefault="0087052C">
            <w:pPr>
              <w:jc w:val="right"/>
            </w:pPr>
            <w:r>
              <w:rPr>
                <w:color w:val="000000"/>
                <w:sz w:val="24"/>
                <w:szCs w:val="24"/>
              </w:rPr>
              <w:t>0.04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275745" w:rsidRPr="00414345" w:rsidTr="00AB4DB6">
        <w:trPr>
          <w:trHeight w:val="105"/>
          <w:jc w:val="center"/>
        </w:trPr>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代码</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名称</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持仓量</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合约市值</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23"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center"/>
              <w:rPr>
                <w:rFonts w:ascii="Times New Roman" w:hAnsi="Times New Roman" w:cs="Times New Roman"/>
                <w:color w:val="auto"/>
              </w:rPr>
            </w:pPr>
            <w:r w:rsidRPr="00414345">
              <w:rPr>
                <w:rFonts w:ascii="Times New Roman" w:hAnsi="Times New Roman" w:cs="Times New Roman"/>
                <w:color w:val="auto"/>
              </w:rPr>
              <w:t>风险说明</w:t>
            </w:r>
          </w:p>
        </w:tc>
      </w:tr>
      <w:tr w:rsidR="00851801">
        <w:trPr>
          <w:jc w:val="center"/>
        </w:trPr>
        <w:tc>
          <w:tcPr>
            <w:tcW w:w="1478" w:type="dxa"/>
            <w:vAlign w:val="center"/>
          </w:tcPr>
          <w:p w:rsidR="00851801" w:rsidRDefault="0087052C">
            <w:pPr>
              <w:jc w:val="center"/>
            </w:pPr>
            <w:r>
              <w:t>IH1901</w:t>
            </w:r>
          </w:p>
        </w:tc>
        <w:tc>
          <w:tcPr>
            <w:tcW w:w="1479" w:type="dxa"/>
            <w:vAlign w:val="center"/>
          </w:tcPr>
          <w:p w:rsidR="00851801" w:rsidRDefault="0087052C">
            <w:pPr>
              <w:jc w:val="left"/>
            </w:pPr>
            <w:r>
              <w:t>IH1901</w:t>
            </w:r>
          </w:p>
        </w:tc>
        <w:tc>
          <w:tcPr>
            <w:tcW w:w="1479" w:type="dxa"/>
            <w:vAlign w:val="center"/>
          </w:tcPr>
          <w:p w:rsidR="00851801" w:rsidRDefault="0087052C">
            <w:pPr>
              <w:jc w:val="right"/>
            </w:pPr>
            <w:r>
              <w:t>10.00</w:t>
            </w:r>
          </w:p>
        </w:tc>
        <w:tc>
          <w:tcPr>
            <w:tcW w:w="1479" w:type="dxa"/>
            <w:vAlign w:val="center"/>
          </w:tcPr>
          <w:p w:rsidR="00851801" w:rsidRDefault="0087052C">
            <w:pPr>
              <w:jc w:val="right"/>
            </w:pPr>
            <w:r>
              <w:t>-6,877,800.00</w:t>
            </w:r>
          </w:p>
        </w:tc>
        <w:tc>
          <w:tcPr>
            <w:tcW w:w="1480" w:type="dxa"/>
            <w:vAlign w:val="center"/>
          </w:tcPr>
          <w:p w:rsidR="00851801" w:rsidRDefault="0087052C">
            <w:pPr>
              <w:jc w:val="right"/>
            </w:pPr>
            <w:r>
              <w:t>-30,600.00</w:t>
            </w:r>
          </w:p>
        </w:tc>
        <w:tc>
          <w:tcPr>
            <w:tcW w:w="1473" w:type="dxa"/>
            <w:vAlign w:val="center"/>
          </w:tcPr>
          <w:p w:rsidR="00851801" w:rsidRDefault="0087052C">
            <w:pPr>
              <w:jc w:val="left"/>
            </w:pPr>
            <w: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rPr>
            </w:pPr>
            <w:r w:rsidRPr="00414345">
              <w:rPr>
                <w:rFonts w:ascii="Times New Roman" w:hAnsi="Times New Roman" w:cs="Times New Roman"/>
              </w:rPr>
              <w:t>公允价值变动总额合计</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-30,600.00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股指期货投资本期收益</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-931,480.00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-1,815,800.00</w:t>
            </w:r>
          </w:p>
        </w:tc>
      </w:tr>
    </w:tbl>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942,450.68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CD1444" w:rsidP="00C15CAC">
            <w:pPr>
              <w:autoSpaceDE w:val="0"/>
              <w:autoSpaceDN w:val="0"/>
              <w:adjustRightInd w:val="0"/>
              <w:spacing w:before="29" w:line="288" w:lineRule="auto"/>
              <w:ind w:left="15"/>
              <w:jc w:val="right"/>
              <w:rPr>
                <w:color w:val="000000"/>
                <w:sz w:val="24"/>
                <w:szCs w:val="24"/>
              </w:rPr>
            </w:pPr>
            <w:r>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bookmarkStart w:id="0" w:name="_GoBack"/>
            <w:bookmarkEnd w:id="0"/>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91,031.30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13,035.04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CD1444" w:rsidP="00C15CAC">
            <w:pPr>
              <w:autoSpaceDE w:val="0"/>
              <w:autoSpaceDN w:val="0"/>
              <w:adjustRightInd w:val="0"/>
              <w:spacing w:before="29" w:line="288" w:lineRule="auto"/>
              <w:ind w:left="15"/>
              <w:jc w:val="right"/>
              <w:rPr>
                <w:color w:val="000000"/>
                <w:sz w:val="24"/>
                <w:szCs w:val="24"/>
              </w:rPr>
            </w:pPr>
            <w:r w:rsidRPr="00CD1444">
              <w:rPr>
                <w:color w:val="000000"/>
                <w:sz w:val="24"/>
                <w:szCs w:val="24"/>
              </w:rPr>
              <w:t>1,046,517.02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851801">
        <w:trPr>
          <w:jc w:val="center"/>
        </w:trPr>
        <w:tc>
          <w:tcPr>
            <w:tcW w:w="1129" w:type="dxa"/>
            <w:vAlign w:val="center"/>
          </w:tcPr>
          <w:p w:rsidR="00851801" w:rsidRDefault="0087052C">
            <w:pPr>
              <w:jc w:val="center"/>
            </w:pPr>
            <w:r>
              <w:rPr>
                <w:color w:val="000000"/>
                <w:sz w:val="24"/>
                <w:szCs w:val="24"/>
              </w:rPr>
              <w:t>1</w:t>
            </w:r>
          </w:p>
        </w:tc>
        <w:tc>
          <w:tcPr>
            <w:tcW w:w="1356" w:type="dxa"/>
            <w:vAlign w:val="center"/>
          </w:tcPr>
          <w:p w:rsidR="00851801" w:rsidRDefault="0087052C">
            <w:pPr>
              <w:jc w:val="center"/>
            </w:pPr>
            <w:r>
              <w:rPr>
                <w:color w:val="000000"/>
                <w:sz w:val="24"/>
                <w:szCs w:val="24"/>
              </w:rPr>
              <w:t>600030</w:t>
            </w:r>
          </w:p>
        </w:tc>
        <w:tc>
          <w:tcPr>
            <w:tcW w:w="1355" w:type="dxa"/>
            <w:vAlign w:val="center"/>
          </w:tcPr>
          <w:p w:rsidR="00851801" w:rsidRDefault="0087052C">
            <w:pPr>
              <w:jc w:val="center"/>
            </w:pPr>
            <w:r>
              <w:rPr>
                <w:color w:val="000000"/>
                <w:sz w:val="24"/>
                <w:szCs w:val="24"/>
              </w:rPr>
              <w:t>中信证券</w:t>
            </w:r>
          </w:p>
        </w:tc>
        <w:tc>
          <w:tcPr>
            <w:tcW w:w="1880" w:type="dxa"/>
            <w:vAlign w:val="center"/>
          </w:tcPr>
          <w:p w:rsidR="00851801" w:rsidRDefault="0087052C">
            <w:pPr>
              <w:jc w:val="right"/>
            </w:pPr>
            <w:r>
              <w:rPr>
                <w:color w:val="000000"/>
                <w:sz w:val="24"/>
                <w:szCs w:val="24"/>
              </w:rPr>
              <w:t>14,532,277.00</w:t>
            </w:r>
          </w:p>
        </w:tc>
        <w:tc>
          <w:tcPr>
            <w:tcW w:w="1724" w:type="dxa"/>
            <w:vAlign w:val="center"/>
          </w:tcPr>
          <w:p w:rsidR="00851801" w:rsidRDefault="0087052C">
            <w:pPr>
              <w:jc w:val="right"/>
            </w:pPr>
            <w:r>
              <w:rPr>
                <w:color w:val="000000"/>
                <w:sz w:val="24"/>
                <w:szCs w:val="24"/>
              </w:rPr>
              <w:t>2.96</w:t>
            </w:r>
          </w:p>
        </w:tc>
        <w:tc>
          <w:tcPr>
            <w:tcW w:w="1424" w:type="dxa"/>
            <w:vAlign w:val="center"/>
          </w:tcPr>
          <w:p w:rsidR="00851801" w:rsidRPr="0087052C" w:rsidRDefault="0087052C">
            <w:pPr>
              <w:jc w:val="right"/>
              <w:rPr>
                <w:color w:val="000000"/>
                <w:sz w:val="24"/>
                <w:szCs w:val="24"/>
              </w:rPr>
            </w:pPr>
            <w:r w:rsidRPr="0087052C">
              <w:rPr>
                <w:rFonts w:hint="eastAsia"/>
                <w:color w:val="000000"/>
                <w:sz w:val="24"/>
                <w:szCs w:val="24"/>
              </w:rPr>
              <w:t>重大</w:t>
            </w:r>
            <w:r w:rsidRPr="0087052C">
              <w:rPr>
                <w:color w:val="000000"/>
                <w:sz w:val="24"/>
                <w:szCs w:val="24"/>
              </w:rPr>
              <w:t>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607,732,548.11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7,249,295.29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10,202,901.70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604,778,941.70</w:t>
            </w:r>
          </w:p>
        </w:tc>
      </w:tr>
    </w:tbl>
    <w:p w:rsidR="00851801" w:rsidRDefault="0087052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51801" w:rsidRDefault="0087052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、中国证监会准予交银施罗德国企改革灵活配置混合型证券投资基金募集注册的文件；</w:t>
      </w:r>
      <w:r>
        <w:rPr>
          <w:color w:val="000000"/>
          <w:sz w:val="24"/>
          <w:szCs w:val="24"/>
        </w:rPr>
        <w:t xml:space="preserve"> </w:t>
      </w:r>
    </w:p>
    <w:p w:rsidR="00851801" w:rsidRDefault="0087052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、《交银施罗德国企改革灵活配置混合型证券投资基金基金合同》；</w:t>
      </w:r>
    </w:p>
    <w:p w:rsidR="00851801" w:rsidRDefault="0087052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、《交银施罗德国企改革灵活配置混合型证券投资基金招募说明书》；</w:t>
      </w:r>
      <w:r>
        <w:rPr>
          <w:color w:val="000000"/>
          <w:sz w:val="24"/>
          <w:szCs w:val="24"/>
        </w:rPr>
        <w:t xml:space="preserve"> </w:t>
      </w:r>
    </w:p>
    <w:p w:rsidR="00851801" w:rsidRDefault="0087052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、《交银施罗德国企改革灵活配置混合型证券投资基金托管协议》；</w:t>
      </w:r>
      <w:r>
        <w:rPr>
          <w:color w:val="000000"/>
          <w:sz w:val="24"/>
          <w:szCs w:val="24"/>
        </w:rPr>
        <w:t xml:space="preserve"> </w:t>
      </w:r>
    </w:p>
    <w:p w:rsidR="00851801" w:rsidRDefault="0087052C">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851801" w:rsidRDefault="0087052C">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851801" w:rsidRDefault="0087052C">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、关于申请募集注册交银施罗德国企改革灵活配置混合型证券投资基金的法律意见书；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、报告期内交银施罗德国企改革灵活配置混合型证券投资基金在指定报刊上各项公告的原稿。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51801" w:rsidRDefault="0087052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CD1444">
      <w:rPr>
        <w:noProof/>
        <w:kern w:val="0"/>
        <w:szCs w:val="21"/>
      </w:rPr>
      <w:t>10</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CD1444">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交银施罗德国企改革灵活配置混合型证券投资基金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0570"/>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1801"/>
    <w:rsid w:val="00853140"/>
    <w:rsid w:val="00854537"/>
    <w:rsid w:val="00855F31"/>
    <w:rsid w:val="008606B6"/>
    <w:rsid w:val="00861E6D"/>
    <w:rsid w:val="008700EC"/>
    <w:rsid w:val="0087052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1444"/>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75FBD57-A349-48E9-8E05-3D493957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B61D9-8CDD-49A2-B5E9-5037A39F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12</Pages>
  <Words>1083</Words>
  <Characters>6177</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581</cp:revision>
  <dcterms:created xsi:type="dcterms:W3CDTF">2012-10-16T06:07:00Z</dcterms:created>
  <dcterms:modified xsi:type="dcterms:W3CDTF">2019-01-17T07:56:00Z</dcterms:modified>
</cp:coreProperties>
</file>