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交银施罗德持续成长主题混合型证券投资基金</w:t>
      </w:r>
    </w:p>
    <w:p w:rsidP="00C15CAC" w:rsidR="002279D3" w:rsidRDefault="002279D3" w:rsidRPr="0081286B">
      <w:pPr>
        <w:spacing w:before="29" w:line="288" w:lineRule="auto"/>
        <w:jc w:val="center"/>
        <w:rPr>
          <w:b/>
          <w:sz w:val="36"/>
          <w:szCs w:val="36"/>
        </w:rPr>
      </w:pPr>
      <w:r w:rsidRPr="0081286B">
        <w:rPr>
          <w:b/>
          <w:sz w:val="36"/>
          <w:szCs w:val="36"/>
        </w:rPr>
        <w:t>2018年第4季度报告</w:t>
      </w:r>
    </w:p>
    <w:p w:rsidP="00C15CAC" w:rsidR="004061AC" w:rsidRDefault="00655CD8" w:rsidRPr="0081286B">
      <w:pPr>
        <w:spacing w:before="29" w:line="288" w:lineRule="auto"/>
        <w:jc w:val="center"/>
        <w:rPr>
          <w:b/>
          <w:sz w:val="36"/>
          <w:szCs w:val="36"/>
        </w:rPr>
      </w:pPr>
      <w:r w:rsidRPr="0081286B">
        <w:rPr>
          <w:b/>
          <w:sz w:val="36"/>
          <w:szCs w:val="36"/>
        </w:rPr>
        <w:t>2018年12月31日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中国工商银行股份有限公司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二〇一九年一月二十一日</w:t>
      </w:r>
    </w:p>
    <w:p w:rsidP="0011537B" w:rsidR="004061AC" w:rsidRDefault="004061AC" w:rsidRPr="00414345">
      <w:pPr>
        <w:pStyle w:val="1"/>
        <w:spacing w:afterLines="100"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基金托管人中国工商银行股份有限公司根据本基金合同规定，于2019年1月18日复核了本报告中的财务指标、净值表现和投资组合报告等内容，保证复核内容不存在虚假记载、误导性陈述或者重大遗漏。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本报告期自2018年10月1日起至12月31日止。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交银持续成长主题混合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005001</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005001</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2018年1月12日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1,778,522,713.83</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评价，精选个股，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(2018年10月1日-2018年12月31日)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-46,259,983.22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-155,024,919.03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-0.0868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1,716,423,680.42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0.9651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pPr>
        <w:autoSpaceDE w:val="0"/>
        <w:autoSpaceDN w:val="0"/>
        <w:adjustRightInd w:val="0"/>
        <w:spacing w:before="29" w:line="288" w:lineRule="auto"/>
        <w:jc w:val="left"/>
        <w:rPr>
          <w:color w:val="000000"/>
          <w:sz w:val="24"/>
          <w:szCs w:val="24"/>
        </w:rPr>
      </w:pPr>
      <w:r>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-8.56%</w:t>
            </w:r>
          </w:p>
        </w:tc>
        <w:tc>
          <w:tcPr>
            <w:vAlign w:val="center"/>
          </w:tcPr>
          <w:p>
            <w:pPr>
              <w:jc w:val="center"/>
            </w:pPr>
            <w:r>
              <w:rPr>
                <w:color w:val="000000"/>
                <w:sz w:val="24"/>
                <w:szCs w:val="24"/>
              </w:rPr>
              <w:t>1.53%</w:t>
            </w:r>
          </w:p>
        </w:tc>
        <w:tc>
          <w:tcPr>
            <w:vAlign w:val="center"/>
          </w:tcPr>
          <w:p>
            <w:pPr>
              <w:jc w:val="center"/>
            </w:pPr>
            <w:r>
              <w:rPr>
                <w:color w:val="000000"/>
                <w:sz w:val="24"/>
                <w:szCs w:val="24"/>
              </w:rPr>
              <w:t>-8.77%</w:t>
            </w:r>
          </w:p>
        </w:tc>
        <w:tc>
          <w:tcPr>
            <w:vAlign w:val="center"/>
          </w:tcPr>
          <w:p>
            <w:pPr>
              <w:jc w:val="center"/>
            </w:pPr>
            <w:r>
              <w:rPr>
                <w:color w:val="000000"/>
                <w:sz w:val="24"/>
                <w:szCs w:val="24"/>
              </w:rPr>
              <w:t>1.23%</w:t>
            </w:r>
          </w:p>
        </w:tc>
        <w:tc>
          <w:tcPr>
            <w:vAlign w:val="center"/>
          </w:tcPr>
          <w:p>
            <w:pPr>
              <w:jc w:val="center"/>
            </w:pPr>
            <w:r>
              <w:rPr>
                <w:color w:val="000000"/>
                <w:sz w:val="24"/>
                <w:szCs w:val="24"/>
              </w:rPr>
              <w:t>0.21%</w:t>
            </w:r>
          </w:p>
        </w:tc>
        <w:tc>
          <w:tcPr>
            <w:vAlign w:val="center"/>
          </w:tcPr>
          <w:p>
            <w:pPr>
              <w:jc w:val="center"/>
            </w:pPr>
            <w:r>
              <w:rPr>
                <w:color w:val="000000"/>
                <w:sz w:val="24"/>
                <w:szCs w:val="24"/>
              </w:rPr>
              <w:t>0.30%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交银施罗德持续成长主题混合型证券投资基金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2018年1月12日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2018年12月31日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基金合同生效日为2018年1月12日，基金合同生效日至报告期期末，本基金运作时间未满一年。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何帅</w:t>
            </w:r>
          </w:p>
        </w:tc>
        <w:tc>
          <w:tcPr>
            <w:vAlign w:val="center"/>
          </w:tcPr>
          <w:p>
            <w:pPr>
              <w:jc w:val="center"/>
            </w:pPr>
            <w:r>
              <w:rPr>
                <w:color w:val="000000"/>
                <w:sz w:val="24"/>
                <w:szCs w:val="24"/>
              </w:rPr>
              <w:t>交银优势行业混合、交银阿尔法核心混合、交银持续成长主题混合的基金经理</w:t>
            </w:r>
          </w:p>
        </w:tc>
        <w:tc>
          <w:tcPr>
            <w:vAlign w:val="center"/>
          </w:tcPr>
          <w:p>
            <w:pPr>
              <w:jc w:val="center"/>
            </w:pPr>
            <w:r>
              <w:rPr>
                <w:color w:val="000000"/>
                <w:sz w:val="24"/>
                <w:szCs w:val="24"/>
              </w:rPr>
              <w:t>2018-01-12</w:t>
            </w:r>
          </w:p>
        </w:tc>
        <w:tc>
          <w:tcPr>
            <w:vAlign w:val="center"/>
          </w:tcPr>
          <w:p>
            <w:pPr>
              <w:jc w:val="center"/>
            </w:pPr>
            <w:r>
              <w:rPr>
                <w:color w:val="000000"/>
                <w:sz w:val="24"/>
                <w:szCs w:val="24"/>
              </w:rPr>
              <w:t>-</w:t>
            </w:r>
          </w:p>
        </w:tc>
        <w:tc>
          <w:tcPr>
            <w:vAlign w:val="center"/>
          </w:tcPr>
          <w:p>
            <w:pPr>
              <w:jc w:val="center"/>
            </w:pPr>
            <w:r>
              <w:rPr>
                <w:color w:val="000000"/>
                <w:sz w:val="24"/>
                <w:szCs w:val="24"/>
              </w:rPr>
              <w:t>8年</w:t>
            </w:r>
          </w:p>
        </w:tc>
        <w:tc>
          <w:tcPr>
            <w:vAlign w:val="center"/>
          </w:tcPr>
          <w:p>
            <w:pPr>
              <w:jc w:val="both"/>
            </w:pPr>
            <w:r>
              <w:rPr>
                <w:color w:val="000000"/>
                <w:sz w:val="24"/>
                <w:szCs w:val="24"/>
              </w:rPr>
              <w:t>何帅先生，上海财经大学硕士。历任国联安基金管理有限公司研究员。2012年加入交银施罗德基金管理有限公司，历任行业分析师。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2018年四季度A股市场下跌明显，上证指数下跌11.61%，创业板指数下跌11.39%。其中银行、地产等板块较为抗跌，而医药、电子等板块下跌明显。</w:t>
      </w:r>
    </w:p>
    <w:p>
      <w:pPr>
        <w:spacing w:before="29" w:line="288" w:lineRule="auto"/>
        <w:ind w:firstLine="480" w:firstLineChars="200"/>
        <w:rPr>
          <w:color w:val="000000"/>
          <w:sz w:val="24"/>
          <w:szCs w:val="24"/>
        </w:rPr>
      </w:pPr>
      <w:r>
        <w:rPr>
          <w:color w:val="000000"/>
          <w:sz w:val="24"/>
          <w:szCs w:val="24"/>
        </w:rPr>
        <w:t>本基金在四季度未能有明显超额收益，主要原因是持仓的医药服务类个股回落较大，而先进服务业、先进制造等领域较为稳健。</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宏观经济指标在四季度有明显回落，宏观政策基本确认由中性向适度宽松转变，货币政策整体宽松但传导至实体经济需要时间，股票市场在此环境下预计以震荡走势为主。在整体经济周期趋弱的环境下，我们将精选能够持续成长的行业和公司，那些在经济周期下行过程中竞争力不受影响，甚至市场份额反而提升的公司。我们希望通过深度研究，从公司价值的可持续成长空间中获利，并希望能够持续为持有人获得超额收益。</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Lines="100"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rsidRPr="007B5F21">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tbl>
      <w:tblPr>
        <w:tblStyle w:val="af7"/>
        <w:tblW w:type="dxa" w:w="8897"/>
        <w:tblInd w:type="dxa" w:w="108"/>
        <w:tblLayout w:type="fixed"/>
        <w:tblLook w:val="04A0"/>
      </w:tblPr>
      <w:tblGrid>
        <w:gridCol w:w="720"/>
        <w:gridCol w:w="2824"/>
        <w:gridCol w:w="2552"/>
        <w:gridCol w:w="2801"/>
      </w:tblGrid>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824"/>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r w:rsidRPr="007B5F21">
              <w:rPr>
                <w:rFonts w:eastAsiaTheme="minorEastAsia"/>
                <w:color w:themeColor="text1" w:val="000000"/>
                <w:sz w:val="24"/>
                <w:szCs w:val="24"/>
              </w:rPr>
              <w:t>(</w:t>
            </w:r>
            <w:r w:rsidRPr="007B5F21">
              <w:rPr>
                <w:rFonts w:eastAsiaTheme="minorEastAsia"/>
                <w:color w:themeColor="text1" w:val="000000"/>
                <w:sz w:val="24"/>
                <w:szCs w:val="24"/>
              </w:rPr>
              <w:t>元</w:t>
            </w: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1</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1,346,941,999.46</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77.35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1,346,941,999.46</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77.35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99,400,000.00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5.71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99,400,000.00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5.71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824"/>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150,000,465.00</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8.61</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824"/>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134,971,783.93</w:t>
            </w:r>
          </w:p>
        </w:tc>
        <w:tc>
          <w:tcPr>
            <w:tcW w:type="dxa" w:w="2801"/>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7.75</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9,984,578.47</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0.57</w:t>
            </w:r>
          </w:p>
        </w:tc>
      </w:tr>
      <w:tr w:rsidR="00BF0019" w:rsidRPr="007B5F21" w:rsidTr="002D2971">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824"/>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1,741,298,826.86</w:t>
            </w:r>
          </w:p>
        </w:tc>
        <w:tc>
          <w:tcPr>
            <w:tcW w:type="dxa" w:w="2801"/>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rsidRPr="00F51C4E">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公允价值（元）</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280,631,482.20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16.35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1,837,260.00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603,861,492.75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8,673,163.82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75,434,084.32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81,359,980.05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4.74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218,252,157.68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76,892,378.64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1,346,941,999.46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78.47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10,442,717</w:t>
            </w:r>
          </w:p>
        </w:tc>
        <w:tc>
          <w:tcPr>
            <w:vAlign w:val="center"/>
          </w:tcPr>
          <w:p>
            <w:pPr>
              <w:jc w:val="right"/>
            </w:pPr>
            <w:r>
              <w:rPr>
                <w:color w:val="000000"/>
                <w:sz w:val="24"/>
                <w:szCs w:val="24"/>
              </w:rPr>
              <w:t>135,607,175.34</w:t>
            </w:r>
          </w:p>
        </w:tc>
        <w:tc>
          <w:tcPr>
            <w:vAlign w:val="center"/>
          </w:tcPr>
          <w:p>
            <w:pPr>
              <w:jc w:val="right"/>
            </w:pPr>
            <w:r>
              <w:rPr>
                <w:color w:val="000000"/>
                <w:sz w:val="24"/>
                <w:szCs w:val="24"/>
              </w:rPr>
              <w:t>7.90</w:t>
            </w:r>
          </w:p>
        </w:tc>
      </w:tr>
      <w:tr>
        <w:tc>
          <w:tcPr>
            <w:vAlign w:val="center"/>
          </w:tcPr>
          <w:p>
            <w:pPr>
              <w:jc w:val="center"/>
            </w:pPr>
            <w:r>
              <w:rPr>
                <w:color w:val="000000"/>
                <w:sz w:val="24"/>
                <w:szCs w:val="24"/>
              </w:rPr>
              <w:t>2</w:t>
            </w:r>
          </w:p>
        </w:tc>
        <w:tc>
          <w:tcPr>
            <w:vAlign w:val="center"/>
          </w:tcPr>
          <w:p>
            <w:pPr>
              <w:jc w:val="center"/>
            </w:pPr>
            <w:r>
              <w:rPr>
                <w:color w:val="000000"/>
                <w:sz w:val="24"/>
                <w:szCs w:val="24"/>
              </w:rPr>
              <w:t>002044</w:t>
            </w:r>
          </w:p>
        </w:tc>
        <w:tc>
          <w:tcPr>
            <w:vAlign w:val="center"/>
          </w:tcPr>
          <w:p>
            <w:pPr>
              <w:jc w:val="center"/>
            </w:pPr>
            <w:r>
              <w:rPr>
                <w:color w:val="000000"/>
                <w:sz w:val="24"/>
                <w:szCs w:val="24"/>
              </w:rPr>
              <w:t>美年健康</w:t>
            </w:r>
          </w:p>
        </w:tc>
        <w:tc>
          <w:tcPr>
            <w:vAlign w:val="center"/>
          </w:tcPr>
          <w:p>
            <w:pPr>
              <w:jc w:val="right"/>
            </w:pPr>
            <w:r>
              <w:rPr>
                <w:color w:val="000000"/>
                <w:sz w:val="24"/>
                <w:szCs w:val="24"/>
              </w:rPr>
              <w:t>8,711,466</w:t>
            </w:r>
          </w:p>
        </w:tc>
        <w:tc>
          <w:tcPr>
            <w:vAlign w:val="center"/>
          </w:tcPr>
          <w:p>
            <w:pPr>
              <w:jc w:val="right"/>
            </w:pPr>
            <w:r>
              <w:rPr>
                <w:color w:val="000000"/>
                <w:sz w:val="24"/>
                <w:szCs w:val="24"/>
              </w:rPr>
              <w:t>130,236,416.70</w:t>
            </w:r>
          </w:p>
        </w:tc>
        <w:tc>
          <w:tcPr>
            <w:vAlign w:val="center"/>
          </w:tcPr>
          <w:p>
            <w:pPr>
              <w:jc w:val="right"/>
            </w:pPr>
            <w:r>
              <w:rPr>
                <w:color w:val="000000"/>
                <w:sz w:val="24"/>
                <w:szCs w:val="24"/>
              </w:rPr>
              <w:t>7.59</w:t>
            </w:r>
          </w:p>
        </w:tc>
      </w:tr>
      <w:tr>
        <w:tc>
          <w:tcPr>
            <w:vAlign w:val="center"/>
          </w:tcPr>
          <w:p>
            <w:pPr>
              <w:jc w:val="center"/>
            </w:pPr>
            <w:r>
              <w:rPr>
                <w:color w:val="000000"/>
                <w:sz w:val="24"/>
                <w:szCs w:val="24"/>
              </w:rPr>
              <w:t>3</w:t>
            </w:r>
          </w:p>
        </w:tc>
        <w:tc>
          <w:tcPr>
            <w:vAlign w:val="center"/>
          </w:tcPr>
          <w:p>
            <w:pPr>
              <w:jc w:val="center"/>
            </w:pPr>
            <w:r>
              <w:rPr>
                <w:color w:val="000000"/>
                <w:sz w:val="24"/>
                <w:szCs w:val="24"/>
              </w:rPr>
              <w:t>300365</w:t>
            </w:r>
          </w:p>
        </w:tc>
        <w:tc>
          <w:tcPr>
            <w:vAlign w:val="center"/>
          </w:tcPr>
          <w:p>
            <w:pPr>
              <w:jc w:val="center"/>
            </w:pPr>
            <w:r>
              <w:rPr>
                <w:color w:val="000000"/>
                <w:sz w:val="24"/>
                <w:szCs w:val="24"/>
              </w:rPr>
              <w:t>恒华科技</w:t>
            </w:r>
          </w:p>
        </w:tc>
        <w:tc>
          <w:tcPr>
            <w:vAlign w:val="center"/>
          </w:tcPr>
          <w:p>
            <w:pPr>
              <w:jc w:val="right"/>
            </w:pPr>
            <w:r>
              <w:rPr>
                <w:color w:val="000000"/>
                <w:sz w:val="24"/>
                <w:szCs w:val="24"/>
              </w:rPr>
              <w:t>5,351,888</w:t>
            </w:r>
          </w:p>
        </w:tc>
        <w:tc>
          <w:tcPr>
            <w:vAlign w:val="center"/>
          </w:tcPr>
          <w:p>
            <w:pPr>
              <w:jc w:val="right"/>
            </w:pPr>
            <w:r>
              <w:rPr>
                <w:color w:val="000000"/>
                <w:sz w:val="24"/>
                <w:szCs w:val="24"/>
              </w:rPr>
              <w:t>111,854,459.20</w:t>
            </w:r>
          </w:p>
        </w:tc>
        <w:tc>
          <w:tcPr>
            <w:vAlign w:val="center"/>
          </w:tcPr>
          <w:p>
            <w:pPr>
              <w:jc w:val="right"/>
            </w:pPr>
            <w:r>
              <w:rPr>
                <w:color w:val="000000"/>
                <w:sz w:val="24"/>
                <w:szCs w:val="24"/>
              </w:rPr>
              <w:t>6.52</w:t>
            </w:r>
          </w:p>
        </w:tc>
      </w:tr>
      <w:tr>
        <w:tc>
          <w:tcPr>
            <w:vAlign w:val="center"/>
          </w:tcPr>
          <w:p>
            <w:pPr>
              <w:jc w:val="center"/>
            </w:pPr>
            <w:r>
              <w:rPr>
                <w:color w:val="000000"/>
                <w:sz w:val="24"/>
                <w:szCs w:val="24"/>
              </w:rPr>
              <w:t>4</w:t>
            </w:r>
          </w:p>
        </w:tc>
        <w:tc>
          <w:tcPr>
            <w:vAlign w:val="center"/>
          </w:tcPr>
          <w:p>
            <w:pPr>
              <w:jc w:val="center"/>
            </w:pPr>
            <w:r>
              <w:rPr>
                <w:color w:val="000000"/>
                <w:sz w:val="24"/>
                <w:szCs w:val="24"/>
              </w:rPr>
              <w:t>300529</w:t>
            </w:r>
          </w:p>
        </w:tc>
        <w:tc>
          <w:tcPr>
            <w:vAlign w:val="center"/>
          </w:tcPr>
          <w:p>
            <w:pPr>
              <w:jc w:val="center"/>
            </w:pPr>
            <w:r>
              <w:rPr>
                <w:color w:val="000000"/>
                <w:sz w:val="24"/>
                <w:szCs w:val="24"/>
              </w:rPr>
              <w:t>健帆生物</w:t>
            </w:r>
          </w:p>
        </w:tc>
        <w:tc>
          <w:tcPr>
            <w:vAlign w:val="center"/>
          </w:tcPr>
          <w:p>
            <w:pPr>
              <w:jc w:val="right"/>
            </w:pPr>
            <w:r>
              <w:rPr>
                <w:color w:val="000000"/>
                <w:sz w:val="24"/>
                <w:szCs w:val="24"/>
              </w:rPr>
              <w:t>2,272,695</w:t>
            </w:r>
          </w:p>
        </w:tc>
        <w:tc>
          <w:tcPr>
            <w:vAlign w:val="center"/>
          </w:tcPr>
          <w:p>
            <w:pPr>
              <w:jc w:val="right"/>
            </w:pPr>
            <w:r>
              <w:rPr>
                <w:color w:val="000000"/>
                <w:sz w:val="24"/>
                <w:szCs w:val="24"/>
              </w:rPr>
              <w:t>94,316,842.50</w:t>
            </w:r>
          </w:p>
        </w:tc>
        <w:tc>
          <w:tcPr>
            <w:vAlign w:val="center"/>
          </w:tcPr>
          <w:p>
            <w:pPr>
              <w:jc w:val="right"/>
            </w:pPr>
            <w:r>
              <w:rPr>
                <w:color w:val="000000"/>
                <w:sz w:val="24"/>
                <w:szCs w:val="24"/>
              </w:rPr>
              <w:t>5.49</w:t>
            </w:r>
          </w:p>
        </w:tc>
      </w:tr>
      <w:tr>
        <w:tc>
          <w:tcPr>
            <w:vAlign w:val="center"/>
          </w:tcPr>
          <w:p>
            <w:pPr>
              <w:jc w:val="center"/>
            </w:pPr>
            <w:r>
              <w:rPr>
                <w:color w:val="000000"/>
                <w:sz w:val="24"/>
                <w:szCs w:val="24"/>
              </w:rPr>
              <w:t>5</w:t>
            </w:r>
          </w:p>
        </w:tc>
        <w:tc>
          <w:tcPr>
            <w:vAlign w:val="center"/>
          </w:tcPr>
          <w:p>
            <w:pPr>
              <w:jc w:val="center"/>
            </w:pPr>
            <w:r>
              <w:rPr>
                <w:color w:val="000000"/>
                <w:sz w:val="24"/>
                <w:szCs w:val="24"/>
              </w:rPr>
              <w:t>600763</w:t>
            </w:r>
          </w:p>
        </w:tc>
        <w:tc>
          <w:tcPr>
            <w:vAlign w:val="center"/>
          </w:tcPr>
          <w:p>
            <w:pPr>
              <w:jc w:val="center"/>
            </w:pPr>
            <w:r>
              <w:rPr>
                <w:color w:val="000000"/>
                <w:sz w:val="24"/>
                <w:szCs w:val="24"/>
              </w:rPr>
              <w:t>通策医疗</w:t>
            </w:r>
          </w:p>
        </w:tc>
        <w:tc>
          <w:tcPr>
            <w:vAlign w:val="center"/>
          </w:tcPr>
          <w:p>
            <w:pPr>
              <w:jc w:val="right"/>
            </w:pPr>
            <w:r>
              <w:rPr>
                <w:color w:val="000000"/>
                <w:sz w:val="24"/>
                <w:szCs w:val="24"/>
              </w:rPr>
              <w:t>1,854,134</w:t>
            </w:r>
          </w:p>
        </w:tc>
        <w:tc>
          <w:tcPr>
            <w:vAlign w:val="center"/>
          </w:tcPr>
          <w:p>
            <w:pPr>
              <w:jc w:val="right"/>
            </w:pPr>
            <w:r>
              <w:rPr>
                <w:color w:val="000000"/>
                <w:sz w:val="24"/>
                <w:szCs w:val="24"/>
              </w:rPr>
              <w:t>88,015,740.98</w:t>
            </w:r>
          </w:p>
        </w:tc>
        <w:tc>
          <w:tcPr>
            <w:vAlign w:val="center"/>
          </w:tcPr>
          <w:p>
            <w:pPr>
              <w:jc w:val="right"/>
            </w:pPr>
            <w:r>
              <w:rPr>
                <w:color w:val="000000"/>
                <w:sz w:val="24"/>
                <w:szCs w:val="24"/>
              </w:rPr>
              <w:t>5.13</w:t>
            </w:r>
          </w:p>
        </w:tc>
      </w:tr>
      <w:tr>
        <w:tc>
          <w:tcPr>
            <w:vAlign w:val="center"/>
          </w:tcPr>
          <w:p>
            <w:pPr>
              <w:jc w:val="center"/>
            </w:pPr>
            <w:r>
              <w:rPr>
                <w:color w:val="000000"/>
                <w:sz w:val="24"/>
                <w:szCs w:val="24"/>
              </w:rPr>
              <w:t>6</w:t>
            </w:r>
          </w:p>
        </w:tc>
        <w:tc>
          <w:tcPr>
            <w:vAlign w:val="center"/>
          </w:tcPr>
          <w:p>
            <w:pPr>
              <w:jc w:val="center"/>
            </w:pPr>
            <w:r>
              <w:rPr>
                <w:color w:val="000000"/>
                <w:sz w:val="24"/>
                <w:szCs w:val="24"/>
              </w:rPr>
              <w:t>300012</w:t>
            </w:r>
          </w:p>
        </w:tc>
        <w:tc>
          <w:tcPr>
            <w:vAlign w:val="center"/>
          </w:tcPr>
          <w:p>
            <w:pPr>
              <w:jc w:val="center"/>
            </w:pPr>
            <w:r>
              <w:rPr>
                <w:color w:val="000000"/>
                <w:sz w:val="24"/>
                <w:szCs w:val="24"/>
              </w:rPr>
              <w:t>华测检测</w:t>
            </w:r>
          </w:p>
        </w:tc>
        <w:tc>
          <w:tcPr>
            <w:vAlign w:val="center"/>
          </w:tcPr>
          <w:p>
            <w:pPr>
              <w:jc w:val="right"/>
            </w:pPr>
            <w:r>
              <w:rPr>
                <w:color w:val="000000"/>
                <w:sz w:val="24"/>
                <w:szCs w:val="24"/>
              </w:rPr>
              <w:t>12,421,371</w:t>
            </w:r>
          </w:p>
        </w:tc>
        <w:tc>
          <w:tcPr>
            <w:vAlign w:val="center"/>
          </w:tcPr>
          <w:p>
            <w:pPr>
              <w:jc w:val="right"/>
            </w:pPr>
            <w:r>
              <w:rPr>
                <w:color w:val="000000"/>
                <w:sz w:val="24"/>
                <w:szCs w:val="24"/>
              </w:rPr>
              <w:t>81,359,980.05</w:t>
            </w:r>
          </w:p>
        </w:tc>
        <w:tc>
          <w:tcPr>
            <w:vAlign w:val="center"/>
          </w:tcPr>
          <w:p>
            <w:pPr>
              <w:jc w:val="right"/>
            </w:pPr>
            <w:r>
              <w:rPr>
                <w:color w:val="000000"/>
                <w:sz w:val="24"/>
                <w:szCs w:val="24"/>
              </w:rPr>
              <w:t>4.74</w:t>
            </w:r>
          </w:p>
        </w:tc>
      </w:tr>
      <w:tr>
        <w:tc>
          <w:tcPr>
            <w:vAlign w:val="center"/>
          </w:tcPr>
          <w:p>
            <w:pPr>
              <w:jc w:val="center"/>
            </w:pPr>
            <w:r>
              <w:rPr>
                <w:color w:val="000000"/>
                <w:sz w:val="24"/>
                <w:szCs w:val="24"/>
              </w:rPr>
              <w:t>7</w:t>
            </w:r>
          </w:p>
        </w:tc>
        <w:tc>
          <w:tcPr>
            <w:vAlign w:val="center"/>
          </w:tcPr>
          <w:p>
            <w:pPr>
              <w:jc w:val="center"/>
            </w:pPr>
            <w:r>
              <w:rPr>
                <w:color w:val="000000"/>
                <w:sz w:val="24"/>
                <w:szCs w:val="24"/>
              </w:rPr>
              <w:t>002410</w:t>
            </w:r>
          </w:p>
        </w:tc>
        <w:tc>
          <w:tcPr>
            <w:vAlign w:val="center"/>
          </w:tcPr>
          <w:p>
            <w:pPr>
              <w:jc w:val="center"/>
            </w:pPr>
            <w:r>
              <w:rPr>
                <w:color w:val="000000"/>
                <w:sz w:val="24"/>
                <w:szCs w:val="24"/>
              </w:rPr>
              <w:t>广联达</w:t>
            </w:r>
          </w:p>
        </w:tc>
        <w:tc>
          <w:tcPr>
            <w:vAlign w:val="center"/>
          </w:tcPr>
          <w:p>
            <w:pPr>
              <w:jc w:val="right"/>
            </w:pPr>
            <w:r>
              <w:rPr>
                <w:color w:val="000000"/>
                <w:sz w:val="24"/>
                <w:szCs w:val="24"/>
              </w:rPr>
              <w:t>3,667,553</w:t>
            </w:r>
          </w:p>
        </w:tc>
        <w:tc>
          <w:tcPr>
            <w:vAlign w:val="center"/>
          </w:tcPr>
          <w:p>
            <w:pPr>
              <w:jc w:val="right"/>
            </w:pPr>
            <w:r>
              <w:rPr>
                <w:color w:val="000000"/>
                <w:sz w:val="24"/>
                <w:szCs w:val="24"/>
              </w:rPr>
              <w:t>76,321,777.93</w:t>
            </w:r>
          </w:p>
        </w:tc>
        <w:tc>
          <w:tcPr>
            <w:vAlign w:val="center"/>
          </w:tcPr>
          <w:p>
            <w:pPr>
              <w:jc w:val="right"/>
            </w:pPr>
            <w:r>
              <w:rPr>
                <w:color w:val="000000"/>
                <w:sz w:val="24"/>
                <w:szCs w:val="24"/>
              </w:rPr>
              <w:t>4.45</w:t>
            </w:r>
          </w:p>
        </w:tc>
      </w:tr>
      <w:tr>
        <w:tc>
          <w:tcPr>
            <w:vAlign w:val="center"/>
          </w:tcPr>
          <w:p>
            <w:pPr>
              <w:jc w:val="center"/>
            </w:pPr>
            <w:r>
              <w:rPr>
                <w:color w:val="000000"/>
                <w:sz w:val="24"/>
                <w:szCs w:val="24"/>
              </w:rPr>
              <w:t>8</w:t>
            </w:r>
          </w:p>
        </w:tc>
        <w:tc>
          <w:tcPr>
            <w:vAlign w:val="center"/>
          </w:tcPr>
          <w:p>
            <w:pPr>
              <w:jc w:val="center"/>
            </w:pPr>
            <w:r>
              <w:rPr>
                <w:color w:val="000000"/>
                <w:sz w:val="24"/>
                <w:szCs w:val="24"/>
              </w:rPr>
              <w:t>000681</w:t>
            </w:r>
          </w:p>
        </w:tc>
        <w:tc>
          <w:tcPr>
            <w:vAlign w:val="center"/>
          </w:tcPr>
          <w:p>
            <w:pPr>
              <w:jc w:val="center"/>
            </w:pPr>
            <w:r>
              <w:rPr>
                <w:color w:val="000000"/>
                <w:sz w:val="24"/>
                <w:szCs w:val="24"/>
              </w:rPr>
              <w:t>视觉中国</w:t>
            </w:r>
          </w:p>
        </w:tc>
        <w:tc>
          <w:tcPr>
            <w:vAlign w:val="center"/>
          </w:tcPr>
          <w:p>
            <w:pPr>
              <w:jc w:val="right"/>
            </w:pPr>
            <w:r>
              <w:rPr>
                <w:color w:val="000000"/>
                <w:sz w:val="24"/>
                <w:szCs w:val="24"/>
              </w:rPr>
              <w:t>2,904,477</w:t>
            </w:r>
          </w:p>
        </w:tc>
        <w:tc>
          <w:tcPr>
            <w:vAlign w:val="center"/>
          </w:tcPr>
          <w:p>
            <w:pPr>
              <w:jc w:val="right"/>
            </w:pPr>
            <w:r>
              <w:rPr>
                <w:color w:val="000000"/>
                <w:sz w:val="24"/>
                <w:szCs w:val="24"/>
              </w:rPr>
              <w:t>67,732,403.64</w:t>
            </w:r>
          </w:p>
        </w:tc>
        <w:tc>
          <w:tcPr>
            <w:vAlign w:val="center"/>
          </w:tcPr>
          <w:p>
            <w:pPr>
              <w:jc w:val="right"/>
            </w:pPr>
            <w:r>
              <w:rPr>
                <w:color w:val="000000"/>
                <w:sz w:val="24"/>
                <w:szCs w:val="24"/>
              </w:rPr>
              <w:t>3.95</w:t>
            </w:r>
          </w:p>
        </w:tc>
      </w:tr>
      <w:tr>
        <w:tc>
          <w:tcPr>
            <w:vAlign w:val="center"/>
          </w:tcPr>
          <w:p>
            <w:pPr>
              <w:jc w:val="center"/>
            </w:pPr>
            <w:r>
              <w:rPr>
                <w:color w:val="000000"/>
                <w:sz w:val="24"/>
                <w:szCs w:val="24"/>
              </w:rPr>
              <w:t>9</w:t>
            </w:r>
          </w:p>
        </w:tc>
        <w:tc>
          <w:tcPr>
            <w:vAlign w:val="center"/>
          </w:tcPr>
          <w:p>
            <w:pPr>
              <w:jc w:val="center"/>
            </w:pPr>
            <w:r>
              <w:rPr>
                <w:color w:val="000000"/>
                <w:sz w:val="24"/>
                <w:szCs w:val="24"/>
              </w:rPr>
              <w:t>000661</w:t>
            </w:r>
          </w:p>
        </w:tc>
        <w:tc>
          <w:tcPr>
            <w:vAlign w:val="center"/>
          </w:tcPr>
          <w:p>
            <w:pPr>
              <w:jc w:val="center"/>
            </w:pPr>
            <w:r>
              <w:rPr>
                <w:color w:val="000000"/>
                <w:sz w:val="24"/>
                <w:szCs w:val="24"/>
              </w:rPr>
              <w:t>长春高新</w:t>
            </w:r>
          </w:p>
        </w:tc>
        <w:tc>
          <w:tcPr>
            <w:vAlign w:val="center"/>
          </w:tcPr>
          <w:p>
            <w:pPr>
              <w:jc w:val="right"/>
            </w:pPr>
            <w:r>
              <w:rPr>
                <w:color w:val="000000"/>
                <w:sz w:val="24"/>
                <w:szCs w:val="24"/>
              </w:rPr>
              <w:t>381,148</w:t>
            </w:r>
          </w:p>
        </w:tc>
        <w:tc>
          <w:tcPr>
            <w:vAlign w:val="center"/>
          </w:tcPr>
          <w:p>
            <w:pPr>
              <w:jc w:val="right"/>
            </w:pPr>
            <w:r>
              <w:rPr>
                <w:color w:val="000000"/>
                <w:sz w:val="24"/>
                <w:szCs w:val="24"/>
              </w:rPr>
              <w:t>66,700,900.00</w:t>
            </w:r>
          </w:p>
        </w:tc>
        <w:tc>
          <w:tcPr>
            <w:vAlign w:val="center"/>
          </w:tcPr>
          <w:p>
            <w:pPr>
              <w:jc w:val="right"/>
            </w:pPr>
            <w:r>
              <w:rPr>
                <w:color w:val="000000"/>
                <w:sz w:val="24"/>
                <w:szCs w:val="24"/>
              </w:rPr>
              <w:t>3.89</w:t>
            </w:r>
          </w:p>
        </w:tc>
      </w:tr>
      <w:tr>
        <w:tc>
          <w:tcPr>
            <w:vAlign w:val="center"/>
          </w:tcPr>
          <w:p>
            <w:pPr>
              <w:jc w:val="center"/>
            </w:pPr>
            <w:r>
              <w:rPr>
                <w:color w:val="000000"/>
                <w:sz w:val="24"/>
                <w:szCs w:val="24"/>
              </w:rPr>
              <w:t>10</w:t>
            </w:r>
          </w:p>
        </w:tc>
        <w:tc>
          <w:tcPr>
            <w:vAlign w:val="center"/>
          </w:tcPr>
          <w:p>
            <w:pPr>
              <w:jc w:val="center"/>
            </w:pPr>
            <w:r>
              <w:rPr>
                <w:color w:val="000000"/>
                <w:sz w:val="24"/>
                <w:szCs w:val="24"/>
              </w:rPr>
              <w:t>002690</w:t>
            </w:r>
          </w:p>
        </w:tc>
        <w:tc>
          <w:tcPr>
            <w:vAlign w:val="center"/>
          </w:tcPr>
          <w:p>
            <w:pPr>
              <w:jc w:val="center"/>
            </w:pPr>
            <w:r>
              <w:rPr>
                <w:color w:val="000000"/>
                <w:sz w:val="24"/>
                <w:szCs w:val="24"/>
              </w:rPr>
              <w:t>美亚光电</w:t>
            </w:r>
          </w:p>
        </w:tc>
        <w:tc>
          <w:tcPr>
            <w:vAlign w:val="center"/>
          </w:tcPr>
          <w:p>
            <w:pPr>
              <w:jc w:val="right"/>
            </w:pPr>
            <w:r>
              <w:rPr>
                <w:color w:val="000000"/>
                <w:sz w:val="24"/>
                <w:szCs w:val="24"/>
              </w:rPr>
              <w:t>2,788,093</w:t>
            </w:r>
          </w:p>
        </w:tc>
        <w:tc>
          <w:tcPr>
            <w:vAlign w:val="center"/>
          </w:tcPr>
          <w:p>
            <w:pPr>
              <w:jc w:val="right"/>
            </w:pPr>
            <w:r>
              <w:rPr>
                <w:color w:val="000000"/>
                <w:sz w:val="24"/>
                <w:szCs w:val="24"/>
              </w:rPr>
              <w:t>59,330,619.04</w:t>
            </w:r>
          </w:p>
        </w:tc>
        <w:tc>
          <w:tcPr>
            <w:vAlign w:val="center"/>
          </w:tcPr>
          <w:p>
            <w:pPr>
              <w:jc w:val="right"/>
            </w:pPr>
            <w:r>
              <w:rPr>
                <w:color w:val="000000"/>
                <w:sz w:val="24"/>
                <w:szCs w:val="24"/>
              </w:rPr>
              <w:t>3.46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type="dxa" w:w="8868"/>
        <w:jc w:val="center"/>
        <w:tblLayout w:type="fixed"/>
        <w:tblLook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99,400,000.00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5.79</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99,400,000.00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5.79</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type="dxa" w:w="8868"/>
        <w:jc w:val="center"/>
        <w:tblLayout w:type="fixed"/>
        <w:tblCellMar>
          <w:top w:type="dxa" w:w="57"/>
          <w:bottom w:type="dxa" w:w="57"/>
        </w:tblCellMar>
        <w:tblLook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189953</w:t>
            </w:r>
          </w:p>
        </w:tc>
        <w:tc>
          <w:tcPr>
            <w:vAlign w:val="center"/>
          </w:tcPr>
          <w:p>
            <w:pPr>
              <w:jc w:val="center"/>
            </w:pPr>
            <w:r>
              <w:rPr>
                <w:color w:val="000000"/>
                <w:sz w:val="24"/>
                <w:szCs w:val="24"/>
              </w:rPr>
              <w:t>18贴现国债53</w:t>
            </w:r>
          </w:p>
        </w:tc>
        <w:tc>
          <w:tcPr>
            <w:vAlign w:val="center"/>
          </w:tcPr>
          <w:p>
            <w:pPr>
              <w:jc w:val="right"/>
            </w:pPr>
            <w:r>
              <w:rPr>
                <w:color w:val="000000"/>
                <w:sz w:val="24"/>
                <w:szCs w:val="24"/>
              </w:rPr>
              <w:t>1,000,000</w:t>
            </w:r>
          </w:p>
        </w:tc>
        <w:tc>
          <w:tcPr>
            <w:vAlign w:val="center"/>
          </w:tcPr>
          <w:p>
            <w:pPr>
              <w:jc w:val="right"/>
            </w:pPr>
            <w:r>
              <w:rPr>
                <w:color w:val="000000"/>
                <w:sz w:val="24"/>
                <w:szCs w:val="24"/>
              </w:rPr>
              <w:t>99,400,000.00</w:t>
            </w:r>
          </w:p>
        </w:tc>
        <w:tc>
          <w:tcPr>
            <w:vAlign w:val="center"/>
          </w:tcPr>
          <w:p>
            <w:pPr>
              <w:jc w:val="right"/>
            </w:pPr>
            <w:r>
              <w:rPr>
                <w:color w:val="000000"/>
                <w:sz w:val="24"/>
                <w:szCs w:val="24"/>
              </w:rPr>
              <w:t>5.79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sz w:val="24"/>
          <w:szCs w:val="24"/>
        </w:rPr>
      </w:pP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lastRenderedPageBreak/>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654,626.50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8,033,050.08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409,431.67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887,470.22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9,984,578.47</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type="dxa" w:w="8868"/>
        <w:jc w:val="center"/>
        <w:tblLayout w:type="fixed"/>
        <w:tblCellMar>
          <w:top w:type="dxa" w:w="57"/>
          <w:bottom w:type="dxa" w:w="57"/>
        </w:tblCellMar>
        <w:tblLook w:val="04A0"/>
      </w:tblPr>
      <w:tblGrid>
        <w:gridCol w:w="1129"/>
        <w:gridCol w:w="1356"/>
        <w:gridCol w:w="1355"/>
        <w:gridCol w:w="1880"/>
        <w:gridCol w:w="1724"/>
        <w:gridCol w:w="1424"/>
      </w:tblGrid>
      <w:tr w:rsidR="003E62FB" w:rsidRPr="00414345" w:rsidTr="00BC216C">
        <w:trPr>
          <w:jc w:val="center"/>
        </w:trPr>
        <w:tc>
          <w:tcPr>
            <w:tcW w:type="dxa" w:w="1083"/>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302"/>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股票代码</w:t>
            </w:r>
          </w:p>
        </w:tc>
        <w:tc>
          <w:tcPr>
            <w:tcW w:type="dxa" w:w="13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股票名称</w:t>
            </w:r>
          </w:p>
        </w:tc>
        <w:tc>
          <w:tcPr>
            <w:tcW w:type="dxa" w:w="180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55"/>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type="dxa" w:w="136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流通受限情况说明</w:t>
            </w:r>
          </w:p>
        </w:tc>
      </w:tr>
      <w:tr>
        <w:tc>
          <w:tcPr>
            <w:vAlign w:val="center"/>
          </w:tcPr>
          <w:p>
            <w:pPr>
              <w:jc w:val="center"/>
            </w:pPr>
            <w:r>
              <w:rPr>
                <w:color w:val="000000"/>
                <w:sz w:val="24"/>
                <w:szCs w:val="24"/>
              </w:rPr>
              <w:t>1</w:t>
            </w:r>
          </w:p>
        </w:tc>
        <w:tc>
          <w:tcPr>
            <w:vAlign w:val="center"/>
          </w:tcPr>
          <w:p>
            <w:pPr>
              <w:jc w:val="center"/>
            </w:pPr>
            <w:r>
              <w:rPr>
                <w:color w:val="000000"/>
                <w:sz w:val="24"/>
                <w:szCs w:val="24"/>
              </w:rPr>
              <w:t>300188</w:t>
            </w:r>
          </w:p>
        </w:tc>
        <w:tc>
          <w:tcPr>
            <w:vAlign w:val="center"/>
          </w:tcPr>
          <w:p>
            <w:pPr>
              <w:jc w:val="center"/>
            </w:pPr>
            <w:r>
              <w:rPr>
                <w:color w:val="000000"/>
                <w:sz w:val="24"/>
                <w:szCs w:val="24"/>
              </w:rPr>
              <w:t>美亚柏科</w:t>
            </w:r>
          </w:p>
        </w:tc>
        <w:tc>
          <w:tcPr>
            <w:vAlign w:val="center"/>
          </w:tcPr>
          <w:p>
            <w:pPr>
              <w:jc w:val="right"/>
            </w:pPr>
            <w:r>
              <w:rPr>
                <w:color w:val="000000"/>
                <w:sz w:val="24"/>
                <w:szCs w:val="24"/>
              </w:rPr>
              <w:t>8,757,000.00</w:t>
            </w:r>
          </w:p>
        </w:tc>
        <w:tc>
          <w:tcPr>
            <w:vAlign w:val="center"/>
          </w:tcPr>
          <w:p>
            <w:pPr>
              <w:jc w:val="right"/>
            </w:pPr>
            <w:r>
              <w:rPr>
                <w:color w:val="000000"/>
                <w:sz w:val="24"/>
                <w:szCs w:val="24"/>
              </w:rPr>
              <w:t>0.51</w:t>
            </w:r>
          </w:p>
        </w:tc>
        <w:tc>
          <w:tcPr>
            <w:vAlign w:val="center"/>
          </w:tcPr>
          <w:p>
            <w:pPr>
              <w:jc w:val="right"/>
            </w:pPr>
            <w:r>
              <w:rPr>
                <w:color w:val="000000"/>
                <w:sz w:val="24"/>
                <w:szCs w:val="24"/>
              </w:rPr>
              <w:t>限售股</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11537B" w:rsidR="001F3E2A" w:rsidRDefault="001F3E2A" w:rsidRPr="00575270">
      <w:pPr>
        <w:pStyle w:val="1"/>
        <w:spacing w:afterLines="100" w:beforeLines="100" w:line="360" w:lineRule="auto"/>
        <w:jc w:val="center"/>
        <w:rPr>
          <w:rFonts w:eastAsiaTheme="minorEastAsia"/>
          <w:color w:themeColor="text1" w:val="000000"/>
          <w:kern w:val="0"/>
          <w:sz w:val="24"/>
          <w:szCs w:val="24"/>
        </w:rPr>
      </w:pPr>
      <w:r w:rsidRPr="00575270">
        <w:rPr>
          <w:rFonts w:eastAsiaTheme="minorEastAsia"/>
          <w:color w:themeColor="text1" w:val="000000"/>
          <w:kern w:val="0"/>
          <w:sz w:val="24"/>
          <w:szCs w:val="24"/>
        </w:rPr>
        <w:lastRenderedPageBreak/>
        <w:t>§6</w:t>
      </w:r>
      <w:r w:rsidRPr="00575270">
        <w:rPr>
          <w:rFonts w:eastAsiaTheme="minorEastAsia" w:hint="eastAsia"/>
          <w:color w:themeColor="text1" w:val="000000"/>
          <w:kern w:val="0"/>
          <w:sz w:val="24"/>
          <w:szCs w:val="24"/>
        </w:rPr>
        <w:t xml:space="preserve">  </w:t>
      </w:r>
      <w:r w:rsidRPr="00575270">
        <w:rPr>
          <w:rFonts w:eastAsiaTheme="minorEastAsia" w:hint="eastAsia"/>
          <w:color w:themeColor="text1" w:val="000000"/>
          <w:kern w:val="0"/>
          <w:sz w:val="24"/>
          <w:szCs w:val="24"/>
        </w:rPr>
        <w:t>基金中基金</w:t>
      </w:r>
    </w:p>
    <w:p w:rsidP="001F3E2A" w:rsidR="001F3E2A" w:rsidRDefault="001F3E2A" w:rsidRPr="00575270">
      <w:pPr>
        <w:adjustRightInd w:val="0"/>
        <w:snapToGrid w:val="0"/>
        <w:spacing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1</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报告期末按公允价值占基金资产净值比例大小排序的前十名基金投资明细</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本基金本报告期末未持有基金。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2</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当期交易及持有基金产生的费用</w:t>
      </w:r>
    </w:p>
    <w:p w:rsidP="001F3E2A"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本基金本报告期内未交易或持有基金。</w:t>
      </w:r>
    </w:p>
    <w:p w:rsidP="0011537B" w:rsidR="001F3E2A" w:rsidRDefault="001F3E2A" w:rsidRPr="00575270">
      <w:pPr>
        <w:adjustRightInd w:val="0"/>
        <w:snapToGrid w:val="0"/>
        <w:spacing w:beforeLines="50" w:line="360" w:lineRule="auto"/>
        <w:rPr>
          <w:rFonts w:eastAsiaTheme="minorEastAsia"/>
          <w:b/>
          <w:color w:themeColor="text1" w:val="000000"/>
          <w:kern w:val="0"/>
          <w:sz w:val="24"/>
          <w:szCs w:val="24"/>
        </w:rPr>
      </w:pPr>
      <w:r w:rsidRPr="00575270">
        <w:rPr>
          <w:rFonts w:eastAsiaTheme="minorEastAsia"/>
          <w:b/>
          <w:color w:themeColor="text1" w:val="000000"/>
          <w:kern w:val="0"/>
          <w:sz w:val="24"/>
          <w:szCs w:val="24"/>
        </w:rPr>
        <w:t>6.</w:t>
      </w:r>
      <w:r w:rsidRPr="00575270">
        <w:rPr>
          <w:rFonts w:eastAsiaTheme="minorEastAsia" w:hint="eastAsia"/>
          <w:b/>
          <w:color w:themeColor="text1" w:val="000000"/>
          <w:kern w:val="0"/>
          <w:sz w:val="24"/>
          <w:szCs w:val="24"/>
        </w:rPr>
        <w:t/>
      </w:r>
      <w:r w:rsidRPr="00575270">
        <w:rPr>
          <w:rFonts w:eastAsiaTheme="minorEastAsia"/>
          <w:b/>
          <w:color w:themeColor="text1" w:val="000000"/>
          <w:kern w:val="0"/>
          <w:sz w:val="24"/>
          <w:szCs w:val="24"/>
        </w:rPr>
        <w:t>3</w:t>
      </w:r>
      <w:r w:rsidRPr="00575270">
        <w:rPr>
          <w:rFonts w:eastAsiaTheme="minorEastAsia" w:hint="eastAsia"/>
          <w:b/>
          <w:color w:themeColor="text1" w:val="000000"/>
          <w:kern w:val="0"/>
          <w:sz w:val="24"/>
          <w:szCs w:val="24"/>
        </w:rPr>
        <w:t xml:space="preserve"> </w:t>
      </w:r>
      <w:r w:rsidRPr="00575270">
        <w:rPr>
          <w:rFonts w:eastAsiaTheme="minorEastAsia" w:hint="eastAsia"/>
          <w:b/>
          <w:color w:themeColor="text1" w:val="000000"/>
          <w:kern w:val="0"/>
          <w:sz w:val="24"/>
          <w:szCs w:val="24"/>
        </w:rPr>
        <w:t>本报告期持有的基金发生的重大影响事件</w:t>
      </w:r>
    </w:p>
    <w:tbl>
      <w:tblPr>
        <w:tblStyle w:val="af7"/>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242"/>
      </w:tblGrid>
      <w:tr w:rsidR="001F3E2A" w:rsidRPr="00575270" w:rsidTr="00D9393A">
        <w:tc>
          <w:tcPr>
            <w:tcW w:type="dxa" w:w="9036"/>
          </w:tcPr>
          <w:p w:rsidP="00CD14C0" w:rsidR="001F3E2A" w:rsidRDefault="001F3E2A" w:rsidRPr="00575270">
            <w:pPr>
              <w:autoSpaceDE w:val="0"/>
              <w:autoSpaceDN w:val="0"/>
              <w:adjustRightInd w:val="0"/>
              <w:spacing w:line="360" w:lineRule="auto"/>
              <w:ind w:firstLine="480" w:firstLineChars="200"/>
              <w:jc w:val="left"/>
              <w:rPr>
                <w:rFonts w:eastAsiaTheme="minorEastAsia"/>
                <w:color w:themeColor="text1" w:val="000000"/>
                <w:sz w:val="24"/>
                <w:szCs w:val="24"/>
              </w:rPr>
            </w:pPr>
            <w:r w:rsidRPr="00575270">
              <w:rPr>
                <w:rFonts w:eastAsiaTheme="minorEastAsia"/>
                <w:color w:themeColor="text1" w:val="000000"/>
                <w:sz w:val="24"/>
                <w:szCs w:val="24"/>
              </w:rPr>
              <w:t/>
            </w:r>
            <w:r w:rsidRPr="00575270">
              <w:rPr>
                <w:rFonts w:eastAsiaTheme="minorEastAsia" w:hint="eastAsia"/>
                <w:color w:themeColor="text1" w:val="000000"/>
                <w:sz w:val="24"/>
                <w:szCs w:val="24"/>
              </w:rPr>
              <w:t/>
            </w:r>
            <w:r w:rsidRPr="00575270">
              <w:rPr>
                <w:rFonts w:eastAsiaTheme="minorEastAsia"/>
                <w:color w:themeColor="text1" w:val="000000"/>
                <w:sz w:val="24"/>
                <w:szCs w:val="24"/>
              </w:rPr>
              <w:t/>
            </w:r>
            <w:r w:rsidRPr="00575270">
              <w:rPr>
                <w:rFonts w:eastAsiaTheme="minorEastAsia" w:hint="eastAsia"/>
                <w:color w:themeColor="text1" w:val="000000"/>
                <w:sz w:val="24"/>
                <w:szCs w:val="24"/>
              </w:rPr>
              <w:t>无。</w:t>
            </w:r>
          </w:p>
        </w:tc>
      </w:tr>
    </w:tbl>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Lines="100" w:beforeLines="100" w:line="360" w:lineRule="auto"/>
        <w:jc w:val="center"/>
        <w:rPr>
          <w:rFonts w:eastAsiaTheme="minorEastAsia"/>
          <w:color w:themeColor="text1" w:val="000000"/>
          <w:kern w:val="0"/>
          <w:sz w:val="24"/>
          <w:szCs w:val="24"/>
        </w:rPr>
      </w:pPr>
      <w:bookmarkStart w:id="2" w:name="_GoBack"/>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7</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bookmarkEnd w:id="2"/>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1,636,139,410.45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237,488,424.89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95,105,121.51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1,778,522,713.83</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Lines="100"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8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8.1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Lines="100"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§9</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2018/10/1-2018/12/31</w:t>
            </w:r>
          </w:p>
        </w:tc>
        <w:tc>
          <w:tcPr>
            <w:vAlign w:val="center"/>
          </w:tcPr>
          <w:p>
            <w:pPr>
              <w:jc w:val="center"/>
            </w:pPr>
            <w:r>
              <w:rPr>
                <w:rFonts w:ascii="宋体" w:hAnsi="宋体"/>
                <w:color w:val="000000"/>
                <w:kern w:val="0"/>
              </w:rPr>
              <w:t>378,850,462.03</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22,000,000.00</w:t>
            </w:r>
          </w:p>
        </w:tc>
        <w:tc>
          <w:tcPr>
            <w:vAlign w:val="center"/>
          </w:tcPr>
          <w:p>
            <w:pPr>
              <w:jc w:val="center"/>
            </w:pPr>
            <w:r>
              <w:rPr>
                <w:rFonts w:ascii="宋体" w:hAnsi="宋体"/>
                <w:color w:val="000000"/>
                <w:kern w:val="0"/>
              </w:rPr>
              <w:t>356,850,462.03</w:t>
            </w:r>
          </w:p>
        </w:tc>
        <w:tc>
          <w:tcPr>
            <w:vAlign w:val="center"/>
          </w:tcPr>
          <w:p>
            <w:pPr>
              <w:jc w:val="center"/>
            </w:pPr>
            <w:r>
              <w:rPr>
                <w:rFonts w:ascii="宋体" w:hAnsi="宋体"/>
                <w:color w:val="000000"/>
                <w:kern w:val="0"/>
              </w:rPr>
              <w:t>20.06%</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Lines="100"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1、中国证监会准予交银施罗德持续成长主题混合型证券投资基金募集注册的文件；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2、《交银施罗德持续成长主题混合型证券投资基金基金合同》；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3、《交银施罗德持续成长主题混合型证券投资基金招募说明书》；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4、《交银施罗德持续成长主题混合型证券投资基金托管协议》；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5、关于申请募集注册交银施罗德持续成长主题混合型证券投资基金的法律意见书；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8、报告期内交银施罗德持续成长主题混合型证券投资基金在指定报刊上各项公告的原稿。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11537B">
      <w:rPr>
        <w:noProof/>
        <w:kern w:val="0"/>
        <w:szCs w:val="21"/>
      </w:rPr>
      <w:t>19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11537B">
      <w:rPr>
        <w:noProof/>
        <w:kern w:val="0"/>
        <w:szCs w:val="21"/>
      </w:rPr>
      <w:t>25</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P="00876D65" w:rsidR="004B2AF4" w:rsidRDefault="004B2AF4">
      <w:r>
        <w:separator/>
      </w:r>
    </w:p>
  </w:footnote>
  <w:footnote w:id="0" w:type="continuationSeparator">
    <w:p w:rsidP="00876D65" w:rsidR="004B2AF4" w:rsidRDefault="004B2AF4">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090A26" w:rsidR="00171EF0" w:rsidRDefault="00DC456F" w:rsidRPr="00DC456F">
    <w:pPr>
      <w:pStyle w:val="a9"/>
      <w:pBdr>
        <w:bottom w:color="auto" w:space="0" w:sz="6" w:val="single"/>
      </w:pBdr>
      <w:jc w:val="right"/>
      <w:rPr>
        <w:sz w:val="24"/>
        <w:szCs w:val="24"/>
      </w:rPr>
    </w:pPr>
    <w:r w:rsidRPr="003E676C">
      <w:rPr>
        <w:sz w:val="24"/>
        <w:szCs w:val="24"/>
      </w:rPr>
      <w:t>交银施罗德持续成长主题混合型证券投资基金2018年第4季度报告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D9393A" w:rsidRDefault="00D9393A">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nhideWhenUsed="0"/>
    <w:lsdException w:name="heading 2" w:qFormat="1"/>
    <w:lsdException w:name="heading 3" w:qFormat="1"/>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qFormat="1" w:uiPriority="35"/>
    <w:lsdException w:name="footnote reference" w:uiPriority="0"/>
    <w:lsdException w:name="Title" w:qFormat="1" w:semiHidden="0" w:unhideWhenUsed="0"/>
    <w:lsdException w:name="Default Paragraph Font" w:uiPriority="1"/>
    <w:lsdException w:name="Subtitle" w:qFormat="1" w:semiHidden="0" w:uiPriority="11" w:unhideWhenUsed="0"/>
    <w:lsdException w:name="Date" w:uiPriority="0"/>
    <w:lsdException w:name="Strong" w:qFormat="1" w:semiHidden="0" w:uiPriority="22" w:unhideWhenUsed="0"/>
    <w:lsdException w:name="Emphasis" w:qFormat="1" w:semiHidden="0" w:uiPriority="20" w:unhideWhenUsed="0"/>
    <w:lsdException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65BAF-6A5D-4E6F-B945-BE15026D6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1809</TotalTime>
  <Pages>25</Pages>
  <Words>4136</Words>
  <Characters>23578</Characters>
  <Application>Microsoft Office Word</Application>
  <DocSecurity>0</DocSecurity>
  <Lines>196</Lines>
  <Paragraphs>55</Paragraphs>
  <ScaleCrop>false</ScaleCrop>
  <Company/>
  <LinksUpToDate>false</LinksUpToDate>
  <CharactersWithSpaces>27659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Administrator</cp:lastModifiedBy>
  <dcterms:modified xsi:type="dcterms:W3CDTF">2018-09-13T02:58:00Z</dcterms:modified>
  <cp:revision>578</cp:revision>
</cp:coreProperties>
</file>