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交银施罗德蓝筹混合型证券投资基金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2007年8月8日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2,518,263,733.85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75%×中证100指数+25%×中证综合债券指数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本基金是一只混合型基金，以优质蓝筹股为主要投资对象，其风险和预期收益高于债券型基金和货币市场基金，低于股票型基金。属于承担较高风险、预期收益较高的证券投资基金品种。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-174,445,346.14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-272,903,135.81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-0.1079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2,056,543,789.64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0.8167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-11.66%</w:t>
            </w:r>
          </w:p>
        </w:tc>
        <w:tc>
          <w:tcPr>
            <w:vAlign w:val="center"/>
          </w:tcPr>
          <w:p>
            <w:pPr>
              <w:jc w:val="center"/>
            </w:pPr>
            <w:r>
              <w:rPr>
                <w:color w:val="000000"/>
                <w:sz w:val="24"/>
                <w:szCs w:val="24"/>
              </w:rPr>
              <w:t>1.11%</w:t>
            </w:r>
          </w:p>
        </w:tc>
        <w:tc>
          <w:tcPr>
            <w:vAlign w:val="center"/>
          </w:tcPr>
          <w:p>
            <w:pPr>
              <w:jc w:val="center"/>
            </w:pPr>
            <w:r>
              <w:rPr>
                <w:color w:val="000000"/>
                <w:sz w:val="24"/>
                <w:szCs w:val="24"/>
              </w:rPr>
              <w:t>-8.82%</w:t>
            </w:r>
          </w:p>
        </w:tc>
        <w:tc>
          <w:tcPr>
            <w:vAlign w:val="center"/>
          </w:tcPr>
          <w:p>
            <w:pPr>
              <w:jc w:val="center"/>
            </w:pPr>
            <w:r>
              <w:rPr>
                <w:color w:val="000000"/>
                <w:sz w:val="24"/>
                <w:szCs w:val="24"/>
              </w:rPr>
              <w:t>1.21%</w:t>
            </w:r>
          </w:p>
        </w:tc>
        <w:tc>
          <w:tcPr>
            <w:vAlign w:val="center"/>
          </w:tcPr>
          <w:p>
            <w:pPr>
              <w:jc w:val="center"/>
            </w:pPr>
            <w:r>
              <w:rPr>
                <w:color w:val="000000"/>
                <w:sz w:val="24"/>
                <w:szCs w:val="24"/>
              </w:rPr>
              <w:t>-2.84%</w:t>
            </w:r>
          </w:p>
        </w:tc>
        <w:tc>
          <w:tcPr>
            <w:vAlign w:val="center"/>
          </w:tcPr>
          <w:p>
            <w:pPr>
              <w:jc w:val="center"/>
            </w:pPr>
            <w:r>
              <w:rPr>
                <w:color w:val="000000"/>
                <w:sz w:val="24"/>
                <w:szCs w:val="24"/>
              </w:rPr>
              <w:t>-0.10%</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100指数+25%×中信全债指数”变更为“75%×中证100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交银施罗德蓝筹混合型证券投资基金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2007年8月8日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陈孜铎</w:t>
            </w:r>
          </w:p>
        </w:tc>
        <w:tc>
          <w:tcPr>
            <w:vAlign w:val="center"/>
          </w:tcPr>
          <w:p>
            <w:pPr>
              <w:jc w:val="center"/>
            </w:pPr>
            <w:r>
              <w:rPr>
                <w:color w:val="000000"/>
                <w:sz w:val="24"/>
                <w:szCs w:val="24"/>
              </w:rPr>
              <w:t>交银稳健配置混合的基金经理、交银蓝筹混合的基金经理，公司研究部助理总经理</w:t>
            </w:r>
          </w:p>
        </w:tc>
        <w:tc>
          <w:tcPr>
            <w:vAlign w:val="center"/>
          </w:tcPr>
          <w:p>
            <w:pPr>
              <w:jc w:val="center"/>
            </w:pPr>
            <w:r>
              <w:rPr>
                <w:color w:val="000000"/>
                <w:sz w:val="24"/>
                <w:szCs w:val="24"/>
              </w:rPr>
              <w:t>2014-10-22</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陈孜铎先生，清华大学材料科学与工程硕士。2008年加入交银施罗德基金管理有限公司，历任行业分析师、高级研究员。</w:t>
            </w:r>
          </w:p>
        </w:tc>
      </w:tr>
      <w:tr>
        <w:tc>
          <w:tcPr>
            <w:vAlign w:val="center"/>
          </w:tcPr>
          <w:p>
            <w:pPr>
              <w:jc w:val="center"/>
            </w:pPr>
            <w:r>
              <w:rPr>
                <w:color w:val="000000"/>
                <w:sz w:val="24"/>
                <w:szCs w:val="24"/>
              </w:rPr>
              <w:t>王少成</w:t>
            </w:r>
          </w:p>
        </w:tc>
        <w:tc>
          <w:tcPr>
            <w:vAlign w:val="center"/>
          </w:tcPr>
          <w:p>
            <w:pPr>
              <w:jc w:val="center"/>
            </w:pPr>
            <w:r>
              <w:rPr>
                <w:color w:val="000000"/>
                <w:sz w:val="24"/>
                <w:szCs w:val="24"/>
              </w:rPr>
              <w:t>交银成长混合、交银蓝筹混合、交银成长30混合、交银恒益灵活配置混合的基金经理，公司权益投资总监</w:t>
            </w:r>
          </w:p>
        </w:tc>
        <w:tc>
          <w:tcPr>
            <w:vAlign w:val="center"/>
          </w:tcPr>
          <w:p>
            <w:pPr>
              <w:jc w:val="center"/>
            </w:pPr>
            <w:r>
              <w:rPr>
                <w:color w:val="000000"/>
                <w:sz w:val="24"/>
                <w:szCs w:val="24"/>
              </w:rPr>
              <w:t>2018-09-28</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四季度中美贸易战出现的缓和迹象，美联储加息预期在弱化。虽然美股出现了明显的回调波动率持续上升，同时以原油为首的大宗商品出现持续回调，但这更多应该归因为风险资产对美国经济放缓的适应性反应。预计2019年中国宏观经济增速也将逐步触底。虽然依然面临三大攻坚战的挑战，房地产投资增速预计持续回落，但基建投资持续反弹，出口边际向好，消费增长依然在蓄势，经济增速逐步企稳虽然无疑，但拐头向上仍需内生动力。</w:t>
      </w:r>
    </w:p>
    <w:p>
      <w:pPr>
        <w:spacing w:before="29" w:line="288" w:lineRule="auto"/>
        <w:ind w:firstLine="480" w:firstLineChars="200"/>
        <w:rPr>
          <w:color w:val="000000"/>
          <w:sz w:val="24"/>
          <w:szCs w:val="24"/>
        </w:rPr>
      </w:pPr>
      <w:r>
        <w:rPr>
          <w:color w:val="000000"/>
          <w:sz w:val="24"/>
          <w:szCs w:val="24"/>
        </w:rPr>
        <w:t>四季度A股市场持续回调，基金整体仓位适度降低。供给侧改革政策回摆、金融去杠杆的深化、财政缺口的加大以及外需放缓的加剧等多重因素共振使得前期多个强势行业板块出现景气回落，经历业绩和估值双杀，A股情绪非常悲观，缩量考验前期低点。但中期乐观的因素依然持续显现，政策基调阶段性的从去杠杆到稳预期，社融逐步企稳，基建投资持续提升，房地产投资韧性依然，工业品在低库存情况下价格可能已经出现超跌，经济增速企稳的窗口正在显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一季度，我们看好受益于经济增速短期企稳和中期增长蓄势的行业板块。经济增速逐步企稳的共识在形成，需要社融和工业品价格数据持续确认。中期经济内生动力有赖于高端制造业和科技创新的支撑，这方面的相关的龙头公司预计将持续产生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1,433,818,712.38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68.58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1,433,818,712.38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68.58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123,719,898.11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123,719,898.11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400,090,000.13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19.14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128,731,229.33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4,462,462.22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2,090,822,302.17</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8,970,937.44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795,313,152.25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38.67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19,581.21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509,502,491.17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24.77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120,012,550.31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1,433,818,712.38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69.72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600256</w:t>
            </w:r>
          </w:p>
        </w:tc>
        <w:tc>
          <w:tcPr>
            <w:vAlign w:val="center"/>
          </w:tcPr>
          <w:p>
            <w:pPr>
              <w:jc w:val="center"/>
            </w:pPr>
            <w:r>
              <w:rPr>
                <w:color w:val="000000"/>
                <w:sz w:val="24"/>
                <w:szCs w:val="24"/>
              </w:rPr>
              <w:t>广汇能源</w:t>
            </w:r>
          </w:p>
        </w:tc>
        <w:tc>
          <w:tcPr>
            <w:vAlign w:val="center"/>
          </w:tcPr>
          <w:p>
            <w:pPr>
              <w:jc w:val="right"/>
            </w:pPr>
            <w:r>
              <w:rPr>
                <w:color w:val="000000"/>
                <w:sz w:val="24"/>
                <w:szCs w:val="24"/>
              </w:rPr>
              <w:t>47,352,228</w:t>
            </w:r>
          </w:p>
        </w:tc>
        <w:tc>
          <w:tcPr>
            <w:vAlign w:val="center"/>
          </w:tcPr>
          <w:p>
            <w:pPr>
              <w:jc w:val="right"/>
            </w:pPr>
            <w:r>
              <w:rPr>
                <w:color w:val="000000"/>
                <w:sz w:val="24"/>
                <w:szCs w:val="24"/>
              </w:rPr>
              <w:t>178,044,377.28</w:t>
            </w:r>
          </w:p>
        </w:tc>
        <w:tc>
          <w:tcPr>
            <w:vAlign w:val="center"/>
          </w:tcPr>
          <w:p>
            <w:pPr>
              <w:jc w:val="right"/>
            </w:pPr>
            <w:r>
              <w:rPr>
                <w:color w:val="000000"/>
                <w:sz w:val="24"/>
                <w:szCs w:val="24"/>
              </w:rPr>
              <w:t>8.66</w:t>
            </w:r>
          </w:p>
        </w:tc>
      </w:tr>
      <w:tr>
        <w:tc>
          <w:tcPr>
            <w:vAlign w:val="center"/>
          </w:tcPr>
          <w:p>
            <w:pPr>
              <w:jc w:val="center"/>
            </w:pPr>
            <w:r>
              <w:rPr>
                <w:color w:val="000000"/>
                <w:sz w:val="24"/>
                <w:szCs w:val="24"/>
              </w:rPr>
              <w:t>2</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8,728,444</w:t>
            </w:r>
          </w:p>
        </w:tc>
        <w:tc>
          <w:tcPr>
            <w:vAlign w:val="center"/>
          </w:tcPr>
          <w:p>
            <w:pPr>
              <w:jc w:val="right"/>
            </w:pPr>
            <w:r>
              <w:rPr>
                <w:color w:val="000000"/>
                <w:sz w:val="24"/>
                <w:szCs w:val="24"/>
              </w:rPr>
              <w:t>172,910,475.64</w:t>
            </w:r>
          </w:p>
        </w:tc>
        <w:tc>
          <w:tcPr>
            <w:vAlign w:val="center"/>
          </w:tcPr>
          <w:p>
            <w:pPr>
              <w:jc w:val="right"/>
            </w:pPr>
            <w:r>
              <w:rPr>
                <w:color w:val="000000"/>
                <w:sz w:val="24"/>
                <w:szCs w:val="24"/>
              </w:rPr>
              <w:t>8.41</w:t>
            </w:r>
          </w:p>
        </w:tc>
      </w:tr>
      <w:tr>
        <w:tc>
          <w:tcPr>
            <w:vAlign w:val="center"/>
          </w:tcPr>
          <w:p>
            <w:pPr>
              <w:jc w:val="center"/>
            </w:pPr>
            <w:r>
              <w:rPr>
                <w:color w:val="000000"/>
                <w:sz w:val="24"/>
                <w:szCs w:val="24"/>
              </w:rPr>
              <w:t>3</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14,572,750</w:t>
            </w:r>
          </w:p>
        </w:tc>
        <w:tc>
          <w:tcPr>
            <w:vAlign w:val="center"/>
          </w:tcPr>
          <w:p>
            <w:pPr>
              <w:jc w:val="right"/>
            </w:pPr>
            <w:r>
              <w:rPr>
                <w:color w:val="000000"/>
                <w:sz w:val="24"/>
                <w:szCs w:val="24"/>
              </w:rPr>
              <w:t>171,812,722.50</w:t>
            </w:r>
          </w:p>
        </w:tc>
        <w:tc>
          <w:tcPr>
            <w:vAlign w:val="center"/>
          </w:tcPr>
          <w:p>
            <w:pPr>
              <w:jc w:val="right"/>
            </w:pPr>
            <w:r>
              <w:rPr>
                <w:color w:val="000000"/>
                <w:sz w:val="24"/>
                <w:szCs w:val="24"/>
              </w:rPr>
              <w:t>8.35</w:t>
            </w:r>
          </w:p>
        </w:tc>
      </w:tr>
      <w:tr>
        <w:tc>
          <w:tcPr>
            <w:vAlign w:val="center"/>
          </w:tcPr>
          <w:p>
            <w:pPr>
              <w:jc w:val="center"/>
            </w:pPr>
            <w:r>
              <w:rPr>
                <w:color w:val="000000"/>
                <w:sz w:val="24"/>
                <w:szCs w:val="24"/>
              </w:rPr>
              <w:t>4</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2,544,300</w:t>
            </w:r>
          </w:p>
        </w:tc>
        <w:tc>
          <w:tcPr>
            <w:vAlign w:val="center"/>
          </w:tcPr>
          <w:p>
            <w:pPr>
              <w:jc w:val="right"/>
            </w:pPr>
            <w:r>
              <w:rPr>
                <w:color w:val="000000"/>
                <w:sz w:val="24"/>
                <w:szCs w:val="24"/>
              </w:rPr>
              <w:t>142,735,230.00</w:t>
            </w:r>
          </w:p>
        </w:tc>
        <w:tc>
          <w:tcPr>
            <w:vAlign w:val="center"/>
          </w:tcPr>
          <w:p>
            <w:pPr>
              <w:jc w:val="right"/>
            </w:pPr>
            <w:r>
              <w:rPr>
                <w:color w:val="000000"/>
                <w:sz w:val="24"/>
                <w:szCs w:val="24"/>
              </w:rPr>
              <w:t>6.94</w:t>
            </w:r>
          </w:p>
        </w:tc>
      </w:tr>
      <w:tr>
        <w:tc>
          <w:tcPr>
            <w:vAlign w:val="center"/>
          </w:tcPr>
          <w:p>
            <w:pPr>
              <w:jc w:val="center"/>
            </w:pPr>
            <w:r>
              <w:rPr>
                <w:color w:val="000000"/>
                <w:sz w:val="24"/>
                <w:szCs w:val="24"/>
              </w:rPr>
              <w:t>5</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7,335,296</w:t>
            </w:r>
          </w:p>
        </w:tc>
        <w:tc>
          <w:tcPr>
            <w:vAlign w:val="center"/>
          </w:tcPr>
          <w:p>
            <w:pPr>
              <w:jc w:val="right"/>
            </w:pPr>
            <w:r>
              <w:rPr>
                <w:color w:val="000000"/>
                <w:sz w:val="24"/>
                <w:szCs w:val="24"/>
              </w:rPr>
              <w:t>124,626,679.04</w:t>
            </w:r>
          </w:p>
        </w:tc>
        <w:tc>
          <w:tcPr>
            <w:vAlign w:val="center"/>
          </w:tcPr>
          <w:p>
            <w:pPr>
              <w:jc w:val="right"/>
            </w:pPr>
            <w:r>
              <w:rPr>
                <w:color w:val="000000"/>
                <w:sz w:val="24"/>
                <w:szCs w:val="24"/>
              </w:rPr>
              <w:t>6.06</w:t>
            </w:r>
          </w:p>
        </w:tc>
      </w:tr>
      <w:tr>
        <w:tc>
          <w:tcPr>
            <w:vAlign w:val="center"/>
          </w:tcPr>
          <w:p>
            <w:pPr>
              <w:jc w:val="center"/>
            </w:pPr>
            <w:r>
              <w:rPr>
                <w:color w:val="000000"/>
                <w:sz w:val="24"/>
                <w:szCs w:val="24"/>
              </w:rPr>
              <w:t>6</w:t>
            </w:r>
          </w:p>
        </w:tc>
        <w:tc>
          <w:tcPr>
            <w:vAlign w:val="center"/>
          </w:tcPr>
          <w:p>
            <w:pPr>
              <w:jc w:val="center"/>
            </w:pPr>
            <w:r>
              <w:rPr>
                <w:color w:val="000000"/>
                <w:sz w:val="24"/>
                <w:szCs w:val="24"/>
              </w:rPr>
              <w:t>002180</w:t>
            </w:r>
          </w:p>
        </w:tc>
        <w:tc>
          <w:tcPr>
            <w:vAlign w:val="center"/>
          </w:tcPr>
          <w:p>
            <w:pPr>
              <w:jc w:val="center"/>
            </w:pPr>
            <w:r>
              <w:rPr>
                <w:color w:val="000000"/>
                <w:sz w:val="24"/>
                <w:szCs w:val="24"/>
              </w:rPr>
              <w:t>纳思达</w:t>
            </w:r>
          </w:p>
        </w:tc>
        <w:tc>
          <w:tcPr>
            <w:vAlign w:val="center"/>
          </w:tcPr>
          <w:p>
            <w:pPr>
              <w:jc w:val="right"/>
            </w:pPr>
            <w:r>
              <w:rPr>
                <w:color w:val="000000"/>
                <w:sz w:val="24"/>
                <w:szCs w:val="24"/>
              </w:rPr>
              <w:t>5,248,284</w:t>
            </w:r>
          </w:p>
        </w:tc>
        <w:tc>
          <w:tcPr>
            <w:vAlign w:val="center"/>
          </w:tcPr>
          <w:p>
            <w:pPr>
              <w:jc w:val="right"/>
            </w:pPr>
            <w:r>
              <w:rPr>
                <w:color w:val="000000"/>
                <w:sz w:val="24"/>
                <w:szCs w:val="24"/>
              </w:rPr>
              <w:t>120,290,669.28</w:t>
            </w:r>
          </w:p>
        </w:tc>
        <w:tc>
          <w:tcPr>
            <w:vAlign w:val="center"/>
          </w:tcPr>
          <w:p>
            <w:pPr>
              <w:jc w:val="right"/>
            </w:pPr>
            <w:r>
              <w:rPr>
                <w:color w:val="000000"/>
                <w:sz w:val="24"/>
                <w:szCs w:val="24"/>
              </w:rPr>
              <w:t>5.85</w:t>
            </w:r>
          </w:p>
        </w:tc>
      </w:tr>
      <w:tr>
        <w:tc>
          <w:tcPr>
            <w:vAlign w:val="center"/>
          </w:tcPr>
          <w:p>
            <w:pPr>
              <w:jc w:val="center"/>
            </w:pPr>
            <w:r>
              <w:rPr>
                <w:color w:val="000000"/>
                <w:sz w:val="24"/>
                <w:szCs w:val="24"/>
              </w:rPr>
              <w:t>7</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18,283,644</w:t>
            </w:r>
          </w:p>
        </w:tc>
        <w:tc>
          <w:tcPr>
            <w:vAlign w:val="center"/>
          </w:tcPr>
          <w:p>
            <w:pPr>
              <w:jc w:val="right"/>
            </w:pPr>
            <w:r>
              <w:rPr>
                <w:color w:val="000000"/>
                <w:sz w:val="24"/>
                <w:szCs w:val="24"/>
              </w:rPr>
              <w:t>96,720,476.76</w:t>
            </w:r>
          </w:p>
        </w:tc>
        <w:tc>
          <w:tcPr>
            <w:vAlign w:val="center"/>
          </w:tcPr>
          <w:p>
            <w:pPr>
              <w:jc w:val="right"/>
            </w:pPr>
            <w:r>
              <w:rPr>
                <w:color w:val="000000"/>
                <w:sz w:val="24"/>
                <w:szCs w:val="24"/>
              </w:rPr>
              <w:t>4.70</w:t>
            </w:r>
          </w:p>
        </w:tc>
      </w:tr>
      <w:tr>
        <w:tc>
          <w:tcPr>
            <w:vAlign w:val="center"/>
          </w:tcPr>
          <w:p>
            <w:pPr>
              <w:jc w:val="center"/>
            </w:pPr>
            <w:r>
              <w:rPr>
                <w:color w:val="000000"/>
                <w:sz w:val="24"/>
                <w:szCs w:val="24"/>
              </w:rPr>
              <w:t>8</w:t>
            </w:r>
          </w:p>
        </w:tc>
        <w:tc>
          <w:tcPr>
            <w:vAlign w:val="center"/>
          </w:tcPr>
          <w:p>
            <w:pPr>
              <w:jc w:val="center"/>
            </w:pPr>
            <w:r>
              <w:rPr>
                <w:color w:val="000000"/>
                <w:sz w:val="24"/>
                <w:szCs w:val="24"/>
              </w:rPr>
              <w:t>600066</w:t>
            </w:r>
          </w:p>
        </w:tc>
        <w:tc>
          <w:tcPr>
            <w:vAlign w:val="center"/>
          </w:tcPr>
          <w:p>
            <w:pPr>
              <w:jc w:val="center"/>
            </w:pPr>
            <w:r>
              <w:rPr>
                <w:color w:val="000000"/>
                <w:sz w:val="24"/>
                <w:szCs w:val="24"/>
              </w:rPr>
              <w:t>宇通客车</w:t>
            </w:r>
          </w:p>
        </w:tc>
        <w:tc>
          <w:tcPr>
            <w:vAlign w:val="center"/>
          </w:tcPr>
          <w:p>
            <w:pPr>
              <w:jc w:val="right"/>
            </w:pPr>
            <w:r>
              <w:rPr>
                <w:color w:val="000000"/>
                <w:sz w:val="24"/>
                <w:szCs w:val="24"/>
              </w:rPr>
              <w:t>5,009,955</w:t>
            </w:r>
          </w:p>
        </w:tc>
        <w:tc>
          <w:tcPr>
            <w:vAlign w:val="center"/>
          </w:tcPr>
          <w:p>
            <w:pPr>
              <w:jc w:val="right"/>
            </w:pPr>
            <w:r>
              <w:rPr>
                <w:color w:val="000000"/>
                <w:sz w:val="24"/>
                <w:szCs w:val="24"/>
              </w:rPr>
              <w:t>59,367,966.75</w:t>
            </w:r>
          </w:p>
        </w:tc>
        <w:tc>
          <w:tcPr>
            <w:vAlign w:val="center"/>
          </w:tcPr>
          <w:p>
            <w:pPr>
              <w:jc w:val="right"/>
            </w:pPr>
            <w:r>
              <w:rPr>
                <w:color w:val="000000"/>
                <w:sz w:val="24"/>
                <w:szCs w:val="24"/>
              </w:rPr>
              <w:t>2.89</w:t>
            </w:r>
          </w:p>
        </w:tc>
      </w:tr>
      <w:tr>
        <w:tc>
          <w:tcPr>
            <w:vAlign w:val="center"/>
          </w:tcPr>
          <w:p>
            <w:pPr>
              <w:jc w:val="center"/>
            </w:pPr>
            <w:r>
              <w:rPr>
                <w:color w:val="000000"/>
                <w:sz w:val="24"/>
                <w:szCs w:val="24"/>
              </w:rPr>
              <w:t>9</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1,208,700</w:t>
            </w:r>
          </w:p>
        </w:tc>
        <w:tc>
          <w:tcPr>
            <w:vAlign w:val="center"/>
          </w:tcPr>
          <w:p>
            <w:pPr>
              <w:jc w:val="right"/>
            </w:pPr>
            <w:r>
              <w:rPr>
                <w:color w:val="000000"/>
                <w:sz w:val="24"/>
                <w:szCs w:val="24"/>
              </w:rPr>
              <w:t>51,055,488.00</w:t>
            </w:r>
          </w:p>
        </w:tc>
        <w:tc>
          <w:tcPr>
            <w:vAlign w:val="center"/>
          </w:tcPr>
          <w:p>
            <w:pPr>
              <w:jc w:val="right"/>
            </w:pPr>
            <w:r>
              <w:rPr>
                <w:color w:val="000000"/>
                <w:sz w:val="24"/>
                <w:szCs w:val="24"/>
              </w:rPr>
              <w:t>2.48</w:t>
            </w:r>
          </w:p>
        </w:tc>
      </w:tr>
      <w:tr>
        <w:tc>
          <w:tcPr>
            <w:vAlign w:val="center"/>
          </w:tcPr>
          <w:p>
            <w:pPr>
              <w:jc w:val="center"/>
            </w:pPr>
            <w:r>
              <w:rPr>
                <w:color w:val="000000"/>
                <w:sz w:val="24"/>
                <w:szCs w:val="24"/>
              </w:rPr>
              <w:t>10</w:t>
            </w:r>
          </w:p>
        </w:tc>
        <w:tc>
          <w:tcPr>
            <w:vAlign w:val="center"/>
          </w:tcPr>
          <w:p>
            <w:pPr>
              <w:jc w:val="center"/>
            </w:pPr>
            <w:r>
              <w:rPr>
                <w:color w:val="000000"/>
                <w:sz w:val="24"/>
                <w:szCs w:val="24"/>
              </w:rPr>
              <w:t>601288</w:t>
            </w:r>
          </w:p>
        </w:tc>
        <w:tc>
          <w:tcPr>
            <w:vAlign w:val="center"/>
          </w:tcPr>
          <w:p>
            <w:pPr>
              <w:jc w:val="center"/>
            </w:pPr>
            <w:r>
              <w:rPr>
                <w:color w:val="000000"/>
                <w:sz w:val="24"/>
                <w:szCs w:val="24"/>
              </w:rPr>
              <w:t>农业银行</w:t>
            </w:r>
          </w:p>
        </w:tc>
        <w:tc>
          <w:tcPr>
            <w:vAlign w:val="center"/>
          </w:tcPr>
          <w:p>
            <w:pPr>
              <w:jc w:val="right"/>
            </w:pPr>
            <w:r>
              <w:rPr>
                <w:color w:val="000000"/>
                <w:sz w:val="24"/>
                <w:szCs w:val="24"/>
              </w:rPr>
              <w:t>13,428,662</w:t>
            </w:r>
          </w:p>
        </w:tc>
        <w:tc>
          <w:tcPr>
            <w:vAlign w:val="center"/>
          </w:tcPr>
          <w:p>
            <w:pPr>
              <w:jc w:val="right"/>
            </w:pPr>
            <w:r>
              <w:rPr>
                <w:color w:val="000000"/>
                <w:sz w:val="24"/>
                <w:szCs w:val="24"/>
              </w:rPr>
              <w:t>48,343,183.20</w:t>
            </w:r>
          </w:p>
        </w:tc>
        <w:tc>
          <w:tcPr>
            <w:vAlign w:val="center"/>
          </w:tcPr>
          <w:p>
            <w:pPr>
              <w:jc w:val="right"/>
            </w:pPr>
            <w:r>
              <w:rPr>
                <w:color w:val="000000"/>
                <w:sz w:val="24"/>
                <w:szCs w:val="24"/>
              </w:rPr>
              <w:t>2.35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49,700,000.00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2.42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70,041,000.00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3.41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70,041,000.00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3.41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3,978,898.11</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0.19</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123,719,898.11</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6.02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189953</w:t>
            </w:r>
          </w:p>
        </w:tc>
        <w:tc>
          <w:tcPr>
            <w:vAlign w:val="center"/>
          </w:tcPr>
          <w:p>
            <w:pPr>
              <w:jc w:val="center"/>
            </w:pPr>
            <w:r>
              <w:rPr>
                <w:color w:val="000000"/>
                <w:sz w:val="24"/>
                <w:szCs w:val="24"/>
              </w:rPr>
              <w:t>18贴现国债53</w:t>
            </w:r>
          </w:p>
        </w:tc>
        <w:tc>
          <w:tcPr>
            <w:vAlign w:val="center"/>
          </w:tcPr>
          <w:p>
            <w:pPr>
              <w:jc w:val="right"/>
            </w:pPr>
            <w:r>
              <w:rPr>
                <w:color w:val="000000"/>
                <w:sz w:val="24"/>
                <w:szCs w:val="24"/>
              </w:rPr>
              <w:t>500,000</w:t>
            </w:r>
          </w:p>
        </w:tc>
        <w:tc>
          <w:tcPr>
            <w:vAlign w:val="center"/>
          </w:tcPr>
          <w:p>
            <w:pPr>
              <w:jc w:val="right"/>
            </w:pPr>
            <w:r>
              <w:rPr>
                <w:color w:val="000000"/>
                <w:sz w:val="24"/>
                <w:szCs w:val="24"/>
              </w:rPr>
              <w:t>49,700,000.00</w:t>
            </w:r>
          </w:p>
        </w:tc>
        <w:tc>
          <w:tcPr>
            <w:vAlign w:val="center"/>
          </w:tcPr>
          <w:p>
            <w:pPr>
              <w:jc w:val="right"/>
            </w:pPr>
            <w:r>
              <w:rPr>
                <w:color w:val="000000"/>
                <w:sz w:val="24"/>
                <w:szCs w:val="24"/>
              </w:rPr>
              <w:t>2.42</w:t>
            </w:r>
          </w:p>
        </w:tc>
      </w:tr>
      <w:tr>
        <w:tc>
          <w:tcPr>
            <w:vAlign w:val="center"/>
          </w:tcPr>
          <w:p>
            <w:pPr>
              <w:jc w:val="center"/>
            </w:pPr>
            <w:r>
              <w:rPr>
                <w:color w:val="000000"/>
                <w:sz w:val="24"/>
                <w:szCs w:val="24"/>
              </w:rPr>
              <w:t>2</w:t>
            </w:r>
          </w:p>
        </w:tc>
        <w:tc>
          <w:tcPr>
            <w:vAlign w:val="center"/>
          </w:tcPr>
          <w:p>
            <w:pPr>
              <w:jc w:val="center"/>
            </w:pPr>
            <w:r>
              <w:rPr>
                <w:color w:val="000000"/>
                <w:sz w:val="24"/>
                <w:szCs w:val="24"/>
              </w:rPr>
              <w:t>160301</w:t>
            </w:r>
          </w:p>
        </w:tc>
        <w:tc>
          <w:tcPr>
            <w:vAlign w:val="center"/>
          </w:tcPr>
          <w:p>
            <w:pPr>
              <w:jc w:val="center"/>
            </w:pPr>
            <w:r>
              <w:rPr>
                <w:color w:val="000000"/>
                <w:sz w:val="24"/>
                <w:szCs w:val="24"/>
              </w:rPr>
              <w:t>16进出01</w:t>
            </w:r>
          </w:p>
        </w:tc>
        <w:tc>
          <w:tcPr>
            <w:vAlign w:val="center"/>
          </w:tcPr>
          <w:p>
            <w:pPr>
              <w:jc w:val="right"/>
            </w:pPr>
            <w:r>
              <w:rPr>
                <w:color w:val="000000"/>
                <w:sz w:val="24"/>
                <w:szCs w:val="24"/>
              </w:rPr>
              <w:t>400,000</w:t>
            </w:r>
          </w:p>
        </w:tc>
        <w:tc>
          <w:tcPr>
            <w:vAlign w:val="center"/>
          </w:tcPr>
          <w:p>
            <w:pPr>
              <w:jc w:val="right"/>
            </w:pPr>
            <w:r>
              <w:rPr>
                <w:color w:val="000000"/>
                <w:sz w:val="24"/>
                <w:szCs w:val="24"/>
              </w:rPr>
              <w:t>40,008,000.00</w:t>
            </w:r>
          </w:p>
        </w:tc>
        <w:tc>
          <w:tcPr>
            <w:vAlign w:val="center"/>
          </w:tcPr>
          <w:p>
            <w:pPr>
              <w:jc w:val="right"/>
            </w:pPr>
            <w:r>
              <w:rPr>
                <w:color w:val="000000"/>
                <w:sz w:val="24"/>
                <w:szCs w:val="24"/>
              </w:rPr>
              <w:t>1.95</w:t>
            </w:r>
          </w:p>
        </w:tc>
      </w:tr>
      <w:tr>
        <w:tc>
          <w:tcPr>
            <w:vAlign w:val="center"/>
          </w:tcPr>
          <w:p>
            <w:pPr>
              <w:jc w:val="center"/>
            </w:pPr>
            <w:r>
              <w:rPr>
                <w:color w:val="000000"/>
                <w:sz w:val="24"/>
                <w:szCs w:val="24"/>
              </w:rPr>
              <w:t>3</w:t>
            </w:r>
          </w:p>
        </w:tc>
        <w:tc>
          <w:tcPr>
            <w:vAlign w:val="center"/>
          </w:tcPr>
          <w:p>
            <w:pPr>
              <w:jc w:val="center"/>
            </w:pPr>
            <w:r>
              <w:rPr>
                <w:color w:val="000000"/>
                <w:sz w:val="24"/>
                <w:szCs w:val="24"/>
              </w:rPr>
              <w:t>180201</w:t>
            </w:r>
          </w:p>
        </w:tc>
        <w:tc>
          <w:tcPr>
            <w:vAlign w:val="center"/>
          </w:tcPr>
          <w:p>
            <w:pPr>
              <w:jc w:val="center"/>
            </w:pPr>
            <w:r>
              <w:rPr>
                <w:color w:val="000000"/>
                <w:sz w:val="24"/>
                <w:szCs w:val="24"/>
              </w:rPr>
              <w:t>18国开01</w:t>
            </w:r>
          </w:p>
        </w:tc>
        <w:tc>
          <w:tcPr>
            <w:vAlign w:val="center"/>
          </w:tcPr>
          <w:p>
            <w:pPr>
              <w:jc w:val="right"/>
            </w:pPr>
            <w:r>
              <w:rPr>
                <w:color w:val="000000"/>
                <w:sz w:val="24"/>
                <w:szCs w:val="24"/>
              </w:rPr>
              <w:t>300,000</w:t>
            </w:r>
          </w:p>
        </w:tc>
        <w:tc>
          <w:tcPr>
            <w:vAlign w:val="center"/>
          </w:tcPr>
          <w:p>
            <w:pPr>
              <w:jc w:val="right"/>
            </w:pPr>
            <w:r>
              <w:rPr>
                <w:color w:val="000000"/>
                <w:sz w:val="24"/>
                <w:szCs w:val="24"/>
              </w:rPr>
              <w:t>30,033,000.00</w:t>
            </w:r>
          </w:p>
        </w:tc>
        <w:tc>
          <w:tcPr>
            <w:vAlign w:val="center"/>
          </w:tcPr>
          <w:p>
            <w:pPr>
              <w:jc w:val="right"/>
            </w:pPr>
            <w:r>
              <w:rPr>
                <w:color w:val="000000"/>
                <w:sz w:val="24"/>
                <w:szCs w:val="24"/>
              </w:rPr>
              <w:t>1.46</w:t>
            </w:r>
          </w:p>
        </w:tc>
      </w:tr>
      <w:tr>
        <w:tc>
          <w:tcPr>
            <w:vAlign w:val="center"/>
          </w:tcPr>
          <w:p>
            <w:pPr>
              <w:jc w:val="center"/>
            </w:pPr>
            <w:r>
              <w:rPr>
                <w:color w:val="000000"/>
                <w:sz w:val="24"/>
                <w:szCs w:val="24"/>
              </w:rPr>
              <w:t>4</w:t>
            </w:r>
          </w:p>
        </w:tc>
        <w:tc>
          <w:tcPr>
            <w:vAlign w:val="center"/>
          </w:tcPr>
          <w:p>
            <w:pPr>
              <w:jc w:val="center"/>
            </w:pPr>
            <w:r>
              <w:rPr>
                <w:color w:val="000000"/>
                <w:sz w:val="24"/>
                <w:szCs w:val="24"/>
              </w:rPr>
              <w:t>123004</w:t>
            </w:r>
          </w:p>
        </w:tc>
        <w:tc>
          <w:tcPr>
            <w:vAlign w:val="center"/>
          </w:tcPr>
          <w:p>
            <w:pPr>
              <w:jc w:val="center"/>
            </w:pPr>
            <w:r>
              <w:rPr>
                <w:color w:val="000000"/>
                <w:sz w:val="24"/>
                <w:szCs w:val="24"/>
              </w:rPr>
              <w:t>铁汉转债</w:t>
            </w:r>
          </w:p>
        </w:tc>
        <w:tc>
          <w:tcPr>
            <w:vAlign w:val="center"/>
          </w:tcPr>
          <w:p>
            <w:pPr>
              <w:jc w:val="right"/>
            </w:pPr>
            <w:r>
              <w:rPr>
                <w:color w:val="000000"/>
                <w:sz w:val="24"/>
                <w:szCs w:val="24"/>
              </w:rPr>
              <w:t>43,263</w:t>
            </w:r>
          </w:p>
        </w:tc>
        <w:tc>
          <w:tcPr>
            <w:vAlign w:val="center"/>
          </w:tcPr>
          <w:p>
            <w:pPr>
              <w:jc w:val="right"/>
            </w:pPr>
            <w:r>
              <w:rPr>
                <w:color w:val="000000"/>
                <w:sz w:val="24"/>
                <w:szCs w:val="24"/>
              </w:rPr>
              <w:t>3,978,898.11</w:t>
            </w:r>
          </w:p>
        </w:tc>
        <w:tc>
          <w:tcPr>
            <w:vAlign w:val="center"/>
          </w:tcPr>
          <w:p>
            <w:pPr>
              <w:jc w:val="right"/>
            </w:pPr>
            <w:r>
              <w:rPr>
                <w:color w:val="000000"/>
                <w:sz w:val="24"/>
                <w:szCs w:val="24"/>
              </w:rPr>
              <w:t>0.19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856,697.68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922,184.18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2,596,523.12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87,057.24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4,462,462.22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type="dxa" w:w="8868"/>
        <w:jc w:val="center"/>
        <w:tblLayout w:type="fixed"/>
        <w:tblCellMar>
          <w:top w:type="dxa" w:w="57"/>
          <w:bottom w:type="dxa" w:w="57"/>
        </w:tblCellMar>
        <w:tblLook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123004</w:t>
            </w:r>
          </w:p>
        </w:tc>
        <w:tc>
          <w:tcPr>
            <w:vAlign w:val="center"/>
          </w:tcPr>
          <w:p>
            <w:pPr>
              <w:jc w:val="center"/>
            </w:pPr>
            <w:r>
              <w:rPr>
                <w:color w:val="000000"/>
                <w:sz w:val="24"/>
                <w:szCs w:val="24"/>
              </w:rPr>
              <w:t>铁汉转债</w:t>
            </w:r>
          </w:p>
        </w:tc>
        <w:tc>
          <w:tcPr>
            <w:vAlign w:val="center"/>
          </w:tcPr>
          <w:p>
            <w:pPr>
              <w:jc w:val="right"/>
            </w:pPr>
            <w:r>
              <w:rPr>
                <w:color w:val="000000"/>
                <w:sz w:val="24"/>
                <w:szCs w:val="24"/>
              </w:rPr>
              <w:t>3,978,898.11</w:t>
            </w:r>
          </w:p>
        </w:tc>
        <w:tc>
          <w:tcPr>
            <w:vAlign w:val="center"/>
          </w:tcPr>
          <w:p>
            <w:pPr>
              <w:jc w:val="right"/>
            </w:pPr>
            <w:r>
              <w:rPr>
                <w:color w:val="000000"/>
                <w:sz w:val="24"/>
                <w:szCs w:val="24"/>
              </w:rPr>
              <w:t>0.19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2,540,661,377.13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8,785,261.67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31,182,904.95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2,518,263,733.85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1、中国证监会批准交银施罗德蓝筹股票证券投资基金募集的文件；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2、《交银施罗德蓝筹混合型证券投资基金基金合同》；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3、《交银施罗德蓝筹混合型证券投资基金招募说明书》；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4、《交银施罗德蓝筹混合型证券投资基金托管协议》；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5、关于募集交银施罗德蓝筹股票证券投资基金之法律意见书；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8、报告期内交银施罗德蓝筹混合型证券投资基金在指定报刊上各项公告的原稿。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交银施罗德蓝筹混合型证券投资基金2018年第4季度报告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