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交银施罗德丰晟收益债券型证券投资基金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2018年第4季度报告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2018年12月31日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招商银行股份有限公司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二〇一九年一月二十一日</w:t>
      </w:r>
    </w:p>
    <w:p w:rsidP="000A2988" w:rsidR="009238DB" w:rsidRDefault="009238DB" w:rsidRPr="007F52FA">
      <w:pPr>
        <w:pStyle w:val="1"/>
        <w:spacing w:afterLines="100"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基金托管人招商银行股份有限公司根据本基金合同规定，于2019年1月18日复核了本报告中的财务指标、净值表现和投资组合报告等内容，保证复核内容不存在虚假记载、误导性陈述或者重大遗漏。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本报告期自2018年10月1日起至12月31日止。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交银丰晟收益债券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005577</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契约型，本基金在基金合同生效之日起两年（含两年）的期间内封闭式运作，封闭期结束后转为开放式运作。</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2018年5月23日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331,589,908.23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在严格控制风险的前提下,力求获得高于业绩基准的投资收益。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pPr>
              <w:adjustRightInd w:val="0"/>
              <w:spacing w:before="29" w:line="288" w:lineRule="auto"/>
              <w:ind w:left="17"/>
              <w:jc w:val="left"/>
              <w:rPr>
                <w:color w:val="000000"/>
                <w:sz w:val="24"/>
              </w:rPr>
            </w:pPr>
            <w:r>
              <w:rPr>
                <w:color w:val="000000"/>
                <w:kern w:val="0"/>
                <w:sz w:val="24"/>
              </w:rPr>
              <w:t>封闭期内的投资策略：</w:t>
            </w:r>
          </w:p>
          <w:p>
            <w:pPr>
              <w:adjustRightInd w:val="0"/>
              <w:spacing w:before="29" w:line="288" w:lineRule="auto"/>
              <w:ind w:left="17"/>
              <w:jc w:val="left"/>
              <w:rPr>
                <w:color w:val="000000"/>
                <w:sz w:val="24"/>
              </w:rPr>
            </w:pPr>
            <w:r>
              <w:rPr>
                <w:color w:val="000000"/>
                <w:kern w:val="0"/>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w:t>
            </w:r>
          </w:p>
          <w:p>
            <w:pPr>
              <w:adjustRightInd w:val="0"/>
              <w:spacing w:before="29" w:line="288" w:lineRule="auto"/>
              <w:ind w:left="17"/>
              <w:jc w:val="left"/>
              <w:rPr>
                <w:color w:val="000000"/>
                <w:sz w:val="24"/>
              </w:rPr>
            </w:pPr>
            <w:r>
              <w:rPr>
                <w:color w:val="000000"/>
                <w:kern w:val="0"/>
                <w:sz w:val="24"/>
              </w:rPr>
              <w:t>转为开放式运作后的投资策略：</w:t>
            </w:r>
          </w:p>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本基金是一只债券型基金，其预期风险与预期收益高于货币市场基金，低于混合型基金和股票型基金。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招商银行股份有限公司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交银丰晟收益债券C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005577</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005578</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330,813,244.80</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776,663.43</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Lines="100"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(2018年10月1日-2018年12月31日)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交银丰晟收益债券A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交银丰晟收益债券C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4,014,755.55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8,158.73</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8,960,835.73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19,742.39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0.0271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0.0254</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353,280,237.26</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826,389.70</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1.0679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1.0640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交银丰晟收益债券A</w:t>
      </w:r>
      <w:r w:rsidRPr="007F52FA">
        <w:rPr>
          <w:b/>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2.60%</w:t>
            </w:r>
          </w:p>
        </w:tc>
        <w:tc>
          <w:tcPr>
            <w:vAlign w:val="center"/>
          </w:tcPr>
          <w:p>
            <w:pPr>
              <w:jc w:val="center"/>
            </w:pPr>
            <w:r>
              <w:rPr>
                <w:color w:val="000000"/>
                <w:sz w:val="24"/>
              </w:rPr>
              <w:t>0.06%</w:t>
            </w:r>
          </w:p>
        </w:tc>
        <w:tc>
          <w:tcPr>
            <w:vAlign w:val="center"/>
          </w:tcPr>
          <w:p>
            <w:pPr>
              <w:jc w:val="center"/>
            </w:pPr>
            <w:r>
              <w:rPr>
                <w:color w:val="000000"/>
                <w:sz w:val="24"/>
              </w:rPr>
              <w:t>1.99%</w:t>
            </w:r>
          </w:p>
        </w:tc>
        <w:tc>
          <w:tcPr>
            <w:vAlign w:val="center"/>
          </w:tcPr>
          <w:p>
            <w:pPr>
              <w:jc w:val="center"/>
            </w:pPr>
            <w:r>
              <w:rPr>
                <w:color w:val="000000"/>
                <w:sz w:val="24"/>
              </w:rPr>
              <w:t>0.05%</w:t>
            </w:r>
          </w:p>
        </w:tc>
        <w:tc>
          <w:tcPr>
            <w:vAlign w:val="center"/>
          </w:tcPr>
          <w:p>
            <w:pPr>
              <w:jc w:val="center"/>
            </w:pPr>
            <w:r>
              <w:rPr>
                <w:color w:val="000000"/>
                <w:sz w:val="24"/>
              </w:rPr>
              <w:t>0.61%</w:t>
            </w:r>
          </w:p>
        </w:tc>
        <w:tc>
          <w:tcPr>
            <w:vAlign w:val="center"/>
          </w:tcPr>
          <w:p>
            <w:pPr>
              <w:jc w:val="center"/>
            </w:pPr>
            <w:r>
              <w:rPr>
                <w:color w:val="000000"/>
                <w:sz w:val="24"/>
              </w:rPr>
              <w:t>0.01%</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交银丰晟收益债券C</w:t>
      </w:r>
      <w:r w:rsidRPr="007F52FA">
        <w:rPr>
          <w:b/>
          <w:color w:val="000000"/>
          <w:kern w:val="0"/>
          <w:sz w:val="24"/>
        </w:rPr>
        <w:t>：</w:t>
      </w:r>
    </w:p>
    <w:tbl>
      <w:tblPr>
        <w:tblStyle w:val="af2"/>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2.45%</w:t>
            </w:r>
          </w:p>
        </w:tc>
        <w:tc>
          <w:tcPr>
            <w:vAlign w:val="center"/>
          </w:tcPr>
          <w:p>
            <w:pPr>
              <w:jc w:val="center"/>
            </w:pPr>
            <w:r>
              <w:rPr>
                <w:color w:val="000000"/>
                <w:sz w:val="24"/>
              </w:rPr>
              <w:t>0.06%</w:t>
            </w:r>
          </w:p>
        </w:tc>
        <w:tc>
          <w:tcPr>
            <w:vAlign w:val="center"/>
          </w:tcPr>
          <w:p>
            <w:pPr>
              <w:jc w:val="center"/>
            </w:pPr>
            <w:r>
              <w:rPr>
                <w:color w:val="000000"/>
                <w:sz w:val="24"/>
              </w:rPr>
              <w:t>1.99%</w:t>
            </w:r>
          </w:p>
        </w:tc>
        <w:tc>
          <w:tcPr>
            <w:vAlign w:val="center"/>
          </w:tcPr>
          <w:p>
            <w:pPr>
              <w:jc w:val="center"/>
            </w:pPr>
            <w:r>
              <w:rPr>
                <w:color w:val="000000"/>
                <w:sz w:val="24"/>
              </w:rPr>
              <w:t>0.05%</w:t>
            </w:r>
          </w:p>
        </w:tc>
        <w:tc>
          <w:tcPr>
            <w:vAlign w:val="center"/>
          </w:tcPr>
          <w:p>
            <w:pPr>
              <w:jc w:val="center"/>
            </w:pPr>
            <w:r>
              <w:rPr>
                <w:color w:val="000000"/>
                <w:sz w:val="24"/>
              </w:rPr>
              <w:t>0.46%</w:t>
            </w:r>
          </w:p>
        </w:tc>
        <w:tc>
          <w:tcPr>
            <w:vAlign w:val="center"/>
          </w:tcPr>
          <w:p>
            <w:pPr>
              <w:jc w:val="center"/>
            </w:pPr>
            <w:r>
              <w:rPr>
                <w:color w:val="000000"/>
                <w:sz w:val="24"/>
              </w:rPr>
              <w:t>0.01%</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交银施罗德丰晟收益债券型证券投资基金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2018年5月23日</w:t>
      </w:r>
      <w:r w:rsidR="009A045B" w:rsidRPr="007F52FA">
        <w:rPr>
          <w:rFonts w:ascii="Times New Roman" w:hAnsi="Times New Roman"/>
          <w:sz w:val="24"/>
          <w:szCs w:val="24"/>
        </w:rPr>
        <w:t>至</w:t>
      </w:r>
      <w:r w:rsidRPr="007F52FA">
        <w:rPr>
          <w:rFonts w:ascii="Times New Roman" w:hAnsi="Times New Roman"/>
          <w:sz w:val="24"/>
          <w:szCs w:val="24"/>
        </w:rPr>
        <w:t>2018年12月31日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交银丰晟收益债券A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基金合同生效日为2018年5月23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交银丰晟收益债券C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基金合同生效日为2018年5月23日，基金合同生效日至报告期期末，本基金运作时间未满一年。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荣祥保本混合、交银定期支付月月丰债券、交银增强收益债券、交银强化回报债券、交银丰盈收益债券、交银荣鑫保本混合、交银增利增强债券、交银丰晟收益债券、交银裕如纯债债券的基金经理，公司固定收益（公募）投资总监</w:t>
            </w:r>
          </w:p>
        </w:tc>
        <w:tc>
          <w:tcPr>
            <w:vAlign w:val="center"/>
          </w:tcPr>
          <w:p>
            <w:pPr>
              <w:jc w:val="center"/>
            </w:pPr>
            <w:r>
              <w:rPr>
                <w:color w:val="000000"/>
                <w:sz w:val="24"/>
              </w:rPr>
              <w:t>2018-05-23</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2018年四季度利率债收益率明显下行，长端收益率下行比短端更为明显，曲线期限利差收窄，信用债下行明显，信用利差收窄。十月，央行不仅没有跟随美联储加息，反而在十一假期后超预期降准，债市做多情绪重新升温。三季度GDP增速回落到6.50%，加上股权质押风险继续令股市重挫，国际油价加速回落，多重因素影响下，债市做多情绪高涨，收益率持续下行。十一月中旬随着十月经济金融数据公布，市场关注的社融数据大幅下挫，市场对经济下行形成一致预期，而同时地方债供给减少，进一步助推了债市行情。直到十二月中旬，出于对地产、非标政策放松的预期，债市才出现小幅调整，而后央行操作TMLF并降息后，收益率进一步回落创出年内新低。</w:t>
      </w:r>
    </w:p>
    <w:p>
      <w:pPr>
        <w:spacing w:before="29" w:line="288" w:lineRule="auto"/>
        <w:ind w:firstLine="480" w:firstLineChars="200"/>
        <w:rPr>
          <w:color w:val="000000"/>
          <w:sz w:val="24"/>
        </w:rPr>
      </w:pPr>
      <w:r>
        <w:rPr>
          <w:color w:val="000000"/>
          <w:sz w:val="24"/>
        </w:rPr>
        <w:t>报告期内，本基金继续采用久期匹配策略配置信用债，并根据市场情况适时优化组合持仓。本基金以信用债为主要配置，充分利用杠杆，获得稳定的票息和杠杆收益。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一季度，宏观基本面和货币政策趋势仍将有利于债券市场，一方面出口和地产对经济的拖累将逐步体现，另一方面货币政策为了对冲下滑也将会保持宽松。宽信用政策面临地方政府隐性债务监管、银行风险偏好和资本金不高、严监管下非标难以明显扩张等诸多掣肘，而财政政策虽有减税降费，但受到赤字率的约束或难以改变经济下滑的趋势。我们认为本轮债市牛市大概率尚未走完，从稳增长政策到经济企稳之间的时滞可能会比以往更长，当前期限虽有收窄但仍处于高位，预计长端利率仍有一定下行空间。但是利率的下行节奏可能不如2018年那么顺畅，关注逆周期调节政策可能会导致社融同比阶段性企稳，猪价油价超预期上涨可能会对通胀预期产生扰动。操作策略方面，组合将维持久期匹配的套息策略，通过对资金面的预判，控制组合杠杆，努力获得较好的票息和杠杆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Lines="100"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rsidRPr="0028293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tbl>
      <w:tblPr>
        <w:tblStyle w:val="af2"/>
        <w:tblW w:type="dxa" w:w="8897"/>
        <w:tblInd w:type="dxa" w:w="108"/>
        <w:tblLayout w:type="fixed"/>
        <w:tblLook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r w:rsidRPr="0028293E">
              <w:rPr>
                <w:rFonts w:eastAsiaTheme="minorEastAsia"/>
                <w:color w:themeColor="text1" w:val="000000"/>
                <w:sz w:val="24"/>
              </w:rPr>
              <w:t>(</w:t>
            </w:r>
            <w:r w:rsidRPr="0028293E">
              <w:rPr>
                <w:rFonts w:eastAsiaTheme="minorEastAsia"/>
                <w:color w:themeColor="text1" w:val="000000"/>
                <w:sz w:val="24"/>
              </w:rPr>
              <w:t>元</w:t>
            </w: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668,423,400.00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95.10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668,423,400.00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95.10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21,608,650.43</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3.07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12,856,143.26</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1.83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702,888,193.69</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lastRenderedPageBreak/>
        <w:t xml:space="preserve">5.2 </w:t>
      </w:r>
      <w:r w:rsidRPr="007F52FA">
        <w:rPr>
          <w:rFonts w:eastAsiaTheme="minorEastAsia"/>
          <w:b/>
          <w:color w:val="000000"/>
          <w:kern w:val="0"/>
          <w:sz w:val="24"/>
        </w:rPr>
        <w:t>报告期末按行业分类的股票投资组合</w:t>
      </w:r>
    </w:p>
    <w:p w:rsidP="001A5D39" w:rsidR="001A5D39" w:rsidRDefault="001A5D39" w:rsidRPr="001A5D39">
      <w:pPr>
        <w:rPr>
          <w:b/>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326,571,900.00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92.22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341,851,500.00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96.54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668,423,400.00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188.76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type="dxa" w:w="8868"/>
        <w:jc w:val="center"/>
        <w:tblLayout w:type="fixed"/>
        <w:tblCellMar>
          <w:top w:type="dxa" w:w="57"/>
          <w:bottom w:type="dxa" w:w="57"/>
        </w:tblCellMar>
        <w:tblLook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101800692</w:t>
            </w:r>
          </w:p>
        </w:tc>
        <w:tc>
          <w:tcPr>
            <w:vAlign w:val="center"/>
          </w:tcPr>
          <w:p>
            <w:pPr>
              <w:jc w:val="center"/>
            </w:pPr>
            <w:r>
              <w:rPr>
                <w:color w:val="000000"/>
                <w:sz w:val="24"/>
              </w:rPr>
              <w:t>18拉萨城投MTN001</w:t>
            </w:r>
          </w:p>
        </w:tc>
        <w:tc>
          <w:tcPr>
            <w:vAlign w:val="center"/>
          </w:tcPr>
          <w:p>
            <w:pPr>
              <w:jc w:val="right"/>
            </w:pPr>
            <w:r>
              <w:rPr>
                <w:color w:val="000000"/>
                <w:sz w:val="24"/>
              </w:rPr>
              <w:t>300,000</w:t>
            </w:r>
          </w:p>
        </w:tc>
        <w:tc>
          <w:tcPr>
            <w:vAlign w:val="center"/>
          </w:tcPr>
          <w:p>
            <w:pPr>
              <w:jc w:val="right"/>
            </w:pPr>
            <w:r>
              <w:rPr>
                <w:color w:val="000000"/>
                <w:sz w:val="24"/>
              </w:rPr>
              <w:t>31,137,000.00</w:t>
            </w:r>
          </w:p>
        </w:tc>
        <w:tc>
          <w:tcPr>
            <w:vAlign w:val="center"/>
          </w:tcPr>
          <w:p>
            <w:pPr>
              <w:jc w:val="right"/>
            </w:pPr>
            <w:r>
              <w:rPr>
                <w:color w:val="000000"/>
                <w:sz w:val="24"/>
              </w:rPr>
              <w:t>8.79</w:t>
            </w:r>
          </w:p>
        </w:tc>
      </w:tr>
      <w:tr>
        <w:tc>
          <w:tcPr>
            <w:vAlign w:val="center"/>
          </w:tcPr>
          <w:p>
            <w:pPr>
              <w:jc w:val="center"/>
            </w:pPr>
            <w:r>
              <w:rPr>
                <w:color w:val="000000"/>
                <w:sz w:val="24"/>
              </w:rPr>
              <w:t>2</w:t>
            </w:r>
          </w:p>
        </w:tc>
        <w:tc>
          <w:tcPr>
            <w:vAlign w:val="center"/>
          </w:tcPr>
          <w:p>
            <w:pPr>
              <w:jc w:val="center"/>
            </w:pPr>
            <w:r>
              <w:rPr>
                <w:color w:val="000000"/>
                <w:sz w:val="24"/>
              </w:rPr>
              <w:t>143287</w:t>
            </w:r>
          </w:p>
        </w:tc>
        <w:tc>
          <w:tcPr>
            <w:vAlign w:val="center"/>
          </w:tcPr>
          <w:p>
            <w:pPr>
              <w:jc w:val="center"/>
            </w:pPr>
            <w:r>
              <w:rPr>
                <w:color w:val="000000"/>
                <w:sz w:val="24"/>
              </w:rPr>
              <w:t>17联投01</w:t>
            </w:r>
          </w:p>
        </w:tc>
        <w:tc>
          <w:tcPr>
            <w:vAlign w:val="center"/>
          </w:tcPr>
          <w:p>
            <w:pPr>
              <w:jc w:val="right"/>
            </w:pPr>
            <w:r>
              <w:rPr>
                <w:color w:val="000000"/>
                <w:sz w:val="24"/>
              </w:rPr>
              <w:t>300,000</w:t>
            </w:r>
          </w:p>
        </w:tc>
        <w:tc>
          <w:tcPr>
            <w:vAlign w:val="center"/>
          </w:tcPr>
          <w:p>
            <w:pPr>
              <w:jc w:val="right"/>
            </w:pPr>
            <w:r>
              <w:rPr>
                <w:color w:val="000000"/>
                <w:sz w:val="24"/>
              </w:rPr>
              <w:t>30,333,000.00</w:t>
            </w:r>
          </w:p>
        </w:tc>
        <w:tc>
          <w:tcPr>
            <w:vAlign w:val="center"/>
          </w:tcPr>
          <w:p>
            <w:pPr>
              <w:jc w:val="right"/>
            </w:pPr>
            <w:r>
              <w:rPr>
                <w:color w:val="000000"/>
                <w:sz w:val="24"/>
              </w:rPr>
              <w:t>8.57</w:t>
            </w:r>
          </w:p>
        </w:tc>
      </w:tr>
      <w:tr>
        <w:tc>
          <w:tcPr>
            <w:vAlign w:val="center"/>
          </w:tcPr>
          <w:p>
            <w:pPr>
              <w:jc w:val="center"/>
            </w:pPr>
            <w:r>
              <w:rPr>
                <w:color w:val="000000"/>
                <w:sz w:val="24"/>
              </w:rPr>
              <w:t>3</w:t>
            </w:r>
          </w:p>
        </w:tc>
        <w:tc>
          <w:tcPr>
            <w:vAlign w:val="center"/>
          </w:tcPr>
          <w:p>
            <w:pPr>
              <w:jc w:val="center"/>
            </w:pPr>
            <w:r>
              <w:rPr>
                <w:color w:val="000000"/>
                <w:sz w:val="24"/>
              </w:rPr>
              <w:t>143222</w:t>
            </w:r>
          </w:p>
        </w:tc>
        <w:tc>
          <w:tcPr>
            <w:vAlign w:val="center"/>
          </w:tcPr>
          <w:p>
            <w:pPr>
              <w:jc w:val="center"/>
            </w:pPr>
            <w:r>
              <w:rPr>
                <w:color w:val="000000"/>
                <w:sz w:val="24"/>
              </w:rPr>
              <w:t>17圆融02</w:t>
            </w:r>
          </w:p>
        </w:tc>
        <w:tc>
          <w:tcPr>
            <w:vAlign w:val="center"/>
          </w:tcPr>
          <w:p>
            <w:pPr>
              <w:jc w:val="right"/>
            </w:pPr>
            <w:r>
              <w:rPr>
                <w:color w:val="000000"/>
                <w:sz w:val="24"/>
              </w:rPr>
              <w:t>300,000</w:t>
            </w:r>
          </w:p>
        </w:tc>
        <w:tc>
          <w:tcPr>
            <w:vAlign w:val="center"/>
          </w:tcPr>
          <w:p>
            <w:pPr>
              <w:jc w:val="right"/>
            </w:pPr>
            <w:r>
              <w:rPr>
                <w:color w:val="000000"/>
                <w:sz w:val="24"/>
              </w:rPr>
              <w:t>30,255,000.00</w:t>
            </w:r>
          </w:p>
        </w:tc>
        <w:tc>
          <w:tcPr>
            <w:vAlign w:val="center"/>
          </w:tcPr>
          <w:p>
            <w:pPr>
              <w:jc w:val="right"/>
            </w:pPr>
            <w:r>
              <w:rPr>
                <w:color w:val="000000"/>
                <w:sz w:val="24"/>
              </w:rPr>
              <w:t>8.54</w:t>
            </w:r>
          </w:p>
        </w:tc>
      </w:tr>
      <w:tr>
        <w:tc>
          <w:tcPr>
            <w:vAlign w:val="center"/>
          </w:tcPr>
          <w:p>
            <w:pPr>
              <w:jc w:val="center"/>
            </w:pPr>
            <w:r>
              <w:rPr>
                <w:color w:val="000000"/>
                <w:sz w:val="24"/>
              </w:rPr>
              <w:t>4</w:t>
            </w:r>
          </w:p>
        </w:tc>
        <w:tc>
          <w:tcPr>
            <w:vAlign w:val="center"/>
          </w:tcPr>
          <w:p>
            <w:pPr>
              <w:jc w:val="center"/>
            </w:pPr>
            <w:r>
              <w:rPr>
                <w:color w:val="000000"/>
                <w:sz w:val="24"/>
              </w:rPr>
              <w:t>101560059</w:t>
            </w:r>
          </w:p>
        </w:tc>
        <w:tc>
          <w:tcPr>
            <w:vAlign w:val="center"/>
          </w:tcPr>
          <w:p>
            <w:pPr>
              <w:jc w:val="center"/>
            </w:pPr>
            <w:r>
              <w:rPr>
                <w:color w:val="000000"/>
                <w:sz w:val="24"/>
              </w:rPr>
              <w:t>15盐城城南MTN001</w:t>
            </w:r>
          </w:p>
        </w:tc>
        <w:tc>
          <w:tcPr>
            <w:vAlign w:val="center"/>
          </w:tcPr>
          <w:p>
            <w:pPr>
              <w:jc w:val="right"/>
            </w:pPr>
            <w:r>
              <w:rPr>
                <w:color w:val="000000"/>
                <w:sz w:val="24"/>
              </w:rPr>
              <w:t>300,000</w:t>
            </w:r>
          </w:p>
        </w:tc>
        <w:tc>
          <w:tcPr>
            <w:vAlign w:val="center"/>
          </w:tcPr>
          <w:p>
            <w:pPr>
              <w:jc w:val="right"/>
            </w:pPr>
            <w:r>
              <w:rPr>
                <w:color w:val="000000"/>
                <w:sz w:val="24"/>
              </w:rPr>
              <w:t>30,171,000.00</w:t>
            </w:r>
          </w:p>
        </w:tc>
        <w:tc>
          <w:tcPr>
            <w:vAlign w:val="center"/>
          </w:tcPr>
          <w:p>
            <w:pPr>
              <w:jc w:val="right"/>
            </w:pPr>
            <w:r>
              <w:rPr>
                <w:color w:val="000000"/>
                <w:sz w:val="24"/>
              </w:rPr>
              <w:t>8.52</w:t>
            </w:r>
          </w:p>
        </w:tc>
      </w:tr>
      <w:tr>
        <w:tc>
          <w:tcPr>
            <w:vAlign w:val="center"/>
          </w:tcPr>
          <w:p>
            <w:pPr>
              <w:jc w:val="center"/>
            </w:pPr>
            <w:r>
              <w:rPr>
                <w:color w:val="000000"/>
                <w:sz w:val="24"/>
              </w:rPr>
              <w:t>5</w:t>
            </w:r>
          </w:p>
        </w:tc>
        <w:tc>
          <w:tcPr>
            <w:vAlign w:val="center"/>
          </w:tcPr>
          <w:p>
            <w:pPr>
              <w:jc w:val="center"/>
            </w:pPr>
            <w:r>
              <w:rPr>
                <w:color w:val="000000"/>
                <w:sz w:val="24"/>
              </w:rPr>
              <w:t>122358</w:t>
            </w:r>
          </w:p>
        </w:tc>
        <w:tc>
          <w:tcPr>
            <w:vAlign w:val="center"/>
          </w:tcPr>
          <w:p>
            <w:pPr>
              <w:jc w:val="center"/>
            </w:pPr>
            <w:r>
              <w:rPr>
                <w:color w:val="000000"/>
                <w:sz w:val="24"/>
              </w:rPr>
              <w:t>15际华03</w:t>
            </w:r>
          </w:p>
        </w:tc>
        <w:tc>
          <w:tcPr>
            <w:vAlign w:val="center"/>
          </w:tcPr>
          <w:p>
            <w:pPr>
              <w:jc w:val="right"/>
            </w:pPr>
            <w:r>
              <w:rPr>
                <w:color w:val="000000"/>
                <w:sz w:val="24"/>
              </w:rPr>
              <w:t>300,000</w:t>
            </w:r>
          </w:p>
        </w:tc>
        <w:tc>
          <w:tcPr>
            <w:vAlign w:val="center"/>
          </w:tcPr>
          <w:p>
            <w:pPr>
              <w:jc w:val="right"/>
            </w:pPr>
            <w:r>
              <w:rPr>
                <w:color w:val="000000"/>
                <w:sz w:val="24"/>
              </w:rPr>
              <w:t>29,949,000.00</w:t>
            </w:r>
          </w:p>
        </w:tc>
        <w:tc>
          <w:tcPr>
            <w:vAlign w:val="center"/>
          </w:tcPr>
          <w:p>
            <w:pPr>
              <w:jc w:val="right"/>
            </w:pPr>
            <w:r>
              <w:rPr>
                <w:color w:val="000000"/>
                <w:sz w:val="24"/>
              </w:rPr>
              <w:t>8.46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lastRenderedPageBreak/>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9,852.42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263,663.48</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12,582,627.36</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12,856,143.26</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7F52FA">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lastRenderedPageBreak/>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C51B4E" w:rsidRDefault="00C51B4E" w:rsidRPr="00C51B4E">
      <w:pPr>
        <w:pStyle w:val="1"/>
        <w:spacing w:afterLines="100" w:beforeLines="100" w:line="360" w:lineRule="auto"/>
        <w:jc w:val="center"/>
        <w:rPr>
          <w:rFonts w:eastAsiaTheme="minorEastAsia"/>
          <w:color w:themeColor="text1" w:val="000000"/>
          <w:kern w:val="0"/>
          <w:sz w:val="21"/>
          <w:szCs w:val="21"/>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Pr="00C51B4E">
        <w:rPr>
          <w:rFonts w:eastAsiaTheme="minorEastAsia" w:hint="eastAsia"/>
          <w:color w:themeColor="text1" w:val="000000"/>
          <w:kern w:val="0"/>
          <w:sz w:val="21"/>
          <w:szCs w:val="21"/>
        </w:rPr>
        <w:t>基金中基金</w:t>
      </w:r>
    </w:p>
    <w:p w:rsidP="00C51B4E" w:rsidR="00C51B4E" w:rsidRDefault="00C51B4E" w:rsidRPr="00C51B4E">
      <w:pPr>
        <w:adjustRightInd w:val="0"/>
        <w:snapToGrid w:val="0"/>
        <w:spacing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1</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报告期末按公允价值占基金资产净值比例大小排序的前十名基金投资明细</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本基金本报告期末未持有基金。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2</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当期交易及持有基金产生的费用</w:t>
      </w:r>
    </w:p>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本基金本报告期内未交易或持有基金。</w:t>
      </w:r>
    </w:p>
    <w:p w:rsidP="000A2988" w:rsidR="00C51B4E" w:rsidRDefault="00C51B4E" w:rsidRPr="00C51B4E">
      <w:pPr>
        <w:adjustRightInd w:val="0"/>
        <w:snapToGrid w:val="0"/>
        <w:spacing w:beforeLines="50" w:line="360" w:lineRule="auto"/>
        <w:rPr>
          <w:rFonts w:eastAsiaTheme="minorEastAsia"/>
          <w:b/>
          <w:color w:themeColor="text1" w:val="000000"/>
          <w:kern w:val="0"/>
          <w:szCs w:val="21"/>
        </w:rPr>
      </w:pPr>
      <w:r w:rsidRPr="00C51B4E">
        <w:rPr>
          <w:rFonts w:eastAsiaTheme="minorEastAsia"/>
          <w:b/>
          <w:color w:themeColor="text1" w:val="000000"/>
          <w:kern w:val="0"/>
          <w:szCs w:val="21"/>
        </w:rPr>
        <w:t>6.</w:t>
      </w:r>
      <w:r w:rsidRPr="00C51B4E">
        <w:rPr>
          <w:rFonts w:eastAsiaTheme="minorEastAsia" w:hint="eastAsia"/>
          <w:b/>
          <w:color w:themeColor="text1" w:val="000000"/>
          <w:kern w:val="0"/>
          <w:szCs w:val="21"/>
        </w:rPr>
        <w:t/>
      </w:r>
      <w:r w:rsidRPr="00C51B4E">
        <w:rPr>
          <w:rFonts w:eastAsiaTheme="minorEastAsia"/>
          <w:b/>
          <w:color w:themeColor="text1" w:val="000000"/>
          <w:kern w:val="0"/>
          <w:szCs w:val="21"/>
        </w:rPr>
        <w:t>3</w:t>
      </w:r>
      <w:r w:rsidRPr="00C51B4E">
        <w:rPr>
          <w:rFonts w:eastAsiaTheme="minorEastAsia" w:hint="eastAsia"/>
          <w:b/>
          <w:color w:themeColor="text1" w:val="000000"/>
          <w:kern w:val="0"/>
          <w:szCs w:val="21"/>
        </w:rPr>
        <w:t xml:space="preserve"> </w:t>
      </w:r>
      <w:r w:rsidRPr="00C51B4E">
        <w:rPr>
          <w:rFonts w:eastAsiaTheme="minorEastAsia" w:hint="eastAsia"/>
          <w:b/>
          <w:color w:themeColor="text1" w:val="000000"/>
          <w:kern w:val="0"/>
          <w:szCs w:val="21"/>
        </w:rPr>
        <w:t>本报告期持有的基金发生的重大影响事件</w:t>
      </w:r>
    </w:p>
    <w:tbl>
      <w:tblPr>
        <w:tblStyle w:val="af2"/>
        <w:tblW w:type="auto" w:w="0"/>
        <w:tblBorders>
          <w:top w:color="auto" w:space="0" w:sz="0" w:val="none"/>
          <w:left w:color="auto" w:space="0" w:sz="0" w:val="none"/>
          <w:bottom w:color="auto" w:space="0" w:sz="0" w:val="none"/>
          <w:right w:color="auto" w:space="0" w:sz="0" w:val="none"/>
          <w:insideH w:color="auto" w:space="0" w:sz="0" w:val="none"/>
          <w:insideV w:color="auto" w:space="0" w:sz="0" w:val="none"/>
        </w:tblBorders>
        <w:tblLook w:val="04A0"/>
      </w:tblPr>
      <w:tblGrid>
        <w:gridCol w:w="9036"/>
      </w:tblGrid>
      <w:tr w:rsidR="00C51B4E" w:rsidRPr="00C51B4E" w:rsidTr="00F103C8">
        <w:tc>
          <w:tcPr>
            <w:tcW w:type="dxa" w:w="9036"/>
          </w:tcPr>
          <w:p w:rsidP="00C51B4E" w:rsidR="00C51B4E" w:rsidRDefault="00C51B4E" w:rsidRPr="00C51B4E">
            <w:pPr>
              <w:autoSpaceDE w:val="0"/>
              <w:autoSpaceDN w:val="0"/>
              <w:adjustRightInd w:val="0"/>
              <w:spacing w:line="360" w:lineRule="auto"/>
              <w:ind w:firstLine="420" w:firstLineChars="200"/>
              <w:jc w:val="left"/>
              <w:rPr>
                <w:rFonts w:eastAsiaTheme="minorEastAsia"/>
                <w:color w:themeColor="text1" w:val="000000"/>
                <w:szCs w:val="21"/>
              </w:rPr>
            </w:pPr>
            <w:r w:rsidRPr="00C51B4E">
              <w:rPr>
                <w:rFonts w:eastAsiaTheme="minorEastAsia"/>
                <w:color w:themeColor="text1" w:val="000000"/>
                <w:szCs w:val="21"/>
              </w:rPr>
              <w:t/>
            </w:r>
            <w:r w:rsidRPr="00C51B4E">
              <w:rPr>
                <w:rFonts w:eastAsiaTheme="minorEastAsia" w:hint="eastAsia"/>
                <w:color w:themeColor="text1" w:val="000000"/>
                <w:szCs w:val="21"/>
              </w:rPr>
              <w:t/>
            </w:r>
            <w:r w:rsidRPr="00C51B4E">
              <w:rPr>
                <w:rFonts w:eastAsiaTheme="minorEastAsia"/>
                <w:color w:themeColor="text1" w:val="000000"/>
                <w:szCs w:val="21"/>
              </w:rPr>
              <w:t/>
            </w:r>
            <w:r w:rsidRPr="00C51B4E">
              <w:rPr>
                <w:rFonts w:eastAsiaTheme="minorEastAsia" w:hint="eastAsia"/>
                <w:color w:themeColor="text1" w:val="000000"/>
                <w:szCs w:val="21"/>
              </w:rPr>
              <w:t>无。</w:t>
            </w:r>
          </w:p>
        </w:tc>
      </w:tr>
    </w:tbl>
    <w:p w:rsidP="000A2988" w:rsidR="009238DB" w:rsidRDefault="00C51B4E" w:rsidRPr="007F52FA">
      <w:pPr>
        <w:pStyle w:val="1"/>
        <w:spacing w:afterLines="100"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§7</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交银丰晟收益债券A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交银丰晟收益债券C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330,813,244.80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776,663.43</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lastRenderedPageBreak/>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330,813,244.80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776,663.43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Lines="100"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175E3A" w:rsidRDefault="009238DB" w:rsidRPr="007032A6">
      <w:pPr>
        <w:pStyle w:val="1"/>
        <w:spacing w:afterLines="100"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bookmarkStart w:id="2" w:name="_GoBack"/>
      <w:bookmarkEnd w:id="2"/>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1、中国证监会准予交银施罗德丰晟收益债券型证券投资基金募集注册的文件；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2、《交银施罗德丰晟收益债券型证券投资基金基金合同》；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3、《交银施罗德丰晟收益债券型证券投资基金招募说明书》；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4、《交银施罗德丰晟收益债券型证券投资基金托管协议》；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5、关于申请募集注册交银施罗德丰晟收益债券型证券投资基金的法律意见书；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8、报告期内交银施罗德丰晟收益债券型证券投资基金在指定报刊上各项公告的原稿。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5A1E" w:rsidRDefault="001B5A1E">
      <w:r>
        <w:separator/>
      </w:r>
    </w:p>
  </w:endnote>
  <w:endnote w:type="continuationSeparator" w:id="0">
    <w:p w:rsidR="001B5A1E" w:rsidRDefault="001B5A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0A2988">
      <w:rPr>
        <w:noProof/>
        <w:kern w:val="0"/>
        <w:szCs w:val="21"/>
      </w:rPr>
      <w:t>21</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0A2988">
      <w:rPr>
        <w:noProof/>
        <w:kern w:val="0"/>
        <w:szCs w:val="21"/>
      </w:rPr>
      <w:t>28</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6"/>
    </w:pPr>
  </w:p>
</w:ftr>
</file>

<file path=word/footer4.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1B5A1E" w:rsidRDefault="001B5A1E">
      <w:r>
        <w:separator/>
      </w:r>
    </w:p>
  </w:footnote>
  <w:footnote w:id="0" w:type="continuationSeparator">
    <w:p w:rsidR="001B5A1E" w:rsidRDefault="001B5A1E">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交银施罗德丰晟收益债券型证券投资基金2018年第4季度报告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C51B4E" w:rsidRDefault="00C51B4E">
    <w:pPr>
      <w:pStyle w:val="a9"/>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printPostScriptOverText/>
  <w:bordersDoNotSurroundHeader/>
  <w:bordersDoNotSurroundFooter/>
  <w:attachedTemplate r:id="rId1"/>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1" w:defUIPriority="0" w:defUnhideWhenUsed="1">
    <w:lsdException w:name="Normal" w:qFormat="1" w:semiHidden="0" w:unhideWhenUsed="0"/>
    <w:lsdException w:name="heading 1" w:qFormat="1" w:semiHidden="0" w:uiPriority="99" w:unhideWhenUsed="0"/>
    <w:lsdException w:name="heading 2" w:qFormat="1" w:semiHidden="0" w:unhideWhenUsed="0"/>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annotation text" w:uiPriority="99"/>
    <w:lsdException w:name="header"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qFormat="1" w:semiHidden="0" w:unhideWhenUsed="0"/>
    <w:lsdException w:name="Subtitle" w:qFormat="1" w:semiHidden="0" w:unhideWhenUsed="0"/>
    <w:lsdException w:name="Salutation" w:semiHidden="0" w:unhideWhenUsed="0"/>
    <w:lsdException w:name="Date" w:semiHidden="0" w:unhideWhenUsed="0"/>
    <w:lsdException w:name="Body Text First Indent" w:semiHidden="0" w:unhideWhenUsed="0"/>
    <w:lsdException w:name="Strong" w:qFormat="1" w:semiHidden="0" w:uiPriority="22" w:unhideWhenUsed="0"/>
    <w:lsdException w:name="Emphasis" w:qFormat="1" w:semiHidden="0" w:unhideWhenUsed="0"/>
    <w:lsdException w:name="Plain Text" w:uiPriority="99"/>
    <w:lsdException w:name="Table Grid" w:qFormat="1" w:semiHidden="0" w:unhideWhenUsed="0"/>
    <w:lsdException w:name="Placeholder Text" w:uiPriority="99"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Ind w:type="dxa" w:w="0"/>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0"/>
        <w:left w:type="dxa" w:w="108"/>
        <w:bottom w:type="dxa" w:w="0"/>
        <w:right w:type="dxa" w:w="108"/>
      </w:tblCellMar>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1B44A-4F1F-404E-8194-4BCDA7DFD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208</TotalTime>
  <Pages>28</Pages>
  <Words>4625</Words>
  <Characters>26366</Characters>
  <Application>Microsoft Office Word</Application>
  <DocSecurity>0</DocSecurity>
  <Lines>219</Lines>
  <Paragraphs>61</Paragraphs>
  <ScaleCrop>false</ScaleCrop>
  <Company>TRT. Ltd. Co.</Company>
  <LinksUpToDate>false</LinksUpToDate>
  <CharactersWithSpaces>30930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Administrator</cp:lastModifiedBy>
  <cp:lastPrinted>2007-07-19T00:46:00Z</cp:lastPrinted>
  <dcterms:modified xsi:type="dcterms:W3CDTF">2018-09-13T02:52:00Z</dcterms:modified>
  <cp:revision>377</cp:revision>
</cp:coreProperties>
</file>