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E7AAF" w:rsidRDefault="00253A7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E7AAF" w:rsidRDefault="00253A70">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E7AAF" w:rsidRDefault="00253A7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E7AAF" w:rsidRDefault="00253A7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E7AAF" w:rsidRDefault="00253A7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300,323,445.98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237,993,758.36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62,329,687.62</w:t>
            </w:r>
            <w:r w:rsidRPr="007F52FA">
              <w:rPr>
                <w:color w:val="000000"/>
                <w:kern w:val="0"/>
                <w:sz w:val="24"/>
              </w:rPr>
              <w:t>份</w:t>
            </w:r>
          </w:p>
        </w:tc>
      </w:tr>
    </w:tbl>
    <w:p w:rsidR="00EE7AAF" w:rsidRDefault="00253A7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7,235,108.49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2,142,055.63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9,259,478.15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2,113,568.03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0.0241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260,748,894.31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67,496,052.04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1.083</w:t>
            </w:r>
          </w:p>
        </w:tc>
      </w:tr>
    </w:tbl>
    <w:p w:rsidR="00EE7AAF" w:rsidRDefault="00253A7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E7AAF">
        <w:trPr>
          <w:jc w:val="center"/>
        </w:trPr>
        <w:tc>
          <w:tcPr>
            <w:tcW w:w="1266" w:type="dxa"/>
            <w:vAlign w:val="center"/>
          </w:tcPr>
          <w:p w:rsidR="00EE7AAF" w:rsidRDefault="00253A70">
            <w:pPr>
              <w:jc w:val="left"/>
            </w:pPr>
            <w:r>
              <w:rPr>
                <w:color w:val="000000"/>
                <w:sz w:val="24"/>
              </w:rPr>
              <w:t>过去三个月</w:t>
            </w:r>
          </w:p>
        </w:tc>
        <w:tc>
          <w:tcPr>
            <w:tcW w:w="1267" w:type="dxa"/>
            <w:vAlign w:val="center"/>
          </w:tcPr>
          <w:p w:rsidR="00EE7AAF" w:rsidRDefault="00253A70">
            <w:pPr>
              <w:jc w:val="center"/>
            </w:pPr>
            <w:r>
              <w:rPr>
                <w:color w:val="000000"/>
                <w:sz w:val="24"/>
              </w:rPr>
              <w:t>3.01%</w:t>
            </w:r>
          </w:p>
        </w:tc>
        <w:tc>
          <w:tcPr>
            <w:tcW w:w="1267" w:type="dxa"/>
            <w:vAlign w:val="center"/>
          </w:tcPr>
          <w:p w:rsidR="00EE7AAF" w:rsidRDefault="00253A70">
            <w:pPr>
              <w:jc w:val="center"/>
            </w:pPr>
            <w:r>
              <w:rPr>
                <w:color w:val="000000"/>
                <w:sz w:val="24"/>
              </w:rPr>
              <w:t>0.07%</w:t>
            </w:r>
          </w:p>
        </w:tc>
        <w:tc>
          <w:tcPr>
            <w:tcW w:w="1267" w:type="dxa"/>
            <w:vAlign w:val="center"/>
          </w:tcPr>
          <w:p w:rsidR="00EE7AAF" w:rsidRDefault="00253A70">
            <w:pPr>
              <w:jc w:val="center"/>
            </w:pPr>
            <w:r>
              <w:rPr>
                <w:color w:val="000000"/>
                <w:sz w:val="24"/>
              </w:rPr>
              <w:t>1.99%</w:t>
            </w:r>
          </w:p>
        </w:tc>
        <w:tc>
          <w:tcPr>
            <w:tcW w:w="1267" w:type="dxa"/>
            <w:vAlign w:val="center"/>
          </w:tcPr>
          <w:p w:rsidR="00EE7AAF" w:rsidRDefault="00253A70">
            <w:pPr>
              <w:jc w:val="center"/>
            </w:pPr>
            <w:r>
              <w:rPr>
                <w:color w:val="000000"/>
                <w:sz w:val="24"/>
              </w:rPr>
              <w:t>0.05%</w:t>
            </w:r>
          </w:p>
        </w:tc>
        <w:tc>
          <w:tcPr>
            <w:tcW w:w="1267" w:type="dxa"/>
            <w:vAlign w:val="center"/>
          </w:tcPr>
          <w:p w:rsidR="00EE7AAF" w:rsidRDefault="00253A70">
            <w:pPr>
              <w:jc w:val="center"/>
            </w:pPr>
            <w:r>
              <w:rPr>
                <w:color w:val="000000"/>
                <w:sz w:val="24"/>
              </w:rPr>
              <w:t>1.02%</w:t>
            </w:r>
          </w:p>
        </w:tc>
        <w:tc>
          <w:tcPr>
            <w:tcW w:w="1267" w:type="dxa"/>
            <w:vAlign w:val="center"/>
          </w:tcPr>
          <w:p w:rsidR="00EE7AAF" w:rsidRDefault="00253A70">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E7AAF">
        <w:trPr>
          <w:jc w:val="center"/>
        </w:trPr>
        <w:tc>
          <w:tcPr>
            <w:tcW w:w="1266" w:type="dxa"/>
            <w:vAlign w:val="center"/>
          </w:tcPr>
          <w:p w:rsidR="00EE7AAF" w:rsidRDefault="00253A70">
            <w:pPr>
              <w:jc w:val="left"/>
            </w:pPr>
            <w:r>
              <w:rPr>
                <w:color w:val="000000"/>
                <w:sz w:val="24"/>
              </w:rPr>
              <w:t>过去三个月</w:t>
            </w:r>
          </w:p>
        </w:tc>
        <w:tc>
          <w:tcPr>
            <w:tcW w:w="1267" w:type="dxa"/>
            <w:vAlign w:val="center"/>
          </w:tcPr>
          <w:p w:rsidR="00EE7AAF" w:rsidRDefault="00253A70">
            <w:pPr>
              <w:jc w:val="center"/>
            </w:pPr>
            <w:r>
              <w:rPr>
                <w:color w:val="000000"/>
                <w:sz w:val="24"/>
              </w:rPr>
              <w:t>2.85%</w:t>
            </w:r>
          </w:p>
        </w:tc>
        <w:tc>
          <w:tcPr>
            <w:tcW w:w="1267" w:type="dxa"/>
            <w:vAlign w:val="center"/>
          </w:tcPr>
          <w:p w:rsidR="00EE7AAF" w:rsidRDefault="00253A70">
            <w:pPr>
              <w:jc w:val="center"/>
            </w:pPr>
            <w:r>
              <w:rPr>
                <w:color w:val="000000"/>
                <w:sz w:val="24"/>
              </w:rPr>
              <w:t>0.07%</w:t>
            </w:r>
          </w:p>
        </w:tc>
        <w:tc>
          <w:tcPr>
            <w:tcW w:w="1267" w:type="dxa"/>
            <w:vAlign w:val="center"/>
          </w:tcPr>
          <w:p w:rsidR="00EE7AAF" w:rsidRDefault="00253A70">
            <w:pPr>
              <w:jc w:val="center"/>
            </w:pPr>
            <w:r>
              <w:rPr>
                <w:color w:val="000000"/>
                <w:sz w:val="24"/>
              </w:rPr>
              <w:t>1.99%</w:t>
            </w:r>
          </w:p>
        </w:tc>
        <w:tc>
          <w:tcPr>
            <w:tcW w:w="1267" w:type="dxa"/>
            <w:vAlign w:val="center"/>
          </w:tcPr>
          <w:p w:rsidR="00EE7AAF" w:rsidRDefault="00253A70">
            <w:pPr>
              <w:jc w:val="center"/>
            </w:pPr>
            <w:r>
              <w:rPr>
                <w:color w:val="000000"/>
                <w:sz w:val="24"/>
              </w:rPr>
              <w:t>0.05%</w:t>
            </w:r>
          </w:p>
        </w:tc>
        <w:tc>
          <w:tcPr>
            <w:tcW w:w="1267" w:type="dxa"/>
            <w:vAlign w:val="center"/>
          </w:tcPr>
          <w:p w:rsidR="00EE7AAF" w:rsidRDefault="00253A70">
            <w:pPr>
              <w:jc w:val="center"/>
            </w:pPr>
            <w:r>
              <w:rPr>
                <w:color w:val="000000"/>
                <w:sz w:val="24"/>
              </w:rPr>
              <w:t>0.86%</w:t>
            </w:r>
          </w:p>
        </w:tc>
        <w:tc>
          <w:tcPr>
            <w:tcW w:w="1267" w:type="dxa"/>
            <w:vAlign w:val="center"/>
          </w:tcPr>
          <w:p w:rsidR="00EE7AAF" w:rsidRDefault="00253A70">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E7AAF">
        <w:trPr>
          <w:jc w:val="center"/>
        </w:trPr>
        <w:tc>
          <w:tcPr>
            <w:tcW w:w="946" w:type="dxa"/>
            <w:vAlign w:val="center"/>
          </w:tcPr>
          <w:p w:rsidR="00EE7AAF" w:rsidRDefault="00253A70">
            <w:pPr>
              <w:jc w:val="center"/>
            </w:pPr>
            <w:r>
              <w:rPr>
                <w:color w:val="000000"/>
                <w:sz w:val="24"/>
              </w:rPr>
              <w:t>于海颖</w:t>
            </w:r>
          </w:p>
        </w:tc>
        <w:tc>
          <w:tcPr>
            <w:tcW w:w="924" w:type="dxa"/>
            <w:vAlign w:val="center"/>
          </w:tcPr>
          <w:p w:rsidR="00EE7AAF" w:rsidRDefault="00253A70">
            <w:pPr>
              <w:jc w:val="center"/>
            </w:pPr>
            <w:r>
              <w:rPr>
                <w:color w:val="000000"/>
                <w:sz w:val="24"/>
              </w:rPr>
              <w:t>交银增利债券、交银纯债债券发起、交银荣祥</w:t>
            </w:r>
            <w:r>
              <w:rPr>
                <w:color w:val="000000"/>
                <w:sz w:val="24"/>
              </w:rPr>
              <w:lastRenderedPageBreak/>
              <w:t>保本混合、交银定期支付月月丰债券、交银增强收益债券、交银强化回报债券、交银丰盈收益债券、交银荣鑫保本混合、交银增利增强债券、交银丰晟收益债券、交银裕如纯债债券的基金经理，公司固定收益（公募）投资总</w:t>
            </w:r>
            <w:r>
              <w:rPr>
                <w:color w:val="000000"/>
                <w:sz w:val="24"/>
              </w:rPr>
              <w:lastRenderedPageBreak/>
              <w:t>监</w:t>
            </w:r>
          </w:p>
        </w:tc>
        <w:tc>
          <w:tcPr>
            <w:tcW w:w="1202" w:type="dxa"/>
            <w:vAlign w:val="center"/>
          </w:tcPr>
          <w:p w:rsidR="00EE7AAF" w:rsidRDefault="00253A70">
            <w:pPr>
              <w:jc w:val="center"/>
            </w:pPr>
            <w:r>
              <w:rPr>
                <w:color w:val="000000"/>
                <w:sz w:val="24"/>
              </w:rPr>
              <w:lastRenderedPageBreak/>
              <w:t>2017-06-10</w:t>
            </w:r>
          </w:p>
        </w:tc>
        <w:tc>
          <w:tcPr>
            <w:tcW w:w="1300" w:type="dxa"/>
            <w:vAlign w:val="center"/>
          </w:tcPr>
          <w:p w:rsidR="00EE7AAF" w:rsidRDefault="00253A70">
            <w:pPr>
              <w:jc w:val="center"/>
            </w:pPr>
            <w:r>
              <w:rPr>
                <w:color w:val="000000"/>
                <w:sz w:val="24"/>
              </w:rPr>
              <w:t>-</w:t>
            </w:r>
          </w:p>
        </w:tc>
        <w:tc>
          <w:tcPr>
            <w:tcW w:w="1245" w:type="dxa"/>
            <w:vAlign w:val="center"/>
          </w:tcPr>
          <w:p w:rsidR="00EE7AAF" w:rsidRDefault="00253A70">
            <w:pPr>
              <w:jc w:val="center"/>
            </w:pPr>
            <w:r>
              <w:rPr>
                <w:color w:val="000000"/>
                <w:sz w:val="24"/>
              </w:rPr>
              <w:t>12</w:t>
            </w:r>
            <w:r>
              <w:rPr>
                <w:color w:val="000000"/>
                <w:sz w:val="24"/>
              </w:rPr>
              <w:t>年</w:t>
            </w:r>
          </w:p>
        </w:tc>
        <w:tc>
          <w:tcPr>
            <w:tcW w:w="3251" w:type="dxa"/>
            <w:vAlign w:val="center"/>
          </w:tcPr>
          <w:p w:rsidR="00EE7AAF" w:rsidRDefault="00253A70">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w:t>
            </w:r>
            <w:r>
              <w:rPr>
                <w:color w:val="000000"/>
                <w:sz w:val="24"/>
              </w:rPr>
              <w:lastRenderedPageBreak/>
              <w:t>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EE7AAF">
        <w:trPr>
          <w:jc w:val="center"/>
        </w:trPr>
        <w:tc>
          <w:tcPr>
            <w:tcW w:w="946" w:type="dxa"/>
            <w:vAlign w:val="center"/>
          </w:tcPr>
          <w:p w:rsidR="00EE7AAF" w:rsidRDefault="00253A70">
            <w:pPr>
              <w:jc w:val="center"/>
            </w:pPr>
            <w:r>
              <w:rPr>
                <w:color w:val="000000"/>
                <w:sz w:val="24"/>
              </w:rPr>
              <w:lastRenderedPageBreak/>
              <w:t>魏玉敏</w:t>
            </w:r>
          </w:p>
        </w:tc>
        <w:tc>
          <w:tcPr>
            <w:tcW w:w="924" w:type="dxa"/>
            <w:vAlign w:val="center"/>
          </w:tcPr>
          <w:p w:rsidR="00EE7AAF" w:rsidRDefault="00253A70">
            <w:pPr>
              <w:jc w:val="center"/>
            </w:pPr>
            <w:r>
              <w:rPr>
                <w:color w:val="000000"/>
                <w:sz w:val="24"/>
              </w:rPr>
              <w:t>交银增利债券、交银纯债债券发起、交银丰润收益债券、交银增利增强债券、交银丰晟收益债券、交银裕如纯债债券的基金经理</w:t>
            </w:r>
          </w:p>
        </w:tc>
        <w:tc>
          <w:tcPr>
            <w:tcW w:w="1202" w:type="dxa"/>
            <w:vAlign w:val="center"/>
          </w:tcPr>
          <w:p w:rsidR="00EE7AAF" w:rsidRDefault="00253A70">
            <w:pPr>
              <w:jc w:val="center"/>
            </w:pPr>
            <w:r>
              <w:rPr>
                <w:color w:val="000000"/>
                <w:sz w:val="24"/>
              </w:rPr>
              <w:t>2018-08-29</w:t>
            </w:r>
          </w:p>
        </w:tc>
        <w:tc>
          <w:tcPr>
            <w:tcW w:w="1300" w:type="dxa"/>
            <w:vAlign w:val="center"/>
          </w:tcPr>
          <w:p w:rsidR="00EE7AAF" w:rsidRDefault="00253A70">
            <w:pPr>
              <w:jc w:val="center"/>
            </w:pPr>
            <w:r>
              <w:rPr>
                <w:color w:val="000000"/>
                <w:sz w:val="24"/>
              </w:rPr>
              <w:t>-</w:t>
            </w:r>
          </w:p>
        </w:tc>
        <w:tc>
          <w:tcPr>
            <w:tcW w:w="1245" w:type="dxa"/>
            <w:vAlign w:val="center"/>
          </w:tcPr>
          <w:p w:rsidR="00EE7AAF" w:rsidRDefault="00253A70">
            <w:pPr>
              <w:jc w:val="center"/>
            </w:pPr>
            <w:r>
              <w:rPr>
                <w:color w:val="000000"/>
                <w:sz w:val="24"/>
              </w:rPr>
              <w:t>6</w:t>
            </w:r>
            <w:r>
              <w:rPr>
                <w:color w:val="000000"/>
                <w:sz w:val="24"/>
              </w:rPr>
              <w:t>年</w:t>
            </w:r>
          </w:p>
        </w:tc>
        <w:tc>
          <w:tcPr>
            <w:tcW w:w="3251" w:type="dxa"/>
            <w:vAlign w:val="center"/>
          </w:tcPr>
          <w:p w:rsidR="00EE7AAF" w:rsidRDefault="00253A70">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EE7AAF" w:rsidRDefault="00253A7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E7AAF" w:rsidRDefault="00253A70">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E7AAF" w:rsidRDefault="00253A7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E7AAF" w:rsidRDefault="00253A70">
      <w:pPr>
        <w:spacing w:before="29" w:line="288" w:lineRule="auto"/>
        <w:ind w:firstLineChars="200" w:firstLine="480"/>
        <w:rPr>
          <w:color w:val="000000"/>
          <w:sz w:val="24"/>
        </w:rPr>
      </w:pPr>
      <w:r>
        <w:rPr>
          <w:color w:val="000000"/>
          <w:sz w:val="24"/>
        </w:rPr>
        <w:t>2018</w:t>
      </w:r>
      <w:r>
        <w:rPr>
          <w:color w:val="000000"/>
          <w:sz w:val="24"/>
        </w:rPr>
        <w:t>年四季度利率债收益率明显下行，长端收益率下行比短端更为明显，曲线期限利差收窄，信用债下行明显，信用利差收窄。十月，央行不仅没有跟随美联储加息，反而在十一假期后超预期降准，债市做多情绪重新升温。三季度</w:t>
      </w:r>
      <w:r>
        <w:rPr>
          <w:color w:val="000000"/>
          <w:sz w:val="24"/>
        </w:rPr>
        <w:t>GDP</w:t>
      </w:r>
      <w:r>
        <w:rPr>
          <w:color w:val="000000"/>
          <w:sz w:val="24"/>
        </w:rPr>
        <w:t>增速回落到</w:t>
      </w:r>
      <w:r>
        <w:rPr>
          <w:color w:val="000000"/>
          <w:sz w:val="24"/>
        </w:rPr>
        <w:t>6.50%</w:t>
      </w:r>
      <w:r>
        <w:rPr>
          <w:color w:val="000000"/>
          <w:sz w:val="24"/>
        </w:rPr>
        <w:t>，加上股权质押风险继续令股市重挫，国际油价加速回落，多重因素影响下，债市做多情绪高涨，收益率持续下行。十一月中旬随着十月经济金融数据公布，市场关注的社融数据大幅下挫，市场对经济下行形成一致预期，而同时地方债供给减少，进一步助推了债市行情。直到十二月中旬，出于对地产、非标政策放松的预期，债市才出现小幅调整，而后央行操作</w:t>
      </w:r>
      <w:r>
        <w:rPr>
          <w:color w:val="000000"/>
          <w:sz w:val="24"/>
        </w:rPr>
        <w:t>TMLF</w:t>
      </w:r>
      <w:r>
        <w:rPr>
          <w:color w:val="000000"/>
          <w:sz w:val="24"/>
        </w:rPr>
        <w:t>并降息后，收益率进一步回落创出年内新低。</w:t>
      </w:r>
    </w:p>
    <w:p w:rsidR="00EE7AAF" w:rsidRDefault="00253A70">
      <w:pPr>
        <w:spacing w:before="29" w:line="288" w:lineRule="auto"/>
        <w:ind w:firstLineChars="200" w:firstLine="480"/>
        <w:rPr>
          <w:color w:val="000000"/>
          <w:sz w:val="24"/>
        </w:rPr>
      </w:pPr>
      <w:r>
        <w:rPr>
          <w:color w:val="000000"/>
          <w:sz w:val="24"/>
        </w:rPr>
        <w:t>报告期内，基于对宏观经济的判断，结合市场收益率曲线的形态动态的进行了组合的配置，维持了中性偏高的组合久期，由于资金较为宽松，组合维持了较高的杠杆操作。券种配置组合以信用债为底仓，把握了信用利差收窄带来的资本利得机会。同时，组合配置了一定比例的长久期利率债，波段操作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一季度，宏观基本面和货币政策趋势仍将有利于债券市场，一方面出口和地产对经济的拖累将逐步体现，另一方面货币政策为了对冲下滑也将会保持宽松。宽信用政策面临地方政府隐性债务监管、银行风险偏好和资本金不高、严监管下非标难以明显扩张等诸多掣肘，而财政政策虽有减税降费，但受到赤字率的约束或难以改变经济下滑的趋势。我们认为本轮债市牛市大概率尚未走完，从稳增长政策到经济企稳之间</w:t>
      </w:r>
      <w:r w:rsidRPr="007F52FA">
        <w:rPr>
          <w:color w:val="000000"/>
          <w:sz w:val="24"/>
        </w:rPr>
        <w:lastRenderedPageBreak/>
        <w:t>的时滞可能会比以往更长，当前期限虽有收窄但仍处于高位，预计长端利率仍有一定下行空间。但是利率的下行节奏可能不如</w:t>
      </w:r>
      <w:r w:rsidRPr="007F52FA">
        <w:rPr>
          <w:color w:val="000000"/>
          <w:sz w:val="24"/>
        </w:rPr>
        <w:t>2018</w:t>
      </w:r>
      <w:r w:rsidRPr="007F52FA">
        <w:rPr>
          <w:color w:val="000000"/>
          <w:sz w:val="24"/>
        </w:rPr>
        <w:t>年那么顺畅，关注逆周期调节政策可能会导致社融同比阶段性企稳，猪价油价超预期上涨可能会对通胀预期产生扰动。操作策略方面，将继续关注中高等级信用品种的投资机会，并维持中等偏高的杠杆水平，以期提升组合整体静态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334,302,778.20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96.68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329,302,778.20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95.23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2,660,885.67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0.77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8,835,305.82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2.56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345,798,969.69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2,268,490.00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0.69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45,967,800.00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45,967,800.00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77,185,488.20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23.51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20,032,000.00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183,849,000.00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56.01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329,302,778.20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100.32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E7AAF">
        <w:trPr>
          <w:jc w:val="center"/>
        </w:trPr>
        <w:tc>
          <w:tcPr>
            <w:tcW w:w="1075" w:type="dxa"/>
            <w:vAlign w:val="center"/>
          </w:tcPr>
          <w:p w:rsidR="00EE7AAF" w:rsidRDefault="00253A70">
            <w:pPr>
              <w:jc w:val="center"/>
            </w:pPr>
            <w:r>
              <w:rPr>
                <w:color w:val="000000"/>
                <w:sz w:val="24"/>
              </w:rPr>
              <w:t>1</w:t>
            </w:r>
          </w:p>
        </w:tc>
        <w:tc>
          <w:tcPr>
            <w:tcW w:w="1533" w:type="dxa"/>
            <w:vAlign w:val="center"/>
          </w:tcPr>
          <w:p w:rsidR="00EE7AAF" w:rsidRDefault="00253A70">
            <w:pPr>
              <w:jc w:val="center"/>
            </w:pPr>
            <w:r>
              <w:rPr>
                <w:color w:val="000000"/>
                <w:sz w:val="24"/>
              </w:rPr>
              <w:t>180204</w:t>
            </w:r>
          </w:p>
        </w:tc>
        <w:tc>
          <w:tcPr>
            <w:tcW w:w="1533" w:type="dxa"/>
            <w:vAlign w:val="center"/>
          </w:tcPr>
          <w:p w:rsidR="00EE7AAF" w:rsidRDefault="00253A70">
            <w:pPr>
              <w:jc w:val="center"/>
            </w:pPr>
            <w:r>
              <w:rPr>
                <w:color w:val="000000"/>
                <w:sz w:val="24"/>
              </w:rPr>
              <w:t>18</w:t>
            </w:r>
            <w:r>
              <w:rPr>
                <w:color w:val="000000"/>
                <w:sz w:val="24"/>
              </w:rPr>
              <w:t>国开</w:t>
            </w:r>
            <w:r>
              <w:rPr>
                <w:color w:val="000000"/>
                <w:sz w:val="24"/>
              </w:rPr>
              <w:t>04</w:t>
            </w:r>
          </w:p>
        </w:tc>
        <w:tc>
          <w:tcPr>
            <w:tcW w:w="1394" w:type="dxa"/>
            <w:vAlign w:val="center"/>
          </w:tcPr>
          <w:p w:rsidR="00EE7AAF" w:rsidRDefault="00253A70">
            <w:pPr>
              <w:jc w:val="right"/>
            </w:pPr>
            <w:r>
              <w:rPr>
                <w:color w:val="000000"/>
                <w:sz w:val="24"/>
              </w:rPr>
              <w:t>300,000</w:t>
            </w:r>
          </w:p>
        </w:tc>
        <w:tc>
          <w:tcPr>
            <w:tcW w:w="1944" w:type="dxa"/>
            <w:vAlign w:val="center"/>
          </w:tcPr>
          <w:p w:rsidR="00EE7AAF" w:rsidRDefault="00253A70">
            <w:pPr>
              <w:jc w:val="right"/>
            </w:pPr>
            <w:r>
              <w:rPr>
                <w:color w:val="000000"/>
                <w:sz w:val="24"/>
              </w:rPr>
              <w:t>31,416,000.00</w:t>
            </w:r>
          </w:p>
        </w:tc>
        <w:tc>
          <w:tcPr>
            <w:tcW w:w="1389" w:type="dxa"/>
            <w:vAlign w:val="center"/>
          </w:tcPr>
          <w:p w:rsidR="00EE7AAF" w:rsidRDefault="00253A70">
            <w:pPr>
              <w:jc w:val="right"/>
            </w:pPr>
            <w:r>
              <w:rPr>
                <w:color w:val="000000"/>
                <w:sz w:val="24"/>
              </w:rPr>
              <w:t>9.57</w:t>
            </w:r>
          </w:p>
        </w:tc>
      </w:tr>
      <w:tr w:rsidR="00EE7AAF">
        <w:trPr>
          <w:jc w:val="center"/>
        </w:trPr>
        <w:tc>
          <w:tcPr>
            <w:tcW w:w="1075" w:type="dxa"/>
            <w:vAlign w:val="center"/>
          </w:tcPr>
          <w:p w:rsidR="00EE7AAF" w:rsidRDefault="00253A70">
            <w:pPr>
              <w:jc w:val="center"/>
            </w:pPr>
            <w:r>
              <w:rPr>
                <w:color w:val="000000"/>
                <w:sz w:val="24"/>
              </w:rPr>
              <w:t>2</w:t>
            </w:r>
          </w:p>
        </w:tc>
        <w:tc>
          <w:tcPr>
            <w:tcW w:w="1533" w:type="dxa"/>
            <w:vAlign w:val="center"/>
          </w:tcPr>
          <w:p w:rsidR="00EE7AAF" w:rsidRDefault="00253A70">
            <w:pPr>
              <w:jc w:val="center"/>
            </w:pPr>
            <w:r>
              <w:rPr>
                <w:color w:val="000000"/>
                <w:sz w:val="24"/>
              </w:rPr>
              <w:t>101800431</w:t>
            </w:r>
          </w:p>
        </w:tc>
        <w:tc>
          <w:tcPr>
            <w:tcW w:w="1533" w:type="dxa"/>
            <w:vAlign w:val="center"/>
          </w:tcPr>
          <w:p w:rsidR="00EE7AAF" w:rsidRDefault="00253A70">
            <w:pPr>
              <w:jc w:val="center"/>
            </w:pPr>
            <w:r>
              <w:rPr>
                <w:color w:val="000000"/>
                <w:sz w:val="24"/>
              </w:rPr>
              <w:t>18</w:t>
            </w:r>
            <w:r>
              <w:rPr>
                <w:color w:val="000000"/>
                <w:sz w:val="24"/>
              </w:rPr>
              <w:t>咸宁城投</w:t>
            </w:r>
            <w:r>
              <w:rPr>
                <w:color w:val="000000"/>
                <w:sz w:val="24"/>
              </w:rPr>
              <w:lastRenderedPageBreak/>
              <w:t>MTN001</w:t>
            </w:r>
          </w:p>
        </w:tc>
        <w:tc>
          <w:tcPr>
            <w:tcW w:w="1394" w:type="dxa"/>
            <w:vAlign w:val="center"/>
          </w:tcPr>
          <w:p w:rsidR="00EE7AAF" w:rsidRDefault="00253A70">
            <w:pPr>
              <w:jc w:val="right"/>
            </w:pPr>
            <w:r>
              <w:rPr>
                <w:color w:val="000000"/>
                <w:sz w:val="24"/>
              </w:rPr>
              <w:lastRenderedPageBreak/>
              <w:t>300,000</w:t>
            </w:r>
          </w:p>
        </w:tc>
        <w:tc>
          <w:tcPr>
            <w:tcW w:w="1944" w:type="dxa"/>
            <w:vAlign w:val="center"/>
          </w:tcPr>
          <w:p w:rsidR="00EE7AAF" w:rsidRDefault="00253A70">
            <w:pPr>
              <w:jc w:val="right"/>
            </w:pPr>
            <w:r>
              <w:rPr>
                <w:color w:val="000000"/>
                <w:sz w:val="24"/>
              </w:rPr>
              <w:t>30,651,000.00</w:t>
            </w:r>
          </w:p>
        </w:tc>
        <w:tc>
          <w:tcPr>
            <w:tcW w:w="1389" w:type="dxa"/>
            <w:vAlign w:val="center"/>
          </w:tcPr>
          <w:p w:rsidR="00EE7AAF" w:rsidRDefault="00253A70">
            <w:pPr>
              <w:jc w:val="right"/>
            </w:pPr>
            <w:r>
              <w:rPr>
                <w:color w:val="000000"/>
                <w:sz w:val="24"/>
              </w:rPr>
              <w:t>9.34</w:t>
            </w:r>
          </w:p>
        </w:tc>
      </w:tr>
      <w:tr w:rsidR="00EE7AAF">
        <w:trPr>
          <w:jc w:val="center"/>
        </w:trPr>
        <w:tc>
          <w:tcPr>
            <w:tcW w:w="1075" w:type="dxa"/>
            <w:vAlign w:val="center"/>
          </w:tcPr>
          <w:p w:rsidR="00EE7AAF" w:rsidRDefault="00253A70">
            <w:pPr>
              <w:jc w:val="center"/>
            </w:pPr>
            <w:r>
              <w:rPr>
                <w:color w:val="000000"/>
                <w:sz w:val="24"/>
              </w:rPr>
              <w:t>3</w:t>
            </w:r>
          </w:p>
        </w:tc>
        <w:tc>
          <w:tcPr>
            <w:tcW w:w="1533" w:type="dxa"/>
            <w:vAlign w:val="center"/>
          </w:tcPr>
          <w:p w:rsidR="00EE7AAF" w:rsidRDefault="00253A70">
            <w:pPr>
              <w:jc w:val="center"/>
            </w:pPr>
            <w:r>
              <w:rPr>
                <w:color w:val="000000"/>
                <w:sz w:val="24"/>
              </w:rPr>
              <w:t>127334</w:t>
            </w:r>
          </w:p>
        </w:tc>
        <w:tc>
          <w:tcPr>
            <w:tcW w:w="1533" w:type="dxa"/>
            <w:vAlign w:val="center"/>
          </w:tcPr>
          <w:p w:rsidR="00EE7AAF" w:rsidRDefault="00253A70">
            <w:pPr>
              <w:jc w:val="center"/>
            </w:pPr>
            <w:r>
              <w:rPr>
                <w:color w:val="000000"/>
                <w:sz w:val="24"/>
              </w:rPr>
              <w:t>15</w:t>
            </w:r>
            <w:r>
              <w:rPr>
                <w:color w:val="000000"/>
                <w:sz w:val="24"/>
              </w:rPr>
              <w:t>锡创投</w:t>
            </w:r>
          </w:p>
        </w:tc>
        <w:tc>
          <w:tcPr>
            <w:tcW w:w="1394" w:type="dxa"/>
            <w:vAlign w:val="center"/>
          </w:tcPr>
          <w:p w:rsidR="00EE7AAF" w:rsidRDefault="00253A70">
            <w:pPr>
              <w:jc w:val="right"/>
            </w:pPr>
            <w:r>
              <w:rPr>
                <w:color w:val="000000"/>
                <w:sz w:val="24"/>
              </w:rPr>
              <w:t>300,000</w:t>
            </w:r>
          </w:p>
        </w:tc>
        <w:tc>
          <w:tcPr>
            <w:tcW w:w="1944" w:type="dxa"/>
            <w:vAlign w:val="center"/>
          </w:tcPr>
          <w:p w:rsidR="00EE7AAF" w:rsidRDefault="00253A70">
            <w:pPr>
              <w:jc w:val="right"/>
            </w:pPr>
            <w:r>
              <w:rPr>
                <w:color w:val="000000"/>
                <w:sz w:val="24"/>
              </w:rPr>
              <w:t>29,841,000.00</w:t>
            </w:r>
          </w:p>
        </w:tc>
        <w:tc>
          <w:tcPr>
            <w:tcW w:w="1389" w:type="dxa"/>
            <w:vAlign w:val="center"/>
          </w:tcPr>
          <w:p w:rsidR="00EE7AAF" w:rsidRDefault="00253A70">
            <w:pPr>
              <w:jc w:val="right"/>
            </w:pPr>
            <w:r>
              <w:rPr>
                <w:color w:val="000000"/>
                <w:sz w:val="24"/>
              </w:rPr>
              <w:t>9.09</w:t>
            </w:r>
          </w:p>
        </w:tc>
      </w:tr>
      <w:tr w:rsidR="00EE7AAF">
        <w:trPr>
          <w:jc w:val="center"/>
        </w:trPr>
        <w:tc>
          <w:tcPr>
            <w:tcW w:w="1075" w:type="dxa"/>
            <w:vAlign w:val="center"/>
          </w:tcPr>
          <w:p w:rsidR="00EE7AAF" w:rsidRDefault="00253A70">
            <w:pPr>
              <w:jc w:val="center"/>
            </w:pPr>
            <w:r>
              <w:rPr>
                <w:color w:val="000000"/>
                <w:sz w:val="24"/>
              </w:rPr>
              <w:t>4</w:t>
            </w:r>
          </w:p>
        </w:tc>
        <w:tc>
          <w:tcPr>
            <w:tcW w:w="1533" w:type="dxa"/>
            <w:vAlign w:val="center"/>
          </w:tcPr>
          <w:p w:rsidR="00EE7AAF" w:rsidRDefault="00253A70">
            <w:pPr>
              <w:jc w:val="center"/>
            </w:pPr>
            <w:r>
              <w:rPr>
                <w:color w:val="000000"/>
                <w:sz w:val="24"/>
              </w:rPr>
              <w:t>101800493</w:t>
            </w:r>
          </w:p>
        </w:tc>
        <w:tc>
          <w:tcPr>
            <w:tcW w:w="1533" w:type="dxa"/>
            <w:vAlign w:val="center"/>
          </w:tcPr>
          <w:p w:rsidR="00EE7AAF" w:rsidRDefault="00253A70">
            <w:pPr>
              <w:jc w:val="center"/>
            </w:pPr>
            <w:r>
              <w:rPr>
                <w:color w:val="000000"/>
                <w:sz w:val="24"/>
              </w:rPr>
              <w:t>18</w:t>
            </w:r>
            <w:r>
              <w:rPr>
                <w:color w:val="000000"/>
                <w:sz w:val="24"/>
              </w:rPr>
              <w:t>青岛黄岛</w:t>
            </w:r>
            <w:r>
              <w:rPr>
                <w:color w:val="000000"/>
                <w:sz w:val="24"/>
              </w:rPr>
              <w:t>MTN001</w:t>
            </w:r>
          </w:p>
        </w:tc>
        <w:tc>
          <w:tcPr>
            <w:tcW w:w="1394" w:type="dxa"/>
            <w:vAlign w:val="center"/>
          </w:tcPr>
          <w:p w:rsidR="00EE7AAF" w:rsidRDefault="00253A70">
            <w:pPr>
              <w:jc w:val="right"/>
            </w:pPr>
            <w:r>
              <w:rPr>
                <w:color w:val="000000"/>
                <w:sz w:val="24"/>
              </w:rPr>
              <w:t>200,000</w:t>
            </w:r>
          </w:p>
        </w:tc>
        <w:tc>
          <w:tcPr>
            <w:tcW w:w="1944" w:type="dxa"/>
            <w:vAlign w:val="center"/>
          </w:tcPr>
          <w:p w:rsidR="00EE7AAF" w:rsidRDefault="00253A70">
            <w:pPr>
              <w:jc w:val="right"/>
            </w:pPr>
            <w:r>
              <w:rPr>
                <w:color w:val="000000"/>
                <w:sz w:val="24"/>
              </w:rPr>
              <w:t>20,896,000.00</w:t>
            </w:r>
          </w:p>
        </w:tc>
        <w:tc>
          <w:tcPr>
            <w:tcW w:w="1389" w:type="dxa"/>
            <w:vAlign w:val="center"/>
          </w:tcPr>
          <w:p w:rsidR="00EE7AAF" w:rsidRDefault="00253A70">
            <w:pPr>
              <w:jc w:val="right"/>
            </w:pPr>
            <w:r>
              <w:rPr>
                <w:color w:val="000000"/>
                <w:sz w:val="24"/>
              </w:rPr>
              <w:t>6.37</w:t>
            </w:r>
          </w:p>
        </w:tc>
      </w:tr>
      <w:tr w:rsidR="00EE7AAF">
        <w:trPr>
          <w:jc w:val="center"/>
        </w:trPr>
        <w:tc>
          <w:tcPr>
            <w:tcW w:w="1075" w:type="dxa"/>
            <w:vAlign w:val="center"/>
          </w:tcPr>
          <w:p w:rsidR="00EE7AAF" w:rsidRDefault="00253A70">
            <w:pPr>
              <w:jc w:val="center"/>
            </w:pPr>
            <w:r>
              <w:rPr>
                <w:color w:val="000000"/>
                <w:sz w:val="24"/>
              </w:rPr>
              <w:t>5</w:t>
            </w:r>
          </w:p>
        </w:tc>
        <w:tc>
          <w:tcPr>
            <w:tcW w:w="1533" w:type="dxa"/>
            <w:vAlign w:val="center"/>
          </w:tcPr>
          <w:p w:rsidR="00EE7AAF" w:rsidRDefault="00253A70">
            <w:pPr>
              <w:jc w:val="center"/>
            </w:pPr>
            <w:r>
              <w:rPr>
                <w:color w:val="000000"/>
                <w:sz w:val="24"/>
              </w:rPr>
              <w:t>101800775</w:t>
            </w:r>
          </w:p>
        </w:tc>
        <w:tc>
          <w:tcPr>
            <w:tcW w:w="1533" w:type="dxa"/>
            <w:vAlign w:val="center"/>
          </w:tcPr>
          <w:p w:rsidR="00EE7AAF" w:rsidRDefault="00253A70">
            <w:pPr>
              <w:jc w:val="center"/>
            </w:pPr>
            <w:r>
              <w:rPr>
                <w:color w:val="000000"/>
                <w:sz w:val="24"/>
              </w:rPr>
              <w:t>18</w:t>
            </w:r>
            <w:r>
              <w:rPr>
                <w:color w:val="000000"/>
                <w:sz w:val="24"/>
              </w:rPr>
              <w:t>苏新国资</w:t>
            </w:r>
            <w:r>
              <w:rPr>
                <w:color w:val="000000"/>
                <w:sz w:val="24"/>
              </w:rPr>
              <w:t>MTN002B</w:t>
            </w:r>
          </w:p>
        </w:tc>
        <w:tc>
          <w:tcPr>
            <w:tcW w:w="1394" w:type="dxa"/>
            <w:vAlign w:val="center"/>
          </w:tcPr>
          <w:p w:rsidR="00EE7AAF" w:rsidRDefault="00253A70">
            <w:pPr>
              <w:jc w:val="right"/>
            </w:pPr>
            <w:r>
              <w:rPr>
                <w:color w:val="000000"/>
                <w:sz w:val="24"/>
              </w:rPr>
              <w:t>200,000</w:t>
            </w:r>
          </w:p>
        </w:tc>
        <w:tc>
          <w:tcPr>
            <w:tcW w:w="1944" w:type="dxa"/>
            <w:vAlign w:val="center"/>
          </w:tcPr>
          <w:p w:rsidR="00EE7AAF" w:rsidRDefault="00253A70">
            <w:pPr>
              <w:jc w:val="right"/>
            </w:pPr>
            <w:r>
              <w:rPr>
                <w:color w:val="000000"/>
                <w:sz w:val="24"/>
              </w:rPr>
              <w:t>20,826,000.00</w:t>
            </w:r>
          </w:p>
        </w:tc>
        <w:tc>
          <w:tcPr>
            <w:tcW w:w="1389" w:type="dxa"/>
            <w:vAlign w:val="center"/>
          </w:tcPr>
          <w:p w:rsidR="00EE7AAF" w:rsidRDefault="00253A70">
            <w:pPr>
              <w:jc w:val="right"/>
            </w:pPr>
            <w:r>
              <w:rPr>
                <w:color w:val="000000"/>
                <w:sz w:val="24"/>
              </w:rPr>
              <w:t>6.34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61"/>
        <w:gridCol w:w="1481"/>
        <w:gridCol w:w="1462"/>
        <w:gridCol w:w="1481"/>
        <w:gridCol w:w="1502"/>
        <w:gridCol w:w="1481"/>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EE7AAF">
        <w:trPr>
          <w:jc w:val="center"/>
        </w:trPr>
        <w:tc>
          <w:tcPr>
            <w:tcW w:w="0" w:type="auto"/>
            <w:vAlign w:val="center"/>
          </w:tcPr>
          <w:p w:rsidR="00EE7AAF" w:rsidRDefault="00253A70">
            <w:pPr>
              <w:jc w:val="center"/>
            </w:pPr>
            <w:r>
              <w:rPr>
                <w:color w:val="000000"/>
                <w:sz w:val="24"/>
              </w:rPr>
              <w:t>1</w:t>
            </w:r>
          </w:p>
        </w:tc>
        <w:tc>
          <w:tcPr>
            <w:tcW w:w="0" w:type="auto"/>
            <w:vAlign w:val="center"/>
          </w:tcPr>
          <w:p w:rsidR="00EE7AAF" w:rsidRDefault="00253A70">
            <w:pPr>
              <w:jc w:val="center"/>
            </w:pPr>
            <w:r>
              <w:rPr>
                <w:color w:val="000000"/>
                <w:sz w:val="24"/>
              </w:rPr>
              <w:t>123935</w:t>
            </w:r>
          </w:p>
        </w:tc>
        <w:tc>
          <w:tcPr>
            <w:tcW w:w="0" w:type="auto"/>
            <w:vAlign w:val="center"/>
          </w:tcPr>
          <w:p w:rsidR="00EE7AAF" w:rsidRDefault="00253A70">
            <w:pPr>
              <w:jc w:val="center"/>
            </w:pPr>
            <w:r>
              <w:rPr>
                <w:color w:val="000000"/>
                <w:sz w:val="24"/>
              </w:rPr>
              <w:t>15</w:t>
            </w:r>
            <w:r>
              <w:rPr>
                <w:color w:val="000000"/>
                <w:sz w:val="24"/>
              </w:rPr>
              <w:t>濮热</w:t>
            </w:r>
            <w:r>
              <w:rPr>
                <w:color w:val="000000"/>
                <w:sz w:val="24"/>
              </w:rPr>
              <w:t>03</w:t>
            </w:r>
          </w:p>
        </w:tc>
        <w:tc>
          <w:tcPr>
            <w:tcW w:w="0" w:type="auto"/>
            <w:vAlign w:val="center"/>
          </w:tcPr>
          <w:p w:rsidR="00EE7AAF" w:rsidRDefault="00253A70">
            <w:pPr>
              <w:jc w:val="right"/>
            </w:pPr>
            <w:r>
              <w:rPr>
                <w:color w:val="000000"/>
                <w:sz w:val="24"/>
              </w:rPr>
              <w:t>50,000</w:t>
            </w:r>
          </w:p>
        </w:tc>
        <w:tc>
          <w:tcPr>
            <w:tcW w:w="0" w:type="auto"/>
            <w:vAlign w:val="center"/>
          </w:tcPr>
          <w:p w:rsidR="00EE7AAF" w:rsidRDefault="00253A70">
            <w:pPr>
              <w:jc w:val="right"/>
            </w:pPr>
            <w:r>
              <w:rPr>
                <w:color w:val="000000"/>
                <w:sz w:val="24"/>
              </w:rPr>
              <w:t>5,000,000.00</w:t>
            </w:r>
          </w:p>
        </w:tc>
        <w:tc>
          <w:tcPr>
            <w:tcW w:w="0" w:type="auto"/>
            <w:vAlign w:val="center"/>
          </w:tcPr>
          <w:p w:rsidR="00EE7AAF" w:rsidRDefault="00253A70">
            <w:pPr>
              <w:jc w:val="right"/>
            </w:pPr>
            <w:r>
              <w:rPr>
                <w:color w:val="000000"/>
                <w:sz w:val="24"/>
              </w:rPr>
              <w:t>1.52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51,148.19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278,132.08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6,753,083.36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1,752,942.19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8,835,305.82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9D199A" w:rsidRDefault="00C51B4E" w:rsidP="009D199A">
      <w:pPr>
        <w:pStyle w:val="1"/>
        <w:spacing w:beforeLines="100" w:before="312" w:afterLines="100" w:after="312" w:line="288" w:lineRule="auto"/>
        <w:jc w:val="center"/>
        <w:rPr>
          <w:rFonts w:eastAsiaTheme="minorEastAsia"/>
          <w:color w:val="000000"/>
          <w:kern w:val="0"/>
          <w:sz w:val="24"/>
          <w:szCs w:val="24"/>
        </w:rPr>
      </w:pPr>
      <w:r w:rsidRPr="009D199A">
        <w:rPr>
          <w:rFonts w:eastAsiaTheme="minorEastAsia"/>
          <w:color w:val="000000"/>
          <w:kern w:val="0"/>
          <w:sz w:val="24"/>
          <w:szCs w:val="24"/>
        </w:rPr>
        <w:t xml:space="preserve">§6  </w:t>
      </w:r>
      <w:r w:rsidRPr="009D199A">
        <w:rPr>
          <w:rFonts w:eastAsiaTheme="minorEastAsia" w:hint="eastAsia"/>
          <w:color w:val="000000"/>
          <w:kern w:val="0"/>
          <w:sz w:val="24"/>
          <w:szCs w:val="24"/>
        </w:rPr>
        <w:t>基金中基金</w:t>
      </w:r>
    </w:p>
    <w:p w:rsidR="00C51B4E" w:rsidRPr="009D199A" w:rsidRDefault="00C51B4E">
      <w:pPr>
        <w:adjustRightInd w:val="0"/>
        <w:snapToGrid w:val="0"/>
        <w:spacing w:line="360" w:lineRule="auto"/>
        <w:rPr>
          <w:rFonts w:eastAsiaTheme="minorEastAsia"/>
          <w:b/>
          <w:color w:val="000000" w:themeColor="text1"/>
          <w:kern w:val="0"/>
          <w:sz w:val="24"/>
        </w:rPr>
      </w:pPr>
      <w:r w:rsidRPr="009D199A">
        <w:rPr>
          <w:rFonts w:eastAsiaTheme="minorEastAsia"/>
          <w:b/>
          <w:color w:val="000000" w:themeColor="text1"/>
          <w:kern w:val="0"/>
          <w:sz w:val="24"/>
        </w:rPr>
        <w:t xml:space="preserve">6.1 </w:t>
      </w:r>
      <w:r w:rsidRPr="009D199A">
        <w:rPr>
          <w:rFonts w:eastAsiaTheme="minorEastAsia" w:hint="eastAsia"/>
          <w:b/>
          <w:color w:val="000000" w:themeColor="text1"/>
          <w:kern w:val="0"/>
          <w:sz w:val="24"/>
        </w:rPr>
        <w:t>报告期末按公允价值占基金资产净值比例大小排序的前十名基金投资明细</w:t>
      </w:r>
    </w:p>
    <w:p w:rsidR="00C51B4E" w:rsidRPr="009D199A" w:rsidRDefault="00C51B4E" w:rsidP="009D199A">
      <w:pPr>
        <w:autoSpaceDE w:val="0"/>
        <w:autoSpaceDN w:val="0"/>
        <w:adjustRightInd w:val="0"/>
        <w:spacing w:line="360" w:lineRule="auto"/>
        <w:ind w:firstLineChars="200" w:firstLine="480"/>
        <w:jc w:val="left"/>
        <w:rPr>
          <w:rFonts w:eastAsiaTheme="minorEastAsia"/>
          <w:color w:val="000000" w:themeColor="text1"/>
          <w:sz w:val="24"/>
        </w:rPr>
      </w:pPr>
      <w:r w:rsidRPr="009D199A">
        <w:rPr>
          <w:rFonts w:eastAsiaTheme="minorEastAsia" w:hint="eastAsia"/>
          <w:color w:val="000000" w:themeColor="text1"/>
          <w:sz w:val="24"/>
        </w:rPr>
        <w:t>本基金本报告期末未持有基金。</w:t>
      </w:r>
    </w:p>
    <w:p w:rsidR="00C51B4E" w:rsidRPr="009D199A" w:rsidRDefault="00C51B4E">
      <w:pPr>
        <w:adjustRightInd w:val="0"/>
        <w:snapToGrid w:val="0"/>
        <w:spacing w:beforeLines="50" w:before="156" w:line="360" w:lineRule="auto"/>
        <w:rPr>
          <w:rFonts w:eastAsiaTheme="minorEastAsia"/>
          <w:b/>
          <w:color w:val="000000" w:themeColor="text1"/>
          <w:kern w:val="0"/>
          <w:sz w:val="24"/>
        </w:rPr>
      </w:pPr>
      <w:r w:rsidRPr="009D199A">
        <w:rPr>
          <w:rFonts w:eastAsiaTheme="minorEastAsia"/>
          <w:b/>
          <w:color w:val="000000" w:themeColor="text1"/>
          <w:kern w:val="0"/>
          <w:sz w:val="24"/>
        </w:rPr>
        <w:t xml:space="preserve">6.2 </w:t>
      </w:r>
      <w:r w:rsidRPr="009D199A">
        <w:rPr>
          <w:rFonts w:eastAsiaTheme="minorEastAsia" w:hint="eastAsia"/>
          <w:b/>
          <w:color w:val="000000" w:themeColor="text1"/>
          <w:kern w:val="0"/>
          <w:sz w:val="24"/>
        </w:rPr>
        <w:t>当期交易及持有基金产生的费用</w:t>
      </w:r>
    </w:p>
    <w:p w:rsidR="00C51B4E" w:rsidRPr="009D199A" w:rsidRDefault="00C51B4E" w:rsidP="009D199A">
      <w:pPr>
        <w:autoSpaceDE w:val="0"/>
        <w:autoSpaceDN w:val="0"/>
        <w:adjustRightInd w:val="0"/>
        <w:spacing w:line="360" w:lineRule="auto"/>
        <w:ind w:firstLineChars="200" w:firstLine="480"/>
        <w:jc w:val="left"/>
        <w:rPr>
          <w:rFonts w:eastAsiaTheme="minorEastAsia"/>
          <w:color w:val="000000" w:themeColor="text1"/>
          <w:sz w:val="24"/>
        </w:rPr>
      </w:pPr>
      <w:r w:rsidRPr="009D199A">
        <w:rPr>
          <w:rFonts w:eastAsiaTheme="minorEastAsia" w:hint="eastAsia"/>
          <w:color w:val="000000" w:themeColor="text1"/>
          <w:sz w:val="24"/>
        </w:rPr>
        <w:t>本基金本报告期内未交易或持有基金。</w:t>
      </w:r>
    </w:p>
    <w:p w:rsidR="00C51B4E" w:rsidRPr="009D199A" w:rsidRDefault="00C51B4E">
      <w:pPr>
        <w:adjustRightInd w:val="0"/>
        <w:snapToGrid w:val="0"/>
        <w:spacing w:beforeLines="50" w:before="156" w:line="360" w:lineRule="auto"/>
        <w:rPr>
          <w:rFonts w:eastAsiaTheme="minorEastAsia"/>
          <w:b/>
          <w:color w:val="000000" w:themeColor="text1"/>
          <w:kern w:val="0"/>
          <w:sz w:val="24"/>
        </w:rPr>
      </w:pPr>
      <w:r w:rsidRPr="009D199A">
        <w:rPr>
          <w:rFonts w:eastAsiaTheme="minorEastAsia"/>
          <w:b/>
          <w:color w:val="000000" w:themeColor="text1"/>
          <w:kern w:val="0"/>
          <w:sz w:val="24"/>
        </w:rPr>
        <w:t xml:space="preserve">6.3 </w:t>
      </w:r>
      <w:r w:rsidRPr="009D199A">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A2344E" w:rsidTr="00F103C8">
        <w:tc>
          <w:tcPr>
            <w:tcW w:w="9036" w:type="dxa"/>
          </w:tcPr>
          <w:p w:rsidR="00C51B4E" w:rsidRPr="009D199A" w:rsidRDefault="00C51B4E" w:rsidP="009D199A">
            <w:pPr>
              <w:autoSpaceDE w:val="0"/>
              <w:autoSpaceDN w:val="0"/>
              <w:adjustRightInd w:val="0"/>
              <w:spacing w:line="360" w:lineRule="auto"/>
              <w:ind w:firstLineChars="200" w:firstLine="480"/>
              <w:jc w:val="left"/>
              <w:rPr>
                <w:rFonts w:eastAsiaTheme="minorEastAsia"/>
                <w:color w:val="000000" w:themeColor="text1"/>
                <w:sz w:val="24"/>
              </w:rPr>
            </w:pPr>
            <w:r w:rsidRPr="009D199A">
              <w:rPr>
                <w:rFonts w:eastAsiaTheme="minorEastAsia" w:hint="eastAsia"/>
                <w:color w:val="000000" w:themeColor="text1"/>
                <w:sz w:val="24"/>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369,013,020.09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14,295,367.00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221,132,263.30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217,683,625.33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352,151,525.03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169,649,304.71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237,993,758.36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62,329,687.62</w:t>
            </w:r>
          </w:p>
        </w:tc>
      </w:tr>
    </w:tbl>
    <w:p w:rsidR="00EE7AAF" w:rsidRDefault="00253A7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B47574" w:rsidP="000A2988">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§9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p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基金管理人于本基金募集期内运用固有资金认购本基金份额</w:t>
      </w:r>
      <w:r w:rsidRPr="007F52FA">
        <w:rPr>
          <w:rFonts w:eastAsiaTheme="minorEastAsia"/>
          <w:color w:val="000000"/>
          <w:sz w:val="24"/>
        </w:rPr>
        <w:t>10,000,000.00</w:t>
      </w:r>
      <w:r w:rsidRPr="007F52FA">
        <w:rPr>
          <w:rFonts w:eastAsiaTheme="minorEastAsia"/>
          <w:color w:val="000000"/>
          <w:sz w:val="24"/>
        </w:rPr>
        <w:t>元人民币（不含募集期利息结转的份额），作为本基金的发起资金。自本基金基金合同生效之日起，发起资金所认购的基金份额持有期限不低于三年。本基金管理人持有的发起份额已于</w:t>
      </w:r>
      <w:r w:rsidRPr="007F52FA">
        <w:rPr>
          <w:rFonts w:eastAsiaTheme="minorEastAsia"/>
          <w:color w:val="000000"/>
          <w:sz w:val="24"/>
        </w:rPr>
        <w:t>2017</w:t>
      </w:r>
      <w:r w:rsidRPr="007F52FA">
        <w:rPr>
          <w:rFonts w:eastAsiaTheme="minorEastAsia"/>
          <w:color w:val="000000"/>
          <w:sz w:val="24"/>
        </w:rPr>
        <w:t>年一季度全部赎回，相应份额的持有期限符合基金合同的约定。</w:t>
      </w:r>
    </w:p>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ED0E09" w:rsidRPr="009D199A" w:rsidRDefault="00ED0E09" w:rsidP="009D199A">
      <w:pPr>
        <w:pStyle w:val="1"/>
        <w:spacing w:beforeLines="100" w:before="312" w:afterLines="100" w:after="312" w:line="288" w:lineRule="auto"/>
        <w:jc w:val="center"/>
        <w:rPr>
          <w:rFonts w:eastAsiaTheme="minorEastAsia"/>
          <w:color w:val="000000"/>
          <w:kern w:val="0"/>
          <w:sz w:val="24"/>
          <w:szCs w:val="24"/>
        </w:rPr>
      </w:pPr>
      <w:r w:rsidRPr="009D199A">
        <w:rPr>
          <w:rFonts w:eastAsiaTheme="minorEastAsia"/>
          <w:color w:val="000000"/>
          <w:kern w:val="0"/>
          <w:sz w:val="24"/>
          <w:szCs w:val="24"/>
        </w:rPr>
        <w:t xml:space="preserve">§10 </w:t>
      </w:r>
      <w:r w:rsidR="00F139D5" w:rsidRPr="009D199A">
        <w:rPr>
          <w:rFonts w:eastAsiaTheme="minorEastAsia"/>
          <w:color w:val="000000"/>
          <w:kern w:val="0"/>
          <w:sz w:val="24"/>
          <w:szCs w:val="24"/>
        </w:rPr>
        <w:t xml:space="preserve"> </w:t>
      </w:r>
      <w:r w:rsidRPr="009D199A">
        <w:rPr>
          <w:rFonts w:eastAsiaTheme="minorEastAsia" w:hint="eastAsia"/>
          <w:color w:val="000000"/>
          <w:kern w:val="0"/>
          <w:sz w:val="24"/>
          <w:szCs w:val="24"/>
        </w:rPr>
        <w:t>影响投资者决策的其他重要信息</w:t>
      </w:r>
    </w:p>
    <w:p w:rsidR="00ED0E09" w:rsidRPr="009D199A" w:rsidRDefault="00ED0E09" w:rsidP="009D199A">
      <w:pPr>
        <w:adjustRightInd w:val="0"/>
        <w:snapToGrid w:val="0"/>
        <w:spacing w:line="360" w:lineRule="auto"/>
        <w:rPr>
          <w:rFonts w:eastAsiaTheme="minorEastAsia"/>
          <w:b/>
          <w:color w:val="000000" w:themeColor="text1"/>
          <w:kern w:val="0"/>
          <w:sz w:val="24"/>
        </w:rPr>
      </w:pPr>
      <w:r w:rsidRPr="009D199A">
        <w:rPr>
          <w:rFonts w:eastAsiaTheme="minorEastAsia"/>
          <w:b/>
          <w:color w:val="000000" w:themeColor="text1"/>
          <w:kern w:val="0"/>
          <w:sz w:val="24"/>
        </w:rPr>
        <w:t xml:space="preserve">10.1 </w:t>
      </w:r>
      <w:r w:rsidRPr="009D199A">
        <w:rPr>
          <w:rFonts w:eastAsiaTheme="minorEastAsia" w:hint="eastAsia"/>
          <w:b/>
          <w:color w:val="000000" w:themeColor="text1"/>
          <w:kern w:val="0"/>
          <w:sz w:val="24"/>
        </w:rPr>
        <w:t>报告期内单一投资者持有基金份额比例达到或超过</w:t>
      </w:r>
      <w:r w:rsidRPr="009D199A">
        <w:rPr>
          <w:rFonts w:eastAsiaTheme="minorEastAsia"/>
          <w:b/>
          <w:color w:val="000000" w:themeColor="text1"/>
          <w:kern w:val="0"/>
          <w:sz w:val="24"/>
        </w:rPr>
        <w:t>20%</w:t>
      </w:r>
      <w:r w:rsidRPr="009D199A">
        <w:rPr>
          <w:rFonts w:eastAsiaTheme="minorEastAsia" w:hint="eastAsia"/>
          <w:b/>
          <w:color w:val="000000" w:themeColor="text1"/>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9D199A" w:rsidRDefault="00ED0E09">
            <w:pPr>
              <w:autoSpaceDE w:val="0"/>
              <w:autoSpaceDN w:val="0"/>
              <w:adjustRightInd w:val="0"/>
              <w:jc w:val="center"/>
              <w:rPr>
                <w:rFonts w:ascii="宋体" w:hAnsi="宋体"/>
                <w:b/>
                <w:bCs/>
                <w:color w:val="000000"/>
                <w:kern w:val="0"/>
                <w:sz w:val="24"/>
              </w:rPr>
            </w:pPr>
            <w:r w:rsidRPr="009D199A">
              <w:rPr>
                <w:rFonts w:ascii="宋体" w:hAnsi="宋体" w:hint="eastAsia"/>
                <w:color w:val="000000"/>
                <w:kern w:val="0"/>
                <w:sz w:val="24"/>
              </w:rPr>
              <w:t>投资者类别</w:t>
            </w:r>
            <w:r w:rsidRPr="009D199A">
              <w:rPr>
                <w:rFonts w:ascii="宋体" w:hAnsi="宋体"/>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9D199A" w:rsidRDefault="00ED0E09">
            <w:pPr>
              <w:autoSpaceDE w:val="0"/>
              <w:autoSpaceDN w:val="0"/>
              <w:adjustRightInd w:val="0"/>
              <w:jc w:val="center"/>
              <w:rPr>
                <w:rFonts w:ascii="宋体" w:hAnsi="宋体"/>
                <w:b/>
                <w:bCs/>
                <w:color w:val="000000"/>
                <w:kern w:val="0"/>
                <w:sz w:val="24"/>
              </w:rPr>
            </w:pPr>
            <w:r w:rsidRPr="009D199A">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9D199A" w:rsidRDefault="00ED0E09">
            <w:pPr>
              <w:autoSpaceDE w:val="0"/>
              <w:autoSpaceDN w:val="0"/>
              <w:adjustRightInd w:val="0"/>
              <w:jc w:val="center"/>
              <w:rPr>
                <w:rFonts w:ascii="宋体" w:hAnsi="宋体"/>
                <w:b/>
                <w:bCs/>
                <w:color w:val="000000"/>
                <w:kern w:val="0"/>
                <w:sz w:val="24"/>
              </w:rPr>
            </w:pPr>
            <w:r w:rsidRPr="009D199A">
              <w:rPr>
                <w:rFonts w:ascii="宋体" w:hAnsi="宋体" w:hint="eastAsia"/>
                <w:color w:val="000000"/>
                <w:kern w:val="0"/>
                <w:sz w:val="24"/>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9D199A" w:rsidRDefault="00ED0E09">
            <w:pPr>
              <w:widowControl/>
              <w:jc w:val="left"/>
              <w:rPr>
                <w:rFonts w:ascii="宋体" w:hAnsi="宋体"/>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9D199A" w:rsidRDefault="00ED0E09">
            <w:pPr>
              <w:autoSpaceDE w:val="0"/>
              <w:autoSpaceDN w:val="0"/>
              <w:adjustRightInd w:val="0"/>
              <w:jc w:val="center"/>
              <w:rPr>
                <w:rFonts w:ascii="宋体" w:hAnsi="宋体"/>
                <w:b/>
                <w:bCs/>
                <w:color w:val="000000"/>
                <w:kern w:val="0"/>
                <w:sz w:val="24"/>
              </w:rPr>
            </w:pPr>
            <w:r w:rsidRPr="009D199A">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9D199A" w:rsidRDefault="00ED0E09">
            <w:pPr>
              <w:autoSpaceDE w:val="0"/>
              <w:autoSpaceDN w:val="0"/>
              <w:adjustRightInd w:val="0"/>
              <w:jc w:val="center"/>
              <w:rPr>
                <w:rFonts w:ascii="宋体" w:hAnsi="宋体"/>
                <w:b/>
                <w:bCs/>
                <w:color w:val="000000"/>
                <w:kern w:val="0"/>
                <w:sz w:val="24"/>
              </w:rPr>
            </w:pPr>
            <w:r w:rsidRPr="009D199A">
              <w:rPr>
                <w:rFonts w:ascii="宋体" w:hAnsi="宋体" w:hint="eastAsia"/>
                <w:color w:val="000000"/>
                <w:kern w:val="0"/>
                <w:sz w:val="24"/>
              </w:rPr>
              <w:t>持有基金份额比例达到或者超过</w:t>
            </w:r>
            <w:r w:rsidRPr="009D199A">
              <w:rPr>
                <w:rFonts w:ascii="宋体" w:hAnsi="宋体"/>
                <w:color w:val="000000"/>
                <w:kern w:val="0"/>
                <w:sz w:val="24"/>
              </w:rPr>
              <w:t>20%的时间</w:t>
            </w:r>
            <w:r w:rsidRPr="009D199A">
              <w:rPr>
                <w:rFonts w:ascii="宋体" w:hAnsi="宋体" w:hint="eastAsia"/>
                <w:color w:val="000000"/>
                <w:kern w:val="0"/>
                <w:sz w:val="24"/>
              </w:rPr>
              <w:lastRenderedPageBreak/>
              <w:t>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9D199A" w:rsidRDefault="00ED0E09">
            <w:pPr>
              <w:widowControl/>
              <w:jc w:val="center"/>
              <w:rPr>
                <w:rFonts w:ascii="宋体" w:hAnsi="宋体"/>
                <w:b/>
                <w:bCs/>
                <w:color w:val="000000"/>
                <w:kern w:val="0"/>
                <w:sz w:val="24"/>
              </w:rPr>
            </w:pPr>
            <w:r w:rsidRPr="009D199A">
              <w:rPr>
                <w:rFonts w:ascii="宋体" w:hAnsi="宋体" w:hint="eastAsia"/>
                <w:color w:val="000000"/>
                <w:kern w:val="0"/>
                <w:sz w:val="24"/>
              </w:rPr>
              <w:lastRenderedPageBreak/>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9D199A" w:rsidRDefault="00ED0E09">
            <w:pPr>
              <w:widowControl/>
              <w:jc w:val="center"/>
              <w:rPr>
                <w:rFonts w:ascii="宋体" w:hAnsi="宋体"/>
                <w:b/>
                <w:bCs/>
                <w:color w:val="000000"/>
                <w:kern w:val="0"/>
                <w:sz w:val="24"/>
              </w:rPr>
            </w:pPr>
            <w:r w:rsidRPr="009D199A">
              <w:rPr>
                <w:rFonts w:ascii="宋体" w:hAnsi="宋体"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9D199A" w:rsidRDefault="00ED0E09">
            <w:pPr>
              <w:widowControl/>
              <w:jc w:val="center"/>
              <w:rPr>
                <w:rFonts w:ascii="宋体" w:hAnsi="宋体"/>
                <w:b/>
                <w:bCs/>
                <w:color w:val="000000"/>
                <w:kern w:val="0"/>
                <w:sz w:val="24"/>
              </w:rPr>
            </w:pPr>
            <w:r w:rsidRPr="009D199A">
              <w:rPr>
                <w:rFonts w:ascii="宋体" w:hAnsi="宋体"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9D199A" w:rsidRDefault="00ED0E09">
            <w:pPr>
              <w:autoSpaceDE w:val="0"/>
              <w:autoSpaceDN w:val="0"/>
              <w:adjustRightInd w:val="0"/>
              <w:jc w:val="center"/>
              <w:rPr>
                <w:rFonts w:ascii="宋体" w:hAnsi="宋体"/>
                <w:b/>
                <w:bCs/>
                <w:color w:val="000000"/>
                <w:kern w:val="0"/>
                <w:sz w:val="24"/>
              </w:rPr>
            </w:pPr>
            <w:r w:rsidRPr="009D199A">
              <w:rPr>
                <w:rFonts w:ascii="宋体" w:hAnsi="宋体"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9D199A" w:rsidRDefault="00ED0E09">
            <w:pPr>
              <w:autoSpaceDE w:val="0"/>
              <w:autoSpaceDN w:val="0"/>
              <w:adjustRightInd w:val="0"/>
              <w:jc w:val="center"/>
              <w:rPr>
                <w:rFonts w:ascii="宋体" w:hAnsi="宋体"/>
                <w:b/>
                <w:bCs/>
                <w:color w:val="000000"/>
                <w:kern w:val="0"/>
                <w:sz w:val="24"/>
              </w:rPr>
            </w:pPr>
            <w:r w:rsidRPr="009D199A">
              <w:rPr>
                <w:rFonts w:ascii="宋体" w:hAnsi="宋体" w:hint="eastAsia"/>
                <w:color w:val="000000"/>
                <w:kern w:val="0"/>
                <w:sz w:val="24"/>
              </w:rPr>
              <w:t>份额占比</w:t>
            </w:r>
          </w:p>
        </w:tc>
      </w:tr>
      <w:tr w:rsidR="00EE7AAF">
        <w:tc>
          <w:tcPr>
            <w:tcW w:w="992" w:type="dxa"/>
            <w:vMerge w:val="restart"/>
          </w:tcPr>
          <w:p w:rsidR="00EE7AAF" w:rsidRPr="009D199A" w:rsidRDefault="00EE7AAF">
            <w:pPr>
              <w:rPr>
                <w:sz w:val="24"/>
              </w:rPr>
            </w:pPr>
          </w:p>
          <w:p w:rsidR="00EE7AAF" w:rsidRPr="009D199A" w:rsidRDefault="00253A70">
            <w:pPr>
              <w:rPr>
                <w:sz w:val="24"/>
              </w:rPr>
            </w:pPr>
            <w:r w:rsidRPr="009D199A">
              <w:rPr>
                <w:rFonts w:ascii="宋体" w:hAnsi="宋体" w:hint="eastAsia"/>
                <w:bCs/>
                <w:color w:val="000000"/>
                <w:kern w:val="0"/>
                <w:sz w:val="24"/>
              </w:rPr>
              <w:t>机构</w:t>
            </w:r>
          </w:p>
        </w:tc>
        <w:tc>
          <w:tcPr>
            <w:tcW w:w="991" w:type="dxa"/>
            <w:vAlign w:val="center"/>
          </w:tcPr>
          <w:p w:rsidR="00EE7AAF" w:rsidRPr="009D199A" w:rsidRDefault="00253A70">
            <w:pPr>
              <w:jc w:val="center"/>
              <w:rPr>
                <w:sz w:val="24"/>
              </w:rPr>
            </w:pPr>
            <w:r w:rsidRPr="009D199A">
              <w:rPr>
                <w:rFonts w:ascii="宋体" w:hAnsi="宋体"/>
                <w:color w:val="000000"/>
                <w:kern w:val="0"/>
                <w:sz w:val="24"/>
              </w:rPr>
              <w:t>1</w:t>
            </w:r>
          </w:p>
        </w:tc>
        <w:tc>
          <w:tcPr>
            <w:tcW w:w="1843" w:type="dxa"/>
            <w:vAlign w:val="center"/>
          </w:tcPr>
          <w:p w:rsidR="00EE7AAF" w:rsidRPr="009D199A" w:rsidRDefault="00253A70">
            <w:pPr>
              <w:jc w:val="center"/>
              <w:rPr>
                <w:sz w:val="24"/>
              </w:rPr>
            </w:pPr>
            <w:r w:rsidRPr="009D199A">
              <w:rPr>
                <w:rFonts w:ascii="宋体" w:hAnsi="宋体"/>
                <w:color w:val="000000"/>
                <w:kern w:val="0"/>
                <w:sz w:val="24"/>
              </w:rPr>
              <w:t>2018/10/1-2018/12/31</w:t>
            </w:r>
          </w:p>
        </w:tc>
        <w:tc>
          <w:tcPr>
            <w:tcW w:w="851" w:type="dxa"/>
            <w:vAlign w:val="center"/>
          </w:tcPr>
          <w:p w:rsidR="00EE7AAF" w:rsidRPr="009D199A" w:rsidRDefault="00253A70">
            <w:pPr>
              <w:jc w:val="center"/>
              <w:rPr>
                <w:sz w:val="24"/>
              </w:rPr>
            </w:pPr>
            <w:r w:rsidRPr="009D199A">
              <w:rPr>
                <w:rFonts w:ascii="宋体" w:hAnsi="宋体"/>
                <w:color w:val="000000"/>
                <w:kern w:val="0"/>
                <w:sz w:val="24"/>
              </w:rPr>
              <w:t>192,516,861.48</w:t>
            </w:r>
          </w:p>
        </w:tc>
        <w:tc>
          <w:tcPr>
            <w:tcW w:w="850" w:type="dxa"/>
            <w:vAlign w:val="center"/>
          </w:tcPr>
          <w:p w:rsidR="00EE7AAF" w:rsidRPr="009D199A" w:rsidRDefault="00253A70">
            <w:pPr>
              <w:jc w:val="center"/>
              <w:rPr>
                <w:sz w:val="24"/>
              </w:rPr>
            </w:pPr>
            <w:r w:rsidRPr="009D199A">
              <w:rPr>
                <w:rFonts w:ascii="宋体" w:hAnsi="宋体"/>
                <w:color w:val="000000"/>
                <w:kern w:val="0"/>
                <w:sz w:val="24"/>
              </w:rPr>
              <w:t>-</w:t>
            </w:r>
          </w:p>
        </w:tc>
        <w:tc>
          <w:tcPr>
            <w:tcW w:w="1134" w:type="dxa"/>
            <w:vAlign w:val="center"/>
          </w:tcPr>
          <w:p w:rsidR="00EE7AAF" w:rsidRPr="009D199A" w:rsidRDefault="00253A70">
            <w:pPr>
              <w:jc w:val="center"/>
              <w:rPr>
                <w:sz w:val="24"/>
              </w:rPr>
            </w:pPr>
            <w:r w:rsidRPr="009D199A">
              <w:rPr>
                <w:rFonts w:ascii="宋体" w:hAnsi="宋体"/>
                <w:color w:val="000000"/>
                <w:kern w:val="0"/>
                <w:sz w:val="24"/>
              </w:rPr>
              <w:t>192,516,861.48</w:t>
            </w:r>
          </w:p>
        </w:tc>
        <w:tc>
          <w:tcPr>
            <w:tcW w:w="1419" w:type="dxa"/>
            <w:vAlign w:val="center"/>
          </w:tcPr>
          <w:p w:rsidR="00EE7AAF" w:rsidRPr="009D199A" w:rsidRDefault="00253A70">
            <w:pPr>
              <w:jc w:val="center"/>
              <w:rPr>
                <w:sz w:val="24"/>
              </w:rPr>
            </w:pPr>
            <w:r w:rsidRPr="009D199A">
              <w:rPr>
                <w:rFonts w:ascii="宋体" w:hAnsi="宋体"/>
                <w:color w:val="000000"/>
                <w:kern w:val="0"/>
                <w:sz w:val="24"/>
              </w:rPr>
              <w:t>-</w:t>
            </w:r>
          </w:p>
        </w:tc>
        <w:tc>
          <w:tcPr>
            <w:tcW w:w="1130" w:type="dxa"/>
            <w:vAlign w:val="center"/>
          </w:tcPr>
          <w:p w:rsidR="00EE7AAF" w:rsidRPr="009D199A" w:rsidRDefault="00253A70">
            <w:pPr>
              <w:jc w:val="center"/>
              <w:rPr>
                <w:sz w:val="24"/>
              </w:rPr>
            </w:pPr>
            <w:r w:rsidRPr="009D199A">
              <w:rPr>
                <w:rFonts w:ascii="宋体" w:hAnsi="宋体"/>
                <w:color w:val="000000"/>
                <w:kern w:val="0"/>
                <w:sz w:val="24"/>
              </w:rPr>
              <w:t>-</w:t>
            </w:r>
          </w:p>
        </w:tc>
      </w:tr>
      <w:tr w:rsidR="00EE7AAF">
        <w:tc>
          <w:tcPr>
            <w:tcW w:w="992" w:type="dxa"/>
            <w:vMerge/>
          </w:tcPr>
          <w:p w:rsidR="00EE7AAF" w:rsidRPr="009D199A" w:rsidRDefault="00EE7AAF">
            <w:pPr>
              <w:rPr>
                <w:sz w:val="24"/>
              </w:rPr>
            </w:pPr>
          </w:p>
        </w:tc>
        <w:tc>
          <w:tcPr>
            <w:tcW w:w="991" w:type="dxa"/>
            <w:vAlign w:val="center"/>
          </w:tcPr>
          <w:p w:rsidR="00EE7AAF" w:rsidRPr="009D199A" w:rsidRDefault="00253A70">
            <w:pPr>
              <w:jc w:val="center"/>
              <w:rPr>
                <w:sz w:val="24"/>
              </w:rPr>
            </w:pPr>
            <w:r w:rsidRPr="009D199A">
              <w:rPr>
                <w:rFonts w:ascii="宋体" w:hAnsi="宋体"/>
                <w:color w:val="000000"/>
                <w:kern w:val="0"/>
                <w:sz w:val="24"/>
              </w:rPr>
              <w:t>2</w:t>
            </w:r>
          </w:p>
        </w:tc>
        <w:tc>
          <w:tcPr>
            <w:tcW w:w="1843" w:type="dxa"/>
            <w:vAlign w:val="center"/>
          </w:tcPr>
          <w:p w:rsidR="00EE7AAF" w:rsidRPr="009D199A" w:rsidRDefault="00253A70">
            <w:pPr>
              <w:jc w:val="center"/>
              <w:rPr>
                <w:sz w:val="24"/>
              </w:rPr>
            </w:pPr>
            <w:r w:rsidRPr="009D199A">
              <w:rPr>
                <w:rFonts w:ascii="宋体" w:hAnsi="宋体"/>
                <w:color w:val="000000"/>
                <w:kern w:val="0"/>
                <w:sz w:val="24"/>
              </w:rPr>
              <w:t>2018/10/1-2018/12/31</w:t>
            </w:r>
          </w:p>
        </w:tc>
        <w:tc>
          <w:tcPr>
            <w:tcW w:w="851" w:type="dxa"/>
            <w:vAlign w:val="center"/>
          </w:tcPr>
          <w:p w:rsidR="00EE7AAF" w:rsidRPr="009D199A" w:rsidRDefault="00253A70">
            <w:pPr>
              <w:jc w:val="center"/>
              <w:rPr>
                <w:sz w:val="24"/>
              </w:rPr>
            </w:pPr>
            <w:r w:rsidRPr="009D199A">
              <w:rPr>
                <w:rFonts w:ascii="宋体" w:hAnsi="宋体"/>
                <w:color w:val="000000"/>
                <w:kern w:val="0"/>
                <w:sz w:val="24"/>
              </w:rPr>
              <w:t>56,707,533.55</w:t>
            </w:r>
          </w:p>
        </w:tc>
        <w:tc>
          <w:tcPr>
            <w:tcW w:w="850" w:type="dxa"/>
            <w:vAlign w:val="center"/>
          </w:tcPr>
          <w:p w:rsidR="00EE7AAF" w:rsidRPr="009D199A" w:rsidRDefault="00253A70">
            <w:pPr>
              <w:jc w:val="center"/>
              <w:rPr>
                <w:sz w:val="24"/>
              </w:rPr>
            </w:pPr>
            <w:r w:rsidRPr="009D199A">
              <w:rPr>
                <w:rFonts w:ascii="宋体" w:hAnsi="宋体"/>
                <w:color w:val="000000"/>
                <w:kern w:val="0"/>
                <w:sz w:val="24"/>
              </w:rPr>
              <w:t>55,044,954.13</w:t>
            </w:r>
          </w:p>
        </w:tc>
        <w:tc>
          <w:tcPr>
            <w:tcW w:w="1134" w:type="dxa"/>
            <w:vAlign w:val="center"/>
          </w:tcPr>
          <w:p w:rsidR="00EE7AAF" w:rsidRPr="009D199A" w:rsidRDefault="00253A70">
            <w:pPr>
              <w:jc w:val="center"/>
              <w:rPr>
                <w:sz w:val="24"/>
              </w:rPr>
            </w:pPr>
            <w:r w:rsidRPr="009D199A">
              <w:rPr>
                <w:rFonts w:ascii="宋体" w:hAnsi="宋体"/>
                <w:color w:val="000000"/>
                <w:kern w:val="0"/>
                <w:sz w:val="24"/>
              </w:rPr>
              <w:t>56,707,533.55</w:t>
            </w:r>
          </w:p>
        </w:tc>
        <w:tc>
          <w:tcPr>
            <w:tcW w:w="1419" w:type="dxa"/>
            <w:vAlign w:val="center"/>
          </w:tcPr>
          <w:p w:rsidR="00EE7AAF" w:rsidRPr="009D199A" w:rsidRDefault="00253A70">
            <w:pPr>
              <w:jc w:val="center"/>
              <w:rPr>
                <w:sz w:val="24"/>
              </w:rPr>
            </w:pPr>
            <w:r w:rsidRPr="009D199A">
              <w:rPr>
                <w:rFonts w:ascii="宋体" w:hAnsi="宋体"/>
                <w:color w:val="000000"/>
                <w:kern w:val="0"/>
                <w:sz w:val="24"/>
              </w:rPr>
              <w:t>55,044,954.13</w:t>
            </w:r>
          </w:p>
        </w:tc>
        <w:tc>
          <w:tcPr>
            <w:tcW w:w="1130" w:type="dxa"/>
            <w:vAlign w:val="center"/>
          </w:tcPr>
          <w:p w:rsidR="00EE7AAF" w:rsidRPr="009D199A" w:rsidRDefault="00253A70">
            <w:pPr>
              <w:jc w:val="center"/>
              <w:rPr>
                <w:sz w:val="24"/>
              </w:rPr>
            </w:pPr>
            <w:r w:rsidRPr="009D199A">
              <w:rPr>
                <w:rFonts w:ascii="宋体" w:hAnsi="宋体"/>
                <w:color w:val="000000"/>
                <w:kern w:val="0"/>
                <w:sz w:val="24"/>
              </w:rPr>
              <w:t>18.33%</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9D199A" w:rsidRDefault="00ED0E09">
            <w:pPr>
              <w:autoSpaceDE w:val="0"/>
              <w:autoSpaceDN w:val="0"/>
              <w:adjustRightInd w:val="0"/>
              <w:jc w:val="center"/>
              <w:rPr>
                <w:rFonts w:ascii="宋体" w:hAnsi="宋体"/>
                <w:kern w:val="0"/>
                <w:sz w:val="24"/>
              </w:rPr>
            </w:pPr>
            <w:r w:rsidRPr="009D199A">
              <w:rPr>
                <w:rFonts w:ascii="宋体" w:hAnsi="宋体" w:hint="eastAsia"/>
                <w:color w:val="000000"/>
                <w:kern w:val="0"/>
                <w:sz w:val="24"/>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9D199A" w:rsidRDefault="00ED0E09">
            <w:pPr>
              <w:autoSpaceDE w:val="0"/>
              <w:autoSpaceDN w:val="0"/>
              <w:adjustRightInd w:val="0"/>
              <w:jc w:val="left"/>
              <w:rPr>
                <w:rFonts w:ascii="宋体" w:hAnsi="宋体"/>
                <w:kern w:val="0"/>
                <w:sz w:val="24"/>
              </w:rPr>
            </w:pPr>
            <w:r w:rsidRPr="009D199A">
              <w:rPr>
                <w:rFonts w:ascii="宋体" w:hAnsi="宋体" w:hint="eastAsia"/>
                <w:kern w:val="0"/>
                <w:sz w:val="24"/>
              </w:rPr>
              <w:t>本基金本报告期内出现单一投资者持有基金份额比例超过基金总份额</w:t>
            </w:r>
            <w:r w:rsidRPr="009D199A">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11</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11.</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E7AAF" w:rsidRDefault="00253A7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EE7AAF" w:rsidRDefault="00253A7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EE7AAF" w:rsidRDefault="00253A7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EE7AAF" w:rsidRDefault="00253A7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EE7AAF" w:rsidRDefault="00253A7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EE7AAF" w:rsidRDefault="00253A7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E7AAF" w:rsidRDefault="00253A7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11.2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11.3</w:t>
      </w:r>
      <w:r w:rsidR="00FB3C94" w:rsidRPr="007F52FA">
        <w:rPr>
          <w:rFonts w:eastAsiaTheme="minorEastAsia"/>
          <w:b/>
          <w:bCs/>
          <w:color w:val="000000"/>
          <w:kern w:val="0"/>
          <w:sz w:val="24"/>
        </w:rPr>
        <w:t>查阅方式</w:t>
      </w:r>
    </w:p>
    <w:p w:rsidR="00EE7AAF" w:rsidRDefault="00253A7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4EE" w:rsidRDefault="00F514EE">
      <w:r>
        <w:separator/>
      </w:r>
    </w:p>
  </w:endnote>
  <w:endnote w:type="continuationSeparator" w:id="0">
    <w:p w:rsidR="00F514EE" w:rsidRDefault="00F5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D199A">
      <w:rPr>
        <w:noProof/>
        <w:kern w:val="0"/>
        <w:szCs w:val="21"/>
      </w:rPr>
      <w:t>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D199A">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4EE" w:rsidRDefault="00F514EE">
      <w:r>
        <w:separator/>
      </w:r>
    </w:p>
  </w:footnote>
  <w:footnote w:type="continuationSeparator" w:id="0">
    <w:p w:rsidR="00F514EE" w:rsidRDefault="00F51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交银施罗德纯债债券型发起式证券投资基金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A7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6773"/>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199A"/>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25F"/>
    <w:rsid w:val="00A15524"/>
    <w:rsid w:val="00A15EE9"/>
    <w:rsid w:val="00A16675"/>
    <w:rsid w:val="00A1724E"/>
    <w:rsid w:val="00A20263"/>
    <w:rsid w:val="00A211AC"/>
    <w:rsid w:val="00A2344E"/>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AAF"/>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14EE"/>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C31EDC0-FC00-438C-90D1-3319AA40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C595E-9FBE-4FDA-A9D8-5FC39453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217</TotalTime>
  <Pages>1</Pages>
  <Words>1253</Words>
  <Characters>7144</Characters>
  <Application>Microsoft Office Word</Application>
  <DocSecurity>0</DocSecurity>
  <Lines>59</Lines>
  <Paragraphs>16</Paragraphs>
  <ScaleCrop>false</ScaleCrop>
  <Company>TRT. Ltd. Co.</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381</cp:revision>
  <cp:lastPrinted>2007-07-19T00:46:00Z</cp:lastPrinted>
  <dcterms:created xsi:type="dcterms:W3CDTF">2014-01-17T06:19:00Z</dcterms:created>
  <dcterms:modified xsi:type="dcterms:W3CDTF">2019-01-17T01:53:00Z</dcterms:modified>
</cp:coreProperties>
</file>