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456,759,358.17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-32,202,224.85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-55,110,475.45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-0.1205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444,948,121.24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-10.97%</w:t>
            </w:r>
          </w:p>
        </w:tc>
        <w:tc>
          <w:tcPr>
            <w:vAlign w:val="center"/>
          </w:tcPr>
          <w:p>
            <w:pPr>
              <w:jc w:val="center"/>
            </w:pPr>
            <w:r>
              <w:rPr>
                <w:color w:val="000000"/>
                <w:sz w:val="24"/>
                <w:szCs w:val="24"/>
              </w:rPr>
              <w:t>1.51%</w:t>
            </w:r>
          </w:p>
        </w:tc>
        <w:tc>
          <w:tcPr>
            <w:vAlign w:val="center"/>
          </w:tcPr>
          <w:p>
            <w:pPr>
              <w:jc w:val="center"/>
            </w:pPr>
            <w:r>
              <w:rPr>
                <w:color w:val="000000"/>
                <w:sz w:val="24"/>
                <w:szCs w:val="24"/>
              </w:rPr>
              <w:t>-6.54%</w:t>
            </w:r>
          </w:p>
        </w:tc>
        <w:tc>
          <w:tcPr>
            <w:vAlign w:val="center"/>
          </w:tcPr>
          <w:p>
            <w:pPr>
              <w:jc w:val="center"/>
            </w:pPr>
            <w:r>
              <w:rPr>
                <w:color w:val="000000"/>
                <w:sz w:val="24"/>
                <w:szCs w:val="24"/>
              </w:rPr>
              <w:t>0.98%</w:t>
            </w:r>
          </w:p>
        </w:tc>
        <w:tc>
          <w:tcPr>
            <w:vAlign w:val="center"/>
          </w:tcPr>
          <w:p>
            <w:pPr>
              <w:jc w:val="center"/>
            </w:pPr>
            <w:r>
              <w:rPr>
                <w:color w:val="000000"/>
                <w:sz w:val="24"/>
                <w:szCs w:val="24"/>
              </w:rPr>
              <w:t>-4.43%</w:t>
            </w:r>
          </w:p>
        </w:tc>
        <w:tc>
          <w:tcPr>
            <w:vAlign w:val="center"/>
          </w:tcPr>
          <w:p>
            <w:pPr>
              <w:jc w:val="center"/>
            </w:pPr>
            <w:r>
              <w:rPr>
                <w:color w:val="000000"/>
                <w:sz w:val="24"/>
                <w:szCs w:val="24"/>
              </w:rPr>
              <w:t>0.53%</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四季度，国内经济总需求进一步减弱，需求放缓体现在投资、消费及外贸出口等各个领域，导致市场对经济下滑产生明显担忧。内部受制于社融增速的放缓，外部则受困于中美贸易战，尽管政府出台了增强基建、鼓励创新、激发民营经济活力、加强改革等多方面举措，但短期政府的边际政策宽松并未对市场预期产生明显扭转，国内股市估值持续压缩。本基金管理人认为市场中期来看可能已经处于相对底部区域，但短期伴随内忧外患仍可能在低位震荡消化。</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报告期内，本基金增持了与经济周期和贸易战相关性较小的行业领域，以及部分业绩增速与估值较为匹配的成长性个股，主要集中包括高端制造、医药、计算机、环保、军工等领域，但是受制于宏观总需求的弱化以及部分行业如医药带量采购政策的负面影响，部分投资仍带来较大损失。展望2019年一季度，我们认为如果贸易战逐渐缓和，那么2019年的投资机会将逐渐显现，市场估值有望修复。总体来看上市企业分化较大，拥有较好现金流以及商业壁垒的企业，与外部不利因素相关性低的行业可能得到市场更多的青睐，本产品将加大此类个股配置，关注高端制造、半导体等进口替代升级领域，以及航空、医药等可选消费。</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240,348,032.28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53.77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240,348,032.28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53.77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33,567,175.98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7.51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33,567,175.98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7.51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100,000,350.00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22.37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68,459,733.55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15.31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4,653,681.71</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447,028,973.52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143,168,066.88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10,145,000.00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3,917,954.29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2,131,430.98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24,857,411.80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34,258,837.25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5,252,243.08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5,895,000.00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9,952,528.00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769,560.00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240,348,032.28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54.02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1,421,520</w:t>
            </w:r>
          </w:p>
        </w:tc>
        <w:tc>
          <w:tcPr>
            <w:vAlign w:val="center"/>
          </w:tcPr>
          <w:p>
            <w:pPr>
              <w:jc w:val="right"/>
            </w:pPr>
            <w:r>
              <w:rPr>
                <w:color w:val="000000"/>
                <w:sz w:val="24"/>
                <w:szCs w:val="24"/>
              </w:rPr>
              <w:t>28,160,311.20</w:t>
            </w:r>
          </w:p>
        </w:tc>
        <w:tc>
          <w:tcPr>
            <w:vAlign w:val="center"/>
          </w:tcPr>
          <w:p>
            <w:pPr>
              <w:jc w:val="right"/>
            </w:pPr>
            <w:r>
              <w:rPr>
                <w:color w:val="000000"/>
                <w:sz w:val="24"/>
                <w:szCs w:val="24"/>
              </w:rPr>
              <w:t>6.33</w:t>
            </w:r>
          </w:p>
        </w:tc>
      </w:tr>
      <w:tr>
        <w:tc>
          <w:tcPr>
            <w:vAlign w:val="center"/>
          </w:tcPr>
          <w:p>
            <w:pPr>
              <w:jc w:val="center"/>
            </w:pPr>
            <w:r>
              <w:rPr>
                <w:color w:val="000000"/>
                <w:sz w:val="24"/>
                <w:szCs w:val="24"/>
              </w:rPr>
              <w:t>2</w:t>
            </w:r>
          </w:p>
        </w:tc>
        <w:tc>
          <w:tcPr>
            <w:vAlign w:val="center"/>
          </w:tcPr>
          <w:p>
            <w:pPr>
              <w:jc w:val="center"/>
            </w:pPr>
            <w:r>
              <w:rPr>
                <w:color w:val="000000"/>
                <w:sz w:val="24"/>
                <w:szCs w:val="24"/>
              </w:rPr>
              <w:t>600115</w:t>
            </w:r>
          </w:p>
        </w:tc>
        <w:tc>
          <w:tcPr>
            <w:vAlign w:val="center"/>
          </w:tcPr>
          <w:p>
            <w:pPr>
              <w:jc w:val="center"/>
            </w:pPr>
            <w:r>
              <w:rPr>
                <w:color w:val="000000"/>
                <w:sz w:val="24"/>
                <w:szCs w:val="24"/>
              </w:rPr>
              <w:t>东方航空</w:t>
            </w:r>
          </w:p>
        </w:tc>
        <w:tc>
          <w:tcPr>
            <w:vAlign w:val="center"/>
          </w:tcPr>
          <w:p>
            <w:pPr>
              <w:jc w:val="right"/>
            </w:pPr>
            <w:r>
              <w:rPr>
                <w:color w:val="000000"/>
                <w:sz w:val="24"/>
                <w:szCs w:val="24"/>
              </w:rPr>
              <w:t>3,622,700</w:t>
            </w:r>
          </w:p>
        </w:tc>
        <w:tc>
          <w:tcPr>
            <w:vAlign w:val="center"/>
          </w:tcPr>
          <w:p>
            <w:pPr>
              <w:jc w:val="right"/>
            </w:pPr>
            <w:r>
              <w:rPr>
                <w:color w:val="000000"/>
                <w:sz w:val="24"/>
                <w:szCs w:val="24"/>
              </w:rPr>
              <w:t>17,207,825.00</w:t>
            </w:r>
          </w:p>
        </w:tc>
        <w:tc>
          <w:tcPr>
            <w:vAlign w:val="center"/>
          </w:tcPr>
          <w:p>
            <w:pPr>
              <w:jc w:val="right"/>
            </w:pPr>
            <w:r>
              <w:rPr>
                <w:color w:val="000000"/>
                <w:sz w:val="24"/>
                <w:szCs w:val="24"/>
              </w:rPr>
              <w:t>3.87</w:t>
            </w:r>
          </w:p>
        </w:tc>
      </w:tr>
      <w:tr>
        <w:tc>
          <w:tcPr>
            <w:vAlign w:val="center"/>
          </w:tcPr>
          <w:p>
            <w:pPr>
              <w:jc w:val="center"/>
            </w:pPr>
            <w:r>
              <w:rPr>
                <w:color w:val="000000"/>
                <w:sz w:val="24"/>
                <w:szCs w:val="24"/>
              </w:rPr>
              <w:t>3</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935,813</w:t>
            </w:r>
          </w:p>
        </w:tc>
        <w:tc>
          <w:tcPr>
            <w:vAlign w:val="center"/>
          </w:tcPr>
          <w:p>
            <w:pPr>
              <w:jc w:val="right"/>
            </w:pPr>
            <w:r>
              <w:rPr>
                <w:color w:val="000000"/>
                <w:sz w:val="24"/>
                <w:szCs w:val="24"/>
              </w:rPr>
              <w:t>14,046,553.13</w:t>
            </w:r>
          </w:p>
        </w:tc>
        <w:tc>
          <w:tcPr>
            <w:vAlign w:val="center"/>
          </w:tcPr>
          <w:p>
            <w:pPr>
              <w:jc w:val="right"/>
            </w:pPr>
            <w:r>
              <w:rPr>
                <w:color w:val="000000"/>
                <w:sz w:val="24"/>
                <w:szCs w:val="24"/>
              </w:rPr>
              <w:t>3.16</w:t>
            </w:r>
          </w:p>
        </w:tc>
      </w:tr>
      <w:tr>
        <w:tc>
          <w:tcPr>
            <w:vAlign w:val="center"/>
          </w:tcPr>
          <w:p>
            <w:pPr>
              <w:jc w:val="center"/>
            </w:pPr>
            <w:r>
              <w:rPr>
                <w:color w:val="000000"/>
                <w:sz w:val="24"/>
                <w:szCs w:val="24"/>
              </w:rPr>
              <w:t>4</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359,864</w:t>
            </w:r>
          </w:p>
        </w:tc>
        <w:tc>
          <w:tcPr>
            <w:vAlign w:val="center"/>
          </w:tcPr>
          <w:p>
            <w:pPr>
              <w:jc w:val="right"/>
            </w:pPr>
            <w:r>
              <w:rPr>
                <w:color w:val="000000"/>
                <w:sz w:val="24"/>
                <w:szCs w:val="24"/>
              </w:rPr>
              <w:t>13,444,519.04</w:t>
            </w:r>
          </w:p>
        </w:tc>
        <w:tc>
          <w:tcPr>
            <w:vAlign w:val="center"/>
          </w:tcPr>
          <w:p>
            <w:pPr>
              <w:jc w:val="right"/>
            </w:pPr>
            <w:r>
              <w:rPr>
                <w:color w:val="000000"/>
                <w:sz w:val="24"/>
                <w:szCs w:val="24"/>
              </w:rPr>
              <w:t>3.02</w:t>
            </w:r>
          </w:p>
        </w:tc>
      </w:tr>
      <w:tr>
        <w:tc>
          <w:tcPr>
            <w:vAlign w:val="center"/>
          </w:tcPr>
          <w:p>
            <w:pPr>
              <w:jc w:val="center"/>
            </w:pPr>
            <w:r>
              <w:rPr>
                <w:color w:val="000000"/>
                <w:sz w:val="24"/>
                <w:szCs w:val="24"/>
              </w:rPr>
              <w:t>5</w:t>
            </w:r>
          </w:p>
        </w:tc>
        <w:tc>
          <w:tcPr>
            <w:vAlign w:val="center"/>
          </w:tcPr>
          <w:p>
            <w:pPr>
              <w:jc w:val="center"/>
            </w:pPr>
            <w:r>
              <w:rPr>
                <w:color w:val="000000"/>
                <w:sz w:val="24"/>
                <w:szCs w:val="24"/>
              </w:rPr>
              <w:t>300529</w:t>
            </w:r>
          </w:p>
        </w:tc>
        <w:tc>
          <w:tcPr>
            <w:vAlign w:val="center"/>
          </w:tcPr>
          <w:p>
            <w:pPr>
              <w:jc w:val="center"/>
            </w:pPr>
            <w:r>
              <w:rPr>
                <w:color w:val="000000"/>
                <w:sz w:val="24"/>
                <w:szCs w:val="24"/>
              </w:rPr>
              <w:t>健帆生物</w:t>
            </w:r>
          </w:p>
        </w:tc>
        <w:tc>
          <w:tcPr>
            <w:vAlign w:val="center"/>
          </w:tcPr>
          <w:p>
            <w:pPr>
              <w:jc w:val="right"/>
            </w:pPr>
            <w:r>
              <w:rPr>
                <w:color w:val="000000"/>
                <w:sz w:val="24"/>
                <w:szCs w:val="24"/>
              </w:rPr>
              <w:t>319,875</w:t>
            </w:r>
          </w:p>
        </w:tc>
        <w:tc>
          <w:tcPr>
            <w:vAlign w:val="center"/>
          </w:tcPr>
          <w:p>
            <w:pPr>
              <w:jc w:val="right"/>
            </w:pPr>
            <w:r>
              <w:rPr>
                <w:color w:val="000000"/>
                <w:sz w:val="24"/>
                <w:szCs w:val="24"/>
              </w:rPr>
              <w:t>13,274,812.50</w:t>
            </w:r>
          </w:p>
        </w:tc>
        <w:tc>
          <w:tcPr>
            <w:vAlign w:val="center"/>
          </w:tcPr>
          <w:p>
            <w:pPr>
              <w:jc w:val="right"/>
            </w:pPr>
            <w:r>
              <w:rPr>
                <w:color w:val="000000"/>
                <w:sz w:val="24"/>
                <w:szCs w:val="24"/>
              </w:rPr>
              <w:t>2.98</w:t>
            </w:r>
          </w:p>
        </w:tc>
      </w:tr>
      <w:tr>
        <w:tc>
          <w:tcPr>
            <w:vAlign w:val="center"/>
          </w:tcPr>
          <w:p>
            <w:pPr>
              <w:jc w:val="center"/>
            </w:pPr>
            <w:r>
              <w:rPr>
                <w:color w:val="000000"/>
                <w:sz w:val="24"/>
                <w:szCs w:val="24"/>
              </w:rPr>
              <w:t>6</w:t>
            </w:r>
          </w:p>
        </w:tc>
        <w:tc>
          <w:tcPr>
            <w:vAlign w:val="center"/>
          </w:tcPr>
          <w:p>
            <w:pPr>
              <w:jc w:val="center"/>
            </w:pPr>
            <w:r>
              <w:rPr>
                <w:color w:val="000000"/>
                <w:sz w:val="24"/>
                <w:szCs w:val="24"/>
              </w:rPr>
              <w:t>002191</w:t>
            </w:r>
          </w:p>
        </w:tc>
        <w:tc>
          <w:tcPr>
            <w:vAlign w:val="center"/>
          </w:tcPr>
          <w:p>
            <w:pPr>
              <w:jc w:val="center"/>
            </w:pPr>
            <w:r>
              <w:rPr>
                <w:color w:val="000000"/>
                <w:sz w:val="24"/>
                <w:szCs w:val="24"/>
              </w:rPr>
              <w:t>劲嘉股份</w:t>
            </w:r>
          </w:p>
        </w:tc>
        <w:tc>
          <w:tcPr>
            <w:vAlign w:val="center"/>
          </w:tcPr>
          <w:p>
            <w:pPr>
              <w:jc w:val="right"/>
            </w:pPr>
            <w:r>
              <w:rPr>
                <w:color w:val="000000"/>
                <w:sz w:val="24"/>
                <w:szCs w:val="24"/>
              </w:rPr>
              <w:t>1,499,850</w:t>
            </w:r>
          </w:p>
        </w:tc>
        <w:tc>
          <w:tcPr>
            <w:vAlign w:val="center"/>
          </w:tcPr>
          <w:p>
            <w:pPr>
              <w:jc w:val="right"/>
            </w:pPr>
            <w:r>
              <w:rPr>
                <w:color w:val="000000"/>
                <w:sz w:val="24"/>
                <w:szCs w:val="24"/>
              </w:rPr>
              <w:t>11,713,828.50</w:t>
            </w:r>
          </w:p>
        </w:tc>
        <w:tc>
          <w:tcPr>
            <w:vAlign w:val="center"/>
          </w:tcPr>
          <w:p>
            <w:pPr>
              <w:jc w:val="right"/>
            </w:pPr>
            <w:r>
              <w:rPr>
                <w:color w:val="000000"/>
                <w:sz w:val="24"/>
                <w:szCs w:val="24"/>
              </w:rPr>
              <w:t>2.63</w:t>
            </w:r>
          </w:p>
        </w:tc>
      </w:tr>
      <w:tr>
        <w:tc>
          <w:tcPr>
            <w:vAlign w:val="center"/>
          </w:tcPr>
          <w:p>
            <w:pPr>
              <w:jc w:val="center"/>
            </w:pPr>
            <w:r>
              <w:rPr>
                <w:color w:val="000000"/>
                <w:sz w:val="24"/>
                <w:szCs w:val="24"/>
              </w:rPr>
              <w:t>7</w:t>
            </w:r>
          </w:p>
        </w:tc>
        <w:tc>
          <w:tcPr>
            <w:vAlign w:val="center"/>
          </w:tcPr>
          <w:p>
            <w:pPr>
              <w:jc w:val="center"/>
            </w:pPr>
            <w:r>
              <w:rPr>
                <w:color w:val="000000"/>
                <w:sz w:val="24"/>
                <w:szCs w:val="24"/>
              </w:rPr>
              <w:t>601877</w:t>
            </w:r>
          </w:p>
        </w:tc>
        <w:tc>
          <w:tcPr>
            <w:vAlign w:val="center"/>
          </w:tcPr>
          <w:p>
            <w:pPr>
              <w:jc w:val="center"/>
            </w:pPr>
            <w:r>
              <w:rPr>
                <w:color w:val="000000"/>
                <w:sz w:val="24"/>
                <w:szCs w:val="24"/>
              </w:rPr>
              <w:t>正泰电器</w:t>
            </w:r>
          </w:p>
        </w:tc>
        <w:tc>
          <w:tcPr>
            <w:vAlign w:val="center"/>
          </w:tcPr>
          <w:p>
            <w:pPr>
              <w:jc w:val="right"/>
            </w:pPr>
            <w:r>
              <w:rPr>
                <w:color w:val="000000"/>
                <w:sz w:val="24"/>
                <w:szCs w:val="24"/>
              </w:rPr>
              <w:t>399,931</w:t>
            </w:r>
          </w:p>
        </w:tc>
        <w:tc>
          <w:tcPr>
            <w:vAlign w:val="center"/>
          </w:tcPr>
          <w:p>
            <w:pPr>
              <w:jc w:val="right"/>
            </w:pPr>
            <w:r>
              <w:rPr>
                <w:color w:val="000000"/>
                <w:sz w:val="24"/>
                <w:szCs w:val="24"/>
              </w:rPr>
              <w:t>9,694,327.44</w:t>
            </w:r>
          </w:p>
        </w:tc>
        <w:tc>
          <w:tcPr>
            <w:vAlign w:val="center"/>
          </w:tcPr>
          <w:p>
            <w:pPr>
              <w:jc w:val="right"/>
            </w:pPr>
            <w:r>
              <w:rPr>
                <w:color w:val="000000"/>
                <w:sz w:val="24"/>
                <w:szCs w:val="24"/>
              </w:rPr>
              <w:t>2.18</w:t>
            </w:r>
          </w:p>
        </w:tc>
      </w:tr>
      <w:tr>
        <w:tc>
          <w:tcPr>
            <w:vAlign w:val="center"/>
          </w:tcPr>
          <w:p>
            <w:pPr>
              <w:jc w:val="center"/>
            </w:pPr>
            <w:r>
              <w:rPr>
                <w:color w:val="000000"/>
                <w:sz w:val="24"/>
                <w:szCs w:val="24"/>
              </w:rPr>
              <w:t>8</w:t>
            </w:r>
          </w:p>
        </w:tc>
        <w:tc>
          <w:tcPr>
            <w:vAlign w:val="center"/>
          </w:tcPr>
          <w:p>
            <w:pPr>
              <w:jc w:val="center"/>
            </w:pPr>
            <w:r>
              <w:rPr>
                <w:color w:val="000000"/>
                <w:sz w:val="24"/>
                <w:szCs w:val="24"/>
              </w:rPr>
              <w:t>300003</w:t>
            </w:r>
          </w:p>
        </w:tc>
        <w:tc>
          <w:tcPr>
            <w:vAlign w:val="center"/>
          </w:tcPr>
          <w:p>
            <w:pPr>
              <w:jc w:val="center"/>
            </w:pPr>
            <w:r>
              <w:rPr>
                <w:color w:val="000000"/>
                <w:sz w:val="24"/>
                <w:szCs w:val="24"/>
              </w:rPr>
              <w:t>乐普医疗</w:t>
            </w:r>
          </w:p>
        </w:tc>
        <w:tc>
          <w:tcPr>
            <w:vAlign w:val="center"/>
          </w:tcPr>
          <w:p>
            <w:pPr>
              <w:jc w:val="right"/>
            </w:pPr>
            <w:r>
              <w:rPr>
                <w:color w:val="000000"/>
                <w:sz w:val="24"/>
                <w:szCs w:val="24"/>
              </w:rPr>
              <w:t>456,500</w:t>
            </w:r>
          </w:p>
        </w:tc>
        <w:tc>
          <w:tcPr>
            <w:vAlign w:val="center"/>
          </w:tcPr>
          <w:p>
            <w:pPr>
              <w:jc w:val="right"/>
            </w:pPr>
            <w:r>
              <w:rPr>
                <w:color w:val="000000"/>
                <w:sz w:val="24"/>
                <w:szCs w:val="24"/>
              </w:rPr>
              <w:t>9,499,765.00</w:t>
            </w:r>
          </w:p>
        </w:tc>
        <w:tc>
          <w:tcPr>
            <w:vAlign w:val="center"/>
          </w:tcPr>
          <w:p>
            <w:pPr>
              <w:jc w:val="right"/>
            </w:pPr>
            <w:r>
              <w:rPr>
                <w:color w:val="000000"/>
                <w:sz w:val="24"/>
                <w:szCs w:val="24"/>
              </w:rPr>
              <w:t>2.14</w:t>
            </w:r>
          </w:p>
        </w:tc>
      </w:tr>
      <w:tr>
        <w:tc>
          <w:tcPr>
            <w:vAlign w:val="center"/>
          </w:tcPr>
          <w:p>
            <w:pPr>
              <w:jc w:val="center"/>
            </w:pPr>
            <w:r>
              <w:rPr>
                <w:color w:val="000000"/>
                <w:sz w:val="24"/>
                <w:szCs w:val="24"/>
              </w:rPr>
              <w:t>9</w:t>
            </w:r>
          </w:p>
        </w:tc>
        <w:tc>
          <w:tcPr>
            <w:vAlign w:val="center"/>
          </w:tcPr>
          <w:p>
            <w:pPr>
              <w:jc w:val="center"/>
            </w:pPr>
            <w:r>
              <w:rPr>
                <w:color w:val="000000"/>
                <w:sz w:val="24"/>
                <w:szCs w:val="24"/>
              </w:rPr>
              <w:t>300454</w:t>
            </w:r>
          </w:p>
        </w:tc>
        <w:tc>
          <w:tcPr>
            <w:vAlign w:val="center"/>
          </w:tcPr>
          <w:p>
            <w:pPr>
              <w:jc w:val="center"/>
            </w:pPr>
            <w:r>
              <w:rPr>
                <w:color w:val="000000"/>
                <w:sz w:val="24"/>
                <w:szCs w:val="24"/>
              </w:rPr>
              <w:t>深信服</w:t>
            </w:r>
          </w:p>
        </w:tc>
        <w:tc>
          <w:tcPr>
            <w:vAlign w:val="center"/>
          </w:tcPr>
          <w:p>
            <w:pPr>
              <w:jc w:val="right"/>
            </w:pPr>
            <w:r>
              <w:rPr>
                <w:color w:val="000000"/>
                <w:sz w:val="24"/>
                <w:szCs w:val="24"/>
              </w:rPr>
              <w:t>103,874</w:t>
            </w:r>
          </w:p>
        </w:tc>
        <w:tc>
          <w:tcPr>
            <w:vAlign w:val="center"/>
          </w:tcPr>
          <w:p>
            <w:pPr>
              <w:jc w:val="right"/>
            </w:pPr>
            <w:r>
              <w:rPr>
                <w:color w:val="000000"/>
                <w:sz w:val="24"/>
                <w:szCs w:val="24"/>
              </w:rPr>
              <w:t>9,307,110.40</w:t>
            </w:r>
          </w:p>
        </w:tc>
        <w:tc>
          <w:tcPr>
            <w:vAlign w:val="center"/>
          </w:tcPr>
          <w:p>
            <w:pPr>
              <w:jc w:val="right"/>
            </w:pPr>
            <w:r>
              <w:rPr>
                <w:color w:val="000000"/>
                <w:sz w:val="24"/>
                <w:szCs w:val="24"/>
              </w:rPr>
              <w:t>2.09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599,957</w:t>
            </w:r>
          </w:p>
        </w:tc>
        <w:tc>
          <w:tcPr>
            <w:vAlign w:val="center"/>
          </w:tcPr>
          <w:p>
            <w:pPr>
              <w:jc w:val="right"/>
            </w:pPr>
            <w:r>
              <w:rPr>
                <w:color w:val="000000"/>
                <w:sz w:val="24"/>
                <w:szCs w:val="24"/>
              </w:rPr>
              <w:t>7,769,443.15</w:t>
            </w:r>
          </w:p>
        </w:tc>
        <w:tc>
          <w:tcPr>
            <w:vAlign w:val="center"/>
          </w:tcPr>
          <w:p>
            <w:pPr>
              <w:jc w:val="right"/>
            </w:pPr>
            <w:r>
              <w:rPr>
                <w:color w:val="000000"/>
                <w:sz w:val="24"/>
                <w:szCs w:val="24"/>
              </w:rPr>
              <w:t>1.75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29,820,000.00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6.70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3,747,175.98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0.84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33,567,175.98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7.54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189953</w:t>
            </w:r>
          </w:p>
        </w:tc>
        <w:tc>
          <w:tcPr>
            <w:vAlign w:val="center"/>
          </w:tcPr>
          <w:p>
            <w:pPr>
              <w:jc w:val="center"/>
            </w:pPr>
            <w:r>
              <w:rPr>
                <w:color w:val="000000"/>
                <w:sz w:val="24"/>
                <w:szCs w:val="24"/>
              </w:rPr>
              <w:t>18贴现国债53</w:t>
            </w:r>
          </w:p>
        </w:tc>
        <w:tc>
          <w:tcPr>
            <w:vAlign w:val="center"/>
          </w:tcPr>
          <w:p>
            <w:pPr>
              <w:jc w:val="right"/>
            </w:pPr>
            <w:r>
              <w:rPr>
                <w:color w:val="000000"/>
                <w:sz w:val="24"/>
                <w:szCs w:val="24"/>
              </w:rPr>
              <w:t>300,000</w:t>
            </w:r>
          </w:p>
        </w:tc>
        <w:tc>
          <w:tcPr>
            <w:vAlign w:val="center"/>
          </w:tcPr>
          <w:p>
            <w:pPr>
              <w:jc w:val="right"/>
            </w:pPr>
            <w:r>
              <w:rPr>
                <w:color w:val="000000"/>
                <w:sz w:val="24"/>
                <w:szCs w:val="24"/>
              </w:rPr>
              <w:t>29,820,000.00</w:t>
            </w:r>
          </w:p>
        </w:tc>
        <w:tc>
          <w:tcPr>
            <w:vAlign w:val="center"/>
          </w:tcPr>
          <w:p>
            <w:pPr>
              <w:jc w:val="right"/>
            </w:pPr>
            <w:r>
              <w:rPr>
                <w:color w:val="000000"/>
                <w:sz w:val="24"/>
                <w:szCs w:val="24"/>
              </w:rPr>
              <w:t>6.70</w:t>
            </w:r>
          </w:p>
        </w:tc>
      </w:tr>
      <w:tr>
        <w:tc>
          <w:tcPr>
            <w:vAlign w:val="center"/>
          </w:tcPr>
          <w:p>
            <w:pPr>
              <w:jc w:val="center"/>
            </w:pPr>
            <w:r>
              <w:rPr>
                <w:color w:val="000000"/>
                <w:sz w:val="24"/>
                <w:szCs w:val="24"/>
              </w:rPr>
              <w:t>2</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36,422</w:t>
            </w:r>
          </w:p>
        </w:tc>
        <w:tc>
          <w:tcPr>
            <w:vAlign w:val="center"/>
          </w:tcPr>
          <w:p>
            <w:pPr>
              <w:jc w:val="right"/>
            </w:pPr>
            <w:r>
              <w:rPr>
                <w:color w:val="000000"/>
                <w:sz w:val="24"/>
                <w:szCs w:val="24"/>
              </w:rPr>
              <w:t>3,472,473.48</w:t>
            </w:r>
          </w:p>
        </w:tc>
        <w:tc>
          <w:tcPr>
            <w:vAlign w:val="center"/>
          </w:tcPr>
          <w:p>
            <w:pPr>
              <w:jc w:val="right"/>
            </w:pPr>
            <w:r>
              <w:rPr>
                <w:color w:val="000000"/>
                <w:sz w:val="24"/>
                <w:szCs w:val="24"/>
              </w:rPr>
              <w:t>0.78</w:t>
            </w:r>
          </w:p>
        </w:tc>
      </w:tr>
      <w:tr>
        <w:tc>
          <w:tcPr>
            <w:vAlign w:val="center"/>
          </w:tcPr>
          <w:p>
            <w:pPr>
              <w:jc w:val="center"/>
            </w:pPr>
            <w:r>
              <w:rPr>
                <w:color w:val="000000"/>
                <w:sz w:val="24"/>
                <w:szCs w:val="24"/>
              </w:rPr>
              <w:t>3</w:t>
            </w:r>
          </w:p>
        </w:tc>
        <w:tc>
          <w:tcPr>
            <w:vAlign w:val="center"/>
          </w:tcPr>
          <w:p>
            <w:pPr>
              <w:jc w:val="center"/>
            </w:pPr>
            <w:r>
              <w:rPr>
                <w:color w:val="000000"/>
                <w:sz w:val="24"/>
                <w:szCs w:val="24"/>
              </w:rPr>
              <w:t>113517</w:t>
            </w:r>
          </w:p>
        </w:tc>
        <w:tc>
          <w:tcPr>
            <w:vAlign w:val="center"/>
          </w:tcPr>
          <w:p>
            <w:pPr>
              <w:jc w:val="center"/>
            </w:pPr>
            <w:r>
              <w:rPr>
                <w:color w:val="000000"/>
                <w:sz w:val="24"/>
                <w:szCs w:val="24"/>
              </w:rPr>
              <w:t>曙光转债</w:t>
            </w:r>
          </w:p>
        </w:tc>
        <w:tc>
          <w:tcPr>
            <w:vAlign w:val="center"/>
          </w:tcPr>
          <w:p>
            <w:pPr>
              <w:jc w:val="right"/>
            </w:pPr>
            <w:r>
              <w:rPr>
                <w:color w:val="000000"/>
                <w:sz w:val="24"/>
                <w:szCs w:val="24"/>
              </w:rPr>
              <w:t>2,610</w:t>
            </w:r>
          </w:p>
        </w:tc>
        <w:tc>
          <w:tcPr>
            <w:vAlign w:val="center"/>
          </w:tcPr>
          <w:p>
            <w:pPr>
              <w:jc w:val="right"/>
            </w:pPr>
            <w:r>
              <w:rPr>
                <w:color w:val="000000"/>
                <w:sz w:val="24"/>
                <w:szCs w:val="24"/>
              </w:rPr>
              <w:t>274,702.50</w:t>
            </w:r>
          </w:p>
        </w:tc>
        <w:tc>
          <w:tcPr>
            <w:vAlign w:val="center"/>
          </w:tcPr>
          <w:p>
            <w:pPr>
              <w:jc w:val="right"/>
            </w:pPr>
            <w:r>
              <w:rPr>
                <w:color w:val="000000"/>
                <w:sz w:val="24"/>
                <w:szCs w:val="24"/>
              </w:rPr>
              <w:t>0.06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457,152.75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3,880,844.55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170,370.70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145,313.71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4,653,681.71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3,472,473.48</w:t>
            </w:r>
          </w:p>
        </w:tc>
        <w:tc>
          <w:tcPr>
            <w:vAlign w:val="center"/>
          </w:tcPr>
          <w:p>
            <w:pPr>
              <w:jc w:val="right"/>
            </w:pPr>
            <w:r>
              <w:rPr>
                <w:color w:val="000000"/>
                <w:sz w:val="24"/>
                <w:szCs w:val="24"/>
              </w:rPr>
              <w:t>0.78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455,376,736.07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22,906,738.07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21,524,115.97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456,759,358.17</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交银施罗德主题优选灵活配置混合型证券投资基金2018年第4季度报告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