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14,940,772.45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12,100,746.46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2,840,025.99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204,214.76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44,664.76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191,322.12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41,820.48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0.0157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0.0145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12,036,052.75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2,793,667.47</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0.995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0.984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1.63%</w:t>
            </w:r>
          </w:p>
        </w:tc>
        <w:tc>
          <w:tcPr>
            <w:vAlign w:val="center"/>
          </w:tcPr>
          <w:p>
            <w:pPr>
              <w:jc w:val="center"/>
            </w:pPr>
            <w:r>
              <w:rPr>
                <w:color w:val="000000"/>
                <w:sz w:val="24"/>
              </w:rPr>
              <w:t>0.11%</w:t>
            </w:r>
          </w:p>
        </w:tc>
        <w:tc>
          <w:tcPr>
            <w:vAlign w:val="center"/>
          </w:tcPr>
          <w:p>
            <w:pPr>
              <w:jc w:val="center"/>
            </w:pPr>
            <w:r>
              <w:rPr>
                <w:color w:val="000000"/>
                <w:sz w:val="24"/>
              </w:rPr>
              <w:t>1.99%</w:t>
            </w:r>
          </w:p>
        </w:tc>
        <w:tc>
          <w:tcPr>
            <w:vAlign w:val="center"/>
          </w:tcPr>
          <w:p>
            <w:pPr>
              <w:jc w:val="center"/>
            </w:pPr>
            <w:r>
              <w:rPr>
                <w:color w:val="000000"/>
                <w:sz w:val="24"/>
              </w:rPr>
              <w:t>0.05%</w:t>
            </w:r>
          </w:p>
        </w:tc>
        <w:tc>
          <w:tcPr>
            <w:vAlign w:val="center"/>
          </w:tcPr>
          <w:p>
            <w:pPr>
              <w:jc w:val="center"/>
            </w:pPr>
            <w:r>
              <w:rPr>
                <w:color w:val="000000"/>
                <w:sz w:val="24"/>
              </w:rPr>
              <w:t>-0.36%</w:t>
            </w:r>
          </w:p>
        </w:tc>
        <w:tc>
          <w:tcPr>
            <w:vAlign w:val="center"/>
          </w:tcPr>
          <w:p>
            <w:pPr>
              <w:jc w:val="center"/>
            </w:pPr>
            <w:r>
              <w:rPr>
                <w:color w:val="000000"/>
                <w:sz w:val="24"/>
              </w:rPr>
              <w:t>0.06%</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1.55%</w:t>
            </w:r>
          </w:p>
        </w:tc>
        <w:tc>
          <w:tcPr>
            <w:vAlign w:val="center"/>
          </w:tcPr>
          <w:p>
            <w:pPr>
              <w:jc w:val="center"/>
            </w:pPr>
            <w:r>
              <w:rPr>
                <w:color w:val="000000"/>
                <w:sz w:val="24"/>
              </w:rPr>
              <w:t>0.10%</w:t>
            </w:r>
          </w:p>
        </w:tc>
        <w:tc>
          <w:tcPr>
            <w:vAlign w:val="center"/>
          </w:tcPr>
          <w:p>
            <w:pPr>
              <w:jc w:val="center"/>
            </w:pPr>
            <w:r>
              <w:rPr>
                <w:color w:val="000000"/>
                <w:sz w:val="24"/>
              </w:rPr>
              <w:t>1.99%</w:t>
            </w:r>
          </w:p>
        </w:tc>
        <w:tc>
          <w:tcPr>
            <w:vAlign w:val="center"/>
          </w:tcPr>
          <w:p>
            <w:pPr>
              <w:jc w:val="center"/>
            </w:pPr>
            <w:r>
              <w:rPr>
                <w:color w:val="000000"/>
                <w:sz w:val="24"/>
              </w:rPr>
              <w:t>0.05%</w:t>
            </w:r>
          </w:p>
        </w:tc>
        <w:tc>
          <w:tcPr>
            <w:vAlign w:val="center"/>
          </w:tcPr>
          <w:p>
            <w:pPr>
              <w:jc w:val="center"/>
            </w:pPr>
            <w:r>
              <w:rPr>
                <w:color w:val="000000"/>
                <w:sz w:val="24"/>
              </w:rPr>
              <w:t>-0.44%</w:t>
            </w:r>
          </w:p>
        </w:tc>
        <w:tc>
          <w:tcPr>
            <w:vAlign w:val="center"/>
          </w:tcPr>
          <w:p>
            <w:pPr>
              <w:jc w:val="center"/>
            </w:pPr>
            <w:r>
              <w:rPr>
                <w:color w:val="000000"/>
                <w:sz w:val="24"/>
              </w:rPr>
              <w:t>0.05%</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交银定期支付月月丰债券、交银增强收益债券、交银强化回报债券、交银增利增强债券的基金经理，公司固定收益(公募)投资副总监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w:t>
            </w: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2018年四季度利率债收益率下行，中长端下行幅度更大一些，国开收益率曲线平坦化下移。信用债收益率除短端微幅上行外，其余期限基本呈现下行态势，信用利差普遍走阔。四季度，经济基本面延续走低。消费数据趋弱，并出现分层，中低端消费品增速下滑更为明显。投资增速处于低位，地产投资增速逐步放缓，基建呈现个位数增长，制造业小幅反弹但持续性存疑。金融数据方面，社融数据中委托信托依然负增长，未见起色。通胀方面，油价十月以来的下行也令此前通胀上行的担心大幅缓解。债券市场方面，四季度伊始，中美利差倒挂一度令市场担忧，长债收益率震荡缓步下行。随着十月金融数据的走弱，十年活跃国开收益率突破4.00%关口，并在随后一周内下行至3.85%。十二月初，情绪面向好，长债收益率进一步下行至3.65%附近，中下旬受地方债发行等政策预期影响呈现横盘震荡。</w:t>
      </w:r>
    </w:p>
    <w:p>
      <w:pPr>
        <w:spacing w:before="29" w:line="288" w:lineRule="auto"/>
        <w:ind w:firstLine="480" w:firstLineChars="200"/>
        <w:rPr>
          <w:color w:val="000000"/>
          <w:sz w:val="24"/>
        </w:rPr>
      </w:pPr>
      <w:r>
        <w:rPr>
          <w:color w:val="000000"/>
          <w:sz w:val="24"/>
        </w:rPr>
        <w:t>四季度，基本面和风险偏好尚未出现根本性改善，权益市场表现依旧疲弱，上证综指单季度下跌11.61%，创业板综指季度跌幅11.30%。行业层面，受经济基本面下行影响，消费及强周期板块走势疲弱，农业、券商、通信景气度相对较好。</w:t>
      </w:r>
    </w:p>
    <w:p>
      <w:pPr>
        <w:spacing w:before="29" w:line="288" w:lineRule="auto"/>
        <w:ind w:firstLine="480" w:firstLineChars="200"/>
        <w:rPr>
          <w:color w:val="000000"/>
          <w:sz w:val="24"/>
        </w:rPr>
      </w:pPr>
      <w:r>
        <w:rPr>
          <w:color w:val="000000"/>
          <w:sz w:val="24"/>
        </w:rPr>
        <w:t>本报告期内，组合债券部分以利率债波段操作为主。十月初拉长组合久期，随着市场收益率的不断下行，收益率曲线进一步平坦化，十二月初开始逐步降低组合久期，目前债券部分仓位以中短久期利率债为主。权益方面，考虑到市场主线依然不明朗，组合维持较低仓位，择机参与一些超跌个股阶段性机会。</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一季度，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一季度均难以出现明显提升，消费及出口更可能趋势回落，因此我们对于债券市场的看法依然维持谨慎乐观。未来组合操作方面，组合债券部分预计依然维持波段操作，以期赚取超额收益。权益方面等待机会，逐步布局一些优质成长个股。</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12,887,047.40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12,887,047.40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85.97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335,759.89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467,289.94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14,990,097.23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2,257,359.80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15.22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10,483,629.20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10,483,629.20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146,058.40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0.98</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12,887,047.40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86.90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80,540</w:t>
            </w:r>
          </w:p>
        </w:tc>
        <w:tc>
          <w:tcPr>
            <w:vAlign w:val="center"/>
          </w:tcPr>
          <w:p>
            <w:pPr>
              <w:jc w:val="right"/>
            </w:pPr>
            <w:r>
              <w:rPr>
                <w:color w:val="000000"/>
                <w:sz w:val="24"/>
              </w:rPr>
              <w:t>8,132,123.80</w:t>
            </w:r>
          </w:p>
        </w:tc>
        <w:tc>
          <w:tcPr>
            <w:vAlign w:val="center"/>
          </w:tcPr>
          <w:p>
            <w:pPr>
              <w:jc w:val="right"/>
            </w:pPr>
            <w:r>
              <w:rPr>
                <w:color w:val="000000"/>
                <w:sz w:val="24"/>
              </w:rPr>
              <w:t>54.84</w:t>
            </w:r>
          </w:p>
        </w:tc>
      </w:tr>
      <w:tr>
        <w:tc>
          <w:tcPr>
            <w:vAlign w:val="center"/>
          </w:tcPr>
          <w:p>
            <w:pPr>
              <w:jc w:val="center"/>
            </w:pPr>
            <w:r>
              <w:rPr>
                <w:color w:val="000000"/>
                <w:sz w:val="24"/>
              </w:rPr>
              <w:t>2</w:t>
            </w:r>
          </w:p>
        </w:tc>
        <w:tc>
          <w:tcPr>
            <w:vAlign w:val="center"/>
          </w:tcPr>
          <w:p>
            <w:pPr>
              <w:jc w:val="center"/>
            </w:pPr>
            <w:r>
              <w:rPr>
                <w:color w:val="000000"/>
                <w:sz w:val="24"/>
              </w:rPr>
              <w:t>010303</w:t>
            </w:r>
          </w:p>
        </w:tc>
        <w:tc>
          <w:tcPr>
            <w:vAlign w:val="center"/>
          </w:tcPr>
          <w:p>
            <w:pPr>
              <w:jc w:val="center"/>
            </w:pPr>
            <w:r>
              <w:rPr>
                <w:color w:val="000000"/>
                <w:sz w:val="24"/>
              </w:rPr>
              <w:t>03国债⑶</w:t>
            </w:r>
          </w:p>
        </w:tc>
        <w:tc>
          <w:tcPr>
            <w:vAlign w:val="center"/>
          </w:tcPr>
          <w:p>
            <w:pPr>
              <w:jc w:val="right"/>
            </w:pPr>
            <w:r>
              <w:rPr>
                <w:color w:val="000000"/>
                <w:sz w:val="24"/>
              </w:rPr>
              <w:t>22,390</w:t>
            </w:r>
          </w:p>
        </w:tc>
        <w:tc>
          <w:tcPr>
            <w:vAlign w:val="center"/>
          </w:tcPr>
          <w:p>
            <w:pPr>
              <w:jc w:val="right"/>
            </w:pPr>
            <w:r>
              <w:rPr>
                <w:color w:val="000000"/>
                <w:sz w:val="24"/>
              </w:rPr>
              <w:t>2,257,359.80</w:t>
            </w:r>
          </w:p>
        </w:tc>
        <w:tc>
          <w:tcPr>
            <w:vAlign w:val="center"/>
          </w:tcPr>
          <w:p>
            <w:pPr>
              <w:jc w:val="right"/>
            </w:pPr>
            <w:r>
              <w:rPr>
                <w:color w:val="000000"/>
                <w:sz w:val="24"/>
              </w:rPr>
              <w:t>15.22</w:t>
            </w:r>
          </w:p>
        </w:tc>
      </w:tr>
      <w:tr>
        <w:tc>
          <w:tcPr>
            <w:vAlign w:val="center"/>
          </w:tcPr>
          <w:p>
            <w:pPr>
              <w:jc w:val="center"/>
            </w:pPr>
            <w:r>
              <w:rPr>
                <w:color w:val="000000"/>
                <w:sz w:val="24"/>
              </w:rPr>
              <w:t>3</w:t>
            </w:r>
          </w:p>
        </w:tc>
        <w:tc>
          <w:tcPr>
            <w:vAlign w:val="center"/>
          </w:tcPr>
          <w:p>
            <w:pPr>
              <w:jc w:val="center"/>
            </w:pPr>
            <w:r>
              <w:rPr>
                <w:color w:val="000000"/>
                <w:sz w:val="24"/>
              </w:rPr>
              <w:t>018006</w:t>
            </w:r>
          </w:p>
        </w:tc>
        <w:tc>
          <w:tcPr>
            <w:vAlign w:val="center"/>
          </w:tcPr>
          <w:p>
            <w:pPr>
              <w:jc w:val="center"/>
            </w:pPr>
            <w:r>
              <w:rPr>
                <w:color w:val="000000"/>
                <w:sz w:val="24"/>
              </w:rPr>
              <w:t>国开1702</w:t>
            </w:r>
          </w:p>
        </w:tc>
        <w:tc>
          <w:tcPr>
            <w:vAlign w:val="center"/>
          </w:tcPr>
          <w:p>
            <w:pPr>
              <w:jc w:val="right"/>
            </w:pPr>
            <w:r>
              <w:rPr>
                <w:color w:val="000000"/>
                <w:sz w:val="24"/>
              </w:rPr>
              <w:t>15,250</w:t>
            </w:r>
          </w:p>
        </w:tc>
        <w:tc>
          <w:tcPr>
            <w:vAlign w:val="center"/>
          </w:tcPr>
          <w:p>
            <w:pPr>
              <w:jc w:val="right"/>
            </w:pPr>
            <w:r>
              <w:rPr>
                <w:color w:val="000000"/>
                <w:sz w:val="24"/>
              </w:rPr>
              <w:t>1,557,025.00</w:t>
            </w:r>
          </w:p>
        </w:tc>
        <w:tc>
          <w:tcPr>
            <w:vAlign w:val="center"/>
          </w:tcPr>
          <w:p>
            <w:pPr>
              <w:jc w:val="right"/>
            </w:pPr>
            <w:r>
              <w:rPr>
                <w:color w:val="000000"/>
                <w:sz w:val="24"/>
              </w:rPr>
              <w:t>10.50</w:t>
            </w:r>
          </w:p>
        </w:tc>
      </w:tr>
      <w:tr>
        <w:tc>
          <w:tcPr>
            <w:vAlign w:val="center"/>
          </w:tcPr>
          <w:p>
            <w:pPr>
              <w:jc w:val="center"/>
            </w:pPr>
            <w:r>
              <w:rPr>
                <w:color w:val="000000"/>
                <w:sz w:val="24"/>
              </w:rPr>
              <w:t>4</w:t>
            </w:r>
          </w:p>
        </w:tc>
        <w:tc>
          <w:tcPr>
            <w:vAlign w:val="center"/>
          </w:tcPr>
          <w:p>
            <w:pPr>
              <w:jc w:val="center"/>
            </w:pPr>
            <w:r>
              <w:rPr>
                <w:color w:val="000000"/>
                <w:sz w:val="24"/>
              </w:rPr>
              <w:t>018005</w:t>
            </w:r>
          </w:p>
        </w:tc>
        <w:tc>
          <w:tcPr>
            <w:vAlign w:val="center"/>
          </w:tcPr>
          <w:p>
            <w:pPr>
              <w:jc w:val="center"/>
            </w:pPr>
            <w:r>
              <w:rPr>
                <w:color w:val="000000"/>
                <w:sz w:val="24"/>
              </w:rPr>
              <w:t>国开1701</w:t>
            </w:r>
          </w:p>
        </w:tc>
        <w:tc>
          <w:tcPr>
            <w:vAlign w:val="center"/>
          </w:tcPr>
          <w:p>
            <w:pPr>
              <w:jc w:val="right"/>
            </w:pPr>
            <w:r>
              <w:rPr>
                <w:color w:val="000000"/>
                <w:sz w:val="24"/>
              </w:rPr>
              <w:t>7,910</w:t>
            </w:r>
          </w:p>
        </w:tc>
        <w:tc>
          <w:tcPr>
            <w:vAlign w:val="center"/>
          </w:tcPr>
          <w:p>
            <w:pPr>
              <w:jc w:val="right"/>
            </w:pPr>
            <w:r>
              <w:rPr>
                <w:color w:val="000000"/>
                <w:sz w:val="24"/>
              </w:rPr>
              <w:t>794,480.40</w:t>
            </w:r>
          </w:p>
        </w:tc>
        <w:tc>
          <w:tcPr>
            <w:vAlign w:val="center"/>
          </w:tcPr>
          <w:p>
            <w:pPr>
              <w:jc w:val="right"/>
            </w:pPr>
            <w:r>
              <w:rPr>
                <w:color w:val="000000"/>
                <w:sz w:val="24"/>
              </w:rPr>
              <w:t>5.36</w:t>
            </w:r>
          </w:p>
        </w:tc>
      </w:tr>
      <w:tr>
        <w:tc>
          <w:tcPr>
            <w:vAlign w:val="center"/>
          </w:tcPr>
          <w:p>
            <w:pPr>
              <w:jc w:val="center"/>
            </w:pPr>
            <w:r>
              <w:rPr>
                <w:color w:val="000000"/>
                <w:sz w:val="24"/>
              </w:rPr>
              <w:t>5</w:t>
            </w:r>
          </w:p>
        </w:tc>
        <w:tc>
          <w:tcPr>
            <w:vAlign w:val="center"/>
          </w:tcPr>
          <w:p>
            <w:pPr>
              <w:jc w:val="center"/>
            </w:pPr>
            <w:r>
              <w:rPr>
                <w:color w:val="000000"/>
                <w:sz w:val="24"/>
              </w:rPr>
              <w:t>120001</w:t>
            </w:r>
          </w:p>
        </w:tc>
        <w:tc>
          <w:tcPr>
            <w:vAlign w:val="center"/>
          </w:tcPr>
          <w:p>
            <w:pPr>
              <w:jc w:val="center"/>
            </w:pPr>
            <w:r>
              <w:rPr>
                <w:color w:val="000000"/>
                <w:sz w:val="24"/>
              </w:rPr>
              <w:t>16以岭EB</w:t>
            </w:r>
          </w:p>
        </w:tc>
        <w:tc>
          <w:tcPr>
            <w:vAlign w:val="center"/>
          </w:tcPr>
          <w:p>
            <w:pPr>
              <w:jc w:val="right"/>
            </w:pPr>
            <w:r>
              <w:rPr>
                <w:color w:val="000000"/>
                <w:sz w:val="24"/>
              </w:rPr>
              <w:t>1,460</w:t>
            </w:r>
          </w:p>
        </w:tc>
        <w:tc>
          <w:tcPr>
            <w:vAlign w:val="center"/>
          </w:tcPr>
          <w:p>
            <w:pPr>
              <w:jc w:val="right"/>
            </w:pPr>
            <w:r>
              <w:rPr>
                <w:color w:val="000000"/>
                <w:sz w:val="24"/>
              </w:rPr>
              <w:t>146,058.40</w:t>
            </w:r>
          </w:p>
        </w:tc>
        <w:tc>
          <w:tcPr>
            <w:vAlign w:val="center"/>
          </w:tcPr>
          <w:p>
            <w:pPr>
              <w:jc w:val="right"/>
            </w:pPr>
            <w:r>
              <w:rPr>
                <w:color w:val="000000"/>
                <w:sz w:val="24"/>
              </w:rPr>
              <w:t>0.98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19,494.23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140,551.83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304,435.96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2,807.92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467,289.94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type="dxa" w:w="8868"/>
        <w:jc w:val="center"/>
        <w:tblCellMar>
          <w:top w:type="dxa" w:w="57"/>
          <w:bottom w:type="dxa" w:w="57"/>
        </w:tblCellMar>
        <w:tblLook w:val="04A0"/>
      </w:tblPr>
      <w:tblGrid>
        <w:gridCol w:w="1161"/>
        <w:gridCol w:w="2585"/>
        <w:gridCol w:w="1789"/>
        <w:gridCol w:w="1867"/>
        <w:gridCol w:w="1840"/>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120001</w:t>
            </w:r>
          </w:p>
        </w:tc>
        <w:tc>
          <w:tcPr>
            <w:vAlign w:val="center"/>
          </w:tcPr>
          <w:p>
            <w:pPr>
              <w:jc w:val="center"/>
            </w:pPr>
            <w:r>
              <w:rPr>
                <w:rFonts w:eastAsiaTheme="minorEastAsia"/>
                <w:color w:val="000000"/>
                <w:sz w:val="24"/>
              </w:rPr>
              <w:t>16以岭EB</w:t>
            </w:r>
          </w:p>
        </w:tc>
        <w:tc>
          <w:tcPr>
            <w:vAlign w:val="center"/>
          </w:tcPr>
          <w:p>
            <w:pPr>
              <w:jc w:val="right"/>
            </w:pPr>
            <w:r>
              <w:rPr>
                <w:rFonts w:eastAsiaTheme="minorEastAsia"/>
                <w:color w:val="000000"/>
                <w:sz w:val="24"/>
              </w:rPr>
              <w:t>146,058.40</w:t>
            </w:r>
          </w:p>
        </w:tc>
        <w:tc>
          <w:tcPr>
            <w:vAlign w:val="center"/>
          </w:tcPr>
          <w:p>
            <w:pPr>
              <w:jc w:val="right"/>
            </w:pPr>
            <w:r>
              <w:rPr>
                <w:rFonts w:eastAsiaTheme="minorEastAsia"/>
                <w:color w:val="000000"/>
                <w:sz w:val="24"/>
              </w:rPr>
              <w:t>0.98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12,172,502.95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2,922,192.43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105,214.93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32,643.70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176,971.42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114,810.14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12,100,746.46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2,840,025.99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