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533B" w14:textId="2AC7389E" w:rsidR="007D2969" w:rsidRPr="007D2969" w:rsidRDefault="00C44104" w:rsidP="005022D1">
      <w:pPr>
        <w:widowControl/>
        <w:shd w:val="clear" w:color="auto" w:fill="FFFFFF"/>
        <w:spacing w:before="240"/>
        <w:jc w:val="center"/>
        <w:rPr>
          <w:rFonts w:ascii="微软雅黑" w:eastAsia="微软雅黑" w:hAnsi="微软雅黑" w:cs="宋体"/>
          <w:b/>
          <w:bCs/>
          <w:color w:val="001F80"/>
          <w:kern w:val="0"/>
          <w:sz w:val="39"/>
          <w:szCs w:val="39"/>
        </w:rPr>
      </w:pP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交银施罗德基金管理有限公司关于</w:t>
      </w:r>
      <w:bookmarkStart w:id="0" w:name="FN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交银施罗德中债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1-5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年政策性金融债指数证券投资基金</w:t>
      </w:r>
      <w:bookmarkEnd w:id="0"/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基金资产净值连续低于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5000</w:t>
      </w:r>
      <w:r w:rsidRPr="005022D1">
        <w:rPr>
          <w:rFonts w:ascii="Times New Roman" w:eastAsiaTheme="majorEastAsia" w:hAnsi="Times New Roman" w:cs="Times New Roman" w:hint="eastAsia"/>
          <w:b/>
          <w:sz w:val="30"/>
          <w:szCs w:val="30"/>
        </w:rPr>
        <w:t>万元的提示性公告</w:t>
      </w:r>
    </w:p>
    <w:p w14:paraId="4B66BB0D" w14:textId="7EA276DD" w:rsidR="007D2969" w:rsidRPr="007D2969" w:rsidRDefault="00C44104" w:rsidP="003F75B1">
      <w:pPr>
        <w:widowControl/>
        <w:shd w:val="clear" w:color="auto" w:fill="FFFFFF"/>
        <w:spacing w:before="495" w:line="360" w:lineRule="auto"/>
        <w:ind w:firstLineChars="200" w:firstLine="480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根据《中华人民共和国证券投资基金法》、《公开募集证券投资基金运作管理办法》、《</w:t>
      </w:r>
      <w:bookmarkStart w:id="1" w:name="FN_2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交银施罗德中债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1-5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年政策性金融债指数证券投资基金</w:t>
      </w:r>
      <w:bookmarkEnd w:id="1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合同》（以下简称“《基金合同》”）的有关规定，</w:t>
      </w:r>
      <w:bookmarkStart w:id="2" w:name="FN_3"/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交银施罗德中债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1-5</w:t>
      </w:r>
      <w:r w:rsidR="005A3B6B" w:rsidRPr="005A3B6B">
        <w:rPr>
          <w:rFonts w:ascii="Times New Roman" w:eastAsiaTheme="majorEastAsia" w:hAnsi="Times New Roman" w:cs="Times New Roman" w:hint="eastAsia"/>
          <w:bCs/>
          <w:sz w:val="24"/>
          <w:szCs w:val="20"/>
        </w:rPr>
        <w:t>年政策性金融债指数证券投资基金</w:t>
      </w:r>
      <w:bookmarkEnd w:id="2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（以下简称“本基金”）连续</w:t>
      </w:r>
      <w:r w:rsidR="00950714">
        <w:rPr>
          <w:rFonts w:ascii="Times New Roman" w:eastAsiaTheme="majorEastAsia" w:hAnsi="Times New Roman" w:cs="Times New Roman"/>
          <w:bCs/>
          <w:sz w:val="24"/>
          <w:szCs w:val="20"/>
        </w:rPr>
        <w:t>45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终止情形，现将相关事宜公告如下：</w:t>
      </w:r>
    </w:p>
    <w:p w14:paraId="2D03C34C" w14:textId="4B1DAF99" w:rsidR="007D2969" w:rsidRPr="00472468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一</w:t>
      </w:r>
      <w:r w:rsidR="00C3382C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可能触发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终止的情形说明</w:t>
      </w:r>
    </w:p>
    <w:p w14:paraId="0467FD73" w14:textId="5C2FFF4D" w:rsidR="00E71F91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根据《基金合同》的规定，</w:t>
      </w:r>
      <w:bookmarkStart w:id="3" w:name="ZDY"/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《基金合同》生效后，连续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20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个工作日出现基金份额持有人数量不满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200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人或者基金资产净值低于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万元情形的，基金管理人应当在定期报告中予以披露。连续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50</w:t>
      </w:r>
      <w:r w:rsidR="0078723F" w:rsidRPr="0078723F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个工作日出现前述情形的，基金合同终止，不需召开基金份额持有人大会。</w:t>
      </w:r>
      <w:bookmarkEnd w:id="3"/>
    </w:p>
    <w:p w14:paraId="2472D927" w14:textId="77A23608" w:rsidR="007D2969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截至</w:t>
      </w:r>
      <w:bookmarkStart w:id="4" w:name="JZRQ"/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2023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年</w:t>
      </w:r>
      <w:r w:rsidR="005B2AAC">
        <w:rPr>
          <w:rFonts w:ascii="Times New Roman" w:eastAsiaTheme="majorEastAsia" w:hAnsi="Times New Roman" w:cs="Times New Roman"/>
          <w:bCs/>
          <w:sz w:val="24"/>
          <w:szCs w:val="20"/>
        </w:rPr>
        <w:t>10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月</w:t>
      </w:r>
      <w:r w:rsidR="005B2AAC">
        <w:rPr>
          <w:rFonts w:ascii="Times New Roman" w:eastAsiaTheme="majorEastAsia" w:hAnsi="Times New Roman" w:cs="Times New Roman"/>
          <w:bCs/>
          <w:sz w:val="24"/>
          <w:szCs w:val="20"/>
        </w:rPr>
        <w:t>10</w:t>
      </w:r>
      <w:r w:rsidR="00CF7DD0">
        <w:rPr>
          <w:rFonts w:ascii="Times New Roman" w:eastAsiaTheme="majorEastAsia" w:hAnsi="Times New Roman" w:cs="Times New Roman"/>
          <w:bCs/>
          <w:sz w:val="24"/>
          <w:szCs w:val="20"/>
        </w:rPr>
        <w:t>日</w:t>
      </w:r>
      <w:bookmarkEnd w:id="4"/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，本基金已连续</w:t>
      </w:r>
      <w:r w:rsidR="005B2AAC">
        <w:rPr>
          <w:rFonts w:ascii="Times New Roman" w:eastAsiaTheme="majorEastAsia" w:hAnsi="Times New Roman" w:cs="Times New Roman"/>
          <w:bCs/>
          <w:sz w:val="24"/>
          <w:szCs w:val="20"/>
        </w:rPr>
        <w:t>45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5000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万元，特此提示。</w:t>
      </w:r>
    </w:p>
    <w:p w14:paraId="5A1B1546" w14:textId="16D089F5" w:rsidR="005B2AAC" w:rsidRPr="00472468" w:rsidRDefault="005B2AAC" w:rsidP="005B2AAC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5B2AAC">
        <w:rPr>
          <w:rFonts w:ascii="Times New Roman" w:eastAsiaTheme="majorEastAsia" w:hAnsi="Times New Roman" w:cs="Times New Roman" w:hint="eastAsia"/>
          <w:bCs/>
          <w:sz w:val="24"/>
          <w:szCs w:val="20"/>
        </w:rPr>
        <w:t>若截至</w:t>
      </w:r>
      <w:r w:rsidRPr="005B2AAC">
        <w:rPr>
          <w:rFonts w:ascii="Times New Roman" w:eastAsiaTheme="majorEastAsia" w:hAnsi="Times New Roman" w:cs="Times New Roman"/>
          <w:bCs/>
          <w:sz w:val="24"/>
          <w:szCs w:val="20"/>
        </w:rPr>
        <w:t>2023</w:t>
      </w:r>
      <w:r w:rsidRPr="005B2AAC">
        <w:rPr>
          <w:rFonts w:ascii="Times New Roman" w:eastAsiaTheme="majorEastAsia" w:hAnsi="Times New Roman" w:cs="Times New Roman" w:hint="eastAsia"/>
          <w:bCs/>
          <w:sz w:val="24"/>
          <w:szCs w:val="20"/>
        </w:rPr>
        <w:t>年</w:t>
      </w:r>
      <w:r>
        <w:rPr>
          <w:rFonts w:ascii="Times New Roman" w:eastAsiaTheme="majorEastAsia" w:hAnsi="Times New Roman" w:cs="Times New Roman"/>
          <w:bCs/>
          <w:sz w:val="24"/>
          <w:szCs w:val="20"/>
        </w:rPr>
        <w:t>10</w:t>
      </w:r>
      <w:r w:rsidRPr="005B2AAC">
        <w:rPr>
          <w:rFonts w:ascii="Times New Roman" w:eastAsiaTheme="majorEastAsia" w:hAnsi="Times New Roman" w:cs="Times New Roman" w:hint="eastAsia"/>
          <w:bCs/>
          <w:sz w:val="24"/>
          <w:szCs w:val="20"/>
        </w:rPr>
        <w:t>月</w:t>
      </w:r>
      <w:r>
        <w:rPr>
          <w:rFonts w:ascii="Times New Roman" w:eastAsiaTheme="majorEastAsia" w:hAnsi="Times New Roman" w:cs="Times New Roman"/>
          <w:bCs/>
          <w:sz w:val="24"/>
          <w:szCs w:val="20"/>
        </w:rPr>
        <w:t>17</w:t>
      </w:r>
      <w:r w:rsidRPr="005B2AAC">
        <w:rPr>
          <w:rFonts w:ascii="Times New Roman" w:eastAsiaTheme="majorEastAsia" w:hAnsi="Times New Roman" w:cs="Times New Roman" w:hint="eastAsia"/>
          <w:bCs/>
          <w:sz w:val="24"/>
          <w:szCs w:val="20"/>
        </w:rPr>
        <w:t>日日终，本基金出现连续</w:t>
      </w:r>
      <w:r w:rsidRPr="005B2AAC">
        <w:rPr>
          <w:rFonts w:ascii="Times New Roman" w:eastAsiaTheme="majorEastAsia" w:hAnsi="Times New Roman" w:cs="Times New Roman"/>
          <w:bCs/>
          <w:sz w:val="24"/>
          <w:szCs w:val="20"/>
        </w:rPr>
        <w:t>50</w:t>
      </w:r>
      <w:r w:rsidRPr="005B2AAC">
        <w:rPr>
          <w:rFonts w:ascii="Times New Roman" w:eastAsiaTheme="majorEastAsia" w:hAnsi="Times New Roman" w:cs="Times New Roman" w:hint="eastAsia"/>
          <w:bCs/>
          <w:sz w:val="24"/>
          <w:szCs w:val="20"/>
        </w:rPr>
        <w:t>个工作日基金资产净值低于</w:t>
      </w:r>
      <w:r w:rsidRPr="005B2AAC">
        <w:rPr>
          <w:rFonts w:ascii="Times New Roman" w:eastAsiaTheme="majorEastAsia" w:hAnsi="Times New Roman" w:cs="Times New Roman"/>
          <w:bCs/>
          <w:sz w:val="24"/>
          <w:szCs w:val="20"/>
        </w:rPr>
        <w:t>5000</w:t>
      </w:r>
      <w:r w:rsidRPr="005B2AAC">
        <w:rPr>
          <w:rFonts w:ascii="Times New Roman" w:eastAsiaTheme="majorEastAsia" w:hAnsi="Times New Roman" w:cs="Times New Roman" w:hint="eastAsia"/>
          <w:bCs/>
          <w:sz w:val="24"/>
          <w:szCs w:val="20"/>
        </w:rPr>
        <w:t>万元的情形，本基金将根据基金合同约定进行基金财产清算并终止，而无须召开基金份额持有人大会。</w:t>
      </w:r>
    </w:p>
    <w:p w14:paraId="650185BB" w14:textId="3F832C3D" w:rsidR="007D2969" w:rsidRPr="00472468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二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、其他需要提示的事项</w:t>
      </w:r>
    </w:p>
    <w:p w14:paraId="06744B9A" w14:textId="6DC87AC6" w:rsidR="007D2969" w:rsidRPr="00472468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1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、若出现</w:t>
      </w:r>
      <w:r w:rsidR="00FF7744">
        <w:rPr>
          <w:rFonts w:ascii="Times New Roman" w:eastAsiaTheme="majorEastAsia" w:hAnsi="Times New Roman" w:cs="Times New Roman" w:hint="eastAsia"/>
          <w:bCs/>
          <w:sz w:val="24"/>
          <w:szCs w:val="20"/>
        </w:rPr>
        <w:t>触发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《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基金合同</w:t>
      </w:r>
      <w:r w:rsidR="00D97D91">
        <w:rPr>
          <w:rFonts w:ascii="Times New Roman" w:eastAsiaTheme="majorEastAsia" w:hAnsi="Times New Roman" w:cs="Times New Roman" w:hint="eastAsia"/>
          <w:bCs/>
          <w:sz w:val="24"/>
          <w:szCs w:val="20"/>
        </w:rPr>
        <w:t>》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终止的情形，基金管理人将根据相关法律法规的规定和《基金合同》的约定成立基金财产清算小组，履行基金财产清算程序。本基金进入清算程序后将不再办理申购、赎回</w:t>
      </w:r>
      <w:r w:rsidR="00C079E9">
        <w:rPr>
          <w:rFonts w:ascii="Times New Roman" w:eastAsiaTheme="majorEastAsia" w:hAnsi="Times New Roman" w:cs="Times New Roman" w:hint="eastAsia"/>
          <w:bCs/>
          <w:sz w:val="24"/>
          <w:szCs w:val="20"/>
        </w:rPr>
        <w:t>、转换、定期定额投资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等业务，敬请投资人关注相应的流动性风险，妥善做好投资安排。</w:t>
      </w:r>
    </w:p>
    <w:p w14:paraId="3684FF4E" w14:textId="77777777" w:rsidR="003F75B1" w:rsidRDefault="00C44104" w:rsidP="003F75B1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2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E518FB" w:rsidRPr="001F0DFA">
        <w:rPr>
          <w:rFonts w:hint="eastAsia"/>
          <w:sz w:val="24"/>
        </w:rPr>
        <w:t>投资者欲了解本基金的详</w:t>
      </w:r>
      <w:bookmarkStart w:id="5" w:name="_GoBack"/>
      <w:bookmarkEnd w:id="5"/>
      <w:r w:rsidR="00E518FB" w:rsidRPr="001F0DFA">
        <w:rPr>
          <w:rFonts w:hint="eastAsia"/>
          <w:sz w:val="24"/>
        </w:rPr>
        <w:t>细情况</w:t>
      </w:r>
      <w:r w:rsidRPr="00472468">
        <w:rPr>
          <w:rFonts w:ascii="Times New Roman" w:eastAsiaTheme="majorEastAsia" w:hAnsi="Times New Roman" w:cs="Times New Roman" w:hint="eastAsia"/>
          <w:bCs/>
          <w:sz w:val="24"/>
          <w:szCs w:val="20"/>
        </w:rPr>
        <w:t>，请认真阅读本基金《基金合同》及《招募说明书》等法律文件。</w:t>
      </w:r>
    </w:p>
    <w:p w14:paraId="27431B32" w14:textId="77777777" w:rsidR="00472468" w:rsidRDefault="00C44104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3</w:t>
      </w:r>
      <w:r>
        <w:rPr>
          <w:rFonts w:ascii="Times New Roman" w:eastAsiaTheme="majorEastAsia" w:hAnsi="Times New Roman" w:cs="Times New Roman" w:hint="eastAsia"/>
          <w:bCs/>
          <w:sz w:val="24"/>
          <w:szCs w:val="20"/>
        </w:rPr>
        <w:t>、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投资者可以登录本公司网站（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www.fund001.com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）或拨打客户服务电话（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400-700-5000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，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021-61055000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）咨询</w:t>
      </w:r>
      <w:r w:rsidR="00FF7744">
        <w:rPr>
          <w:rFonts w:ascii="Times New Roman" w:hAnsi="宋体" w:hint="eastAsia"/>
          <w:bCs/>
          <w:sz w:val="24"/>
          <w:szCs w:val="24"/>
        </w:rPr>
        <w:t>本</w:t>
      </w:r>
      <w:r w:rsidR="00CF5F3F" w:rsidRPr="00CF5F3F">
        <w:rPr>
          <w:rFonts w:ascii="Times New Roman" w:hAnsi="宋体" w:hint="eastAsia"/>
          <w:bCs/>
          <w:sz w:val="24"/>
          <w:szCs w:val="24"/>
        </w:rPr>
        <w:t>基金相关信息</w:t>
      </w:r>
      <w:r w:rsidRPr="003F75B1">
        <w:rPr>
          <w:rFonts w:ascii="Times New Roman" w:eastAsiaTheme="majorEastAsia" w:hAnsi="Times New Roman" w:cs="Times New Roman" w:hint="eastAsia"/>
          <w:bCs/>
          <w:sz w:val="24"/>
          <w:szCs w:val="20"/>
        </w:rPr>
        <w:t>。</w:t>
      </w:r>
    </w:p>
    <w:p w14:paraId="5477080F" w14:textId="77777777" w:rsidR="007F497E" w:rsidRDefault="007F497E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757CF872" w14:textId="77777777" w:rsidR="007F497E" w:rsidRPr="006C489F" w:rsidRDefault="00C44104" w:rsidP="007F497E">
      <w:pPr>
        <w:widowControl/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风险提示：</w:t>
      </w:r>
    </w:p>
    <w:p w14:paraId="565414D0" w14:textId="2644F4FB" w:rsidR="007F497E" w:rsidRDefault="00C44104" w:rsidP="007F497E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6C489F">
        <w:rPr>
          <w:rFonts w:asciiTheme="minorEastAsia" w:hAnsiTheme="minorEastAsia" w:hint="eastAsia"/>
          <w:kern w:val="0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</w:t>
      </w:r>
      <w:r w:rsidR="00E63082">
        <w:rPr>
          <w:rFonts w:asciiTheme="minorEastAsia" w:hAnsiTheme="minorEastAsia" w:hint="eastAsia"/>
          <w:kern w:val="0"/>
          <w:sz w:val="24"/>
          <w:szCs w:val="24"/>
        </w:rPr>
        <w:t>未来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业绩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表现。投资有风险，敬请投资者认真阅读</w:t>
      </w:r>
      <w:r w:rsidR="00FF7744">
        <w:rPr>
          <w:rFonts w:asciiTheme="minorEastAsia" w:hAnsiTheme="minorEastAsia" w:hint="eastAsia"/>
          <w:kern w:val="0"/>
          <w:sz w:val="24"/>
          <w:szCs w:val="24"/>
        </w:rPr>
        <w:t>本</w:t>
      </w:r>
      <w:r w:rsidRPr="006C489F">
        <w:rPr>
          <w:rFonts w:asciiTheme="minorEastAsia" w:hAnsiTheme="minorEastAsia" w:hint="eastAsia"/>
          <w:kern w:val="0"/>
          <w:sz w:val="24"/>
          <w:szCs w:val="24"/>
        </w:rPr>
        <w:t>基金的相关法律文件以及关注本基金的特有风险，并选择适合自身风险承受能力的投资品种进行投资。</w:t>
      </w:r>
    </w:p>
    <w:p w14:paraId="72AF62E0" w14:textId="77777777" w:rsidR="00D05736" w:rsidRPr="007F497E" w:rsidRDefault="00D05736" w:rsidP="007F497E">
      <w:pPr>
        <w:spacing w:line="360" w:lineRule="auto"/>
        <w:ind w:firstLineChars="200" w:firstLine="480"/>
        <w:rPr>
          <w:rFonts w:ascii="Times New Roman" w:eastAsiaTheme="majorEastAsia" w:hAnsi="Times New Roman" w:cs="Times New Roman"/>
          <w:bCs/>
          <w:sz w:val="24"/>
          <w:szCs w:val="20"/>
        </w:rPr>
      </w:pPr>
    </w:p>
    <w:p w14:paraId="4D711A1E" w14:textId="77777777" w:rsidR="00472468" w:rsidRPr="008F71CF" w:rsidRDefault="00C44104" w:rsidP="00472468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特此公告。</w:t>
      </w:r>
    </w:p>
    <w:p w14:paraId="0703DCB9" w14:textId="77777777" w:rsidR="00472468" w:rsidRPr="008F71CF" w:rsidRDefault="00C44104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r w:rsidRPr="008F71CF">
        <w:rPr>
          <w:rFonts w:ascii="Times New Roman" w:eastAsiaTheme="majorEastAsia" w:hAnsi="Times New Roman" w:cs="Times New Roman"/>
          <w:color w:val="000000"/>
        </w:rPr>
        <w:t>交银施罗德基金管理有限公司</w:t>
      </w:r>
    </w:p>
    <w:p w14:paraId="3A37674B" w14:textId="73CA37EF" w:rsidR="00991DF0" w:rsidRDefault="00C44104" w:rsidP="00D05736">
      <w:pPr>
        <w:pStyle w:val="a3"/>
        <w:jc w:val="right"/>
        <w:rPr>
          <w:rFonts w:ascii="Times New Roman" w:eastAsiaTheme="majorEastAsia" w:hAnsi="Times New Roman" w:cs="Times New Roman"/>
          <w:color w:val="000000"/>
        </w:rPr>
      </w:pPr>
      <w:r w:rsidRPr="008F71CF">
        <w:rPr>
          <w:rFonts w:ascii="Times New Roman" w:eastAsiaTheme="majorEastAsia" w:hAnsi="Times New Roman" w:cs="Times New Roman"/>
          <w:color w:val="000000"/>
        </w:rPr>
        <w:t>  </w:t>
      </w:r>
      <w:bookmarkStart w:id="6" w:name="HTRQ"/>
      <w:r w:rsidR="00CF7DD0">
        <w:rPr>
          <w:rFonts w:ascii="Times New Roman" w:eastAsiaTheme="majorEastAsia" w:hAnsi="Times New Roman" w:cs="Times New Roman" w:hint="eastAsia"/>
          <w:color w:val="000000"/>
        </w:rPr>
        <w:t>二〇二三年</w:t>
      </w:r>
      <w:r w:rsidR="00F635BD">
        <w:rPr>
          <w:rFonts w:ascii="Times New Roman" w:eastAsiaTheme="majorEastAsia" w:hAnsi="Times New Roman" w:cs="Times New Roman" w:hint="eastAsia"/>
          <w:color w:val="000000"/>
        </w:rPr>
        <w:t>十</w:t>
      </w:r>
      <w:r w:rsidR="00CF7DD0">
        <w:rPr>
          <w:rFonts w:ascii="Times New Roman" w:eastAsiaTheme="majorEastAsia" w:hAnsi="Times New Roman" w:cs="Times New Roman" w:hint="eastAsia"/>
          <w:color w:val="000000"/>
        </w:rPr>
        <w:t>月</w:t>
      </w:r>
      <w:r w:rsidR="00F635BD">
        <w:rPr>
          <w:rFonts w:ascii="Times New Roman" w:eastAsiaTheme="majorEastAsia" w:hAnsi="Times New Roman" w:cs="Times New Roman" w:hint="eastAsia"/>
          <w:color w:val="000000"/>
        </w:rPr>
        <w:t>十一</w:t>
      </w:r>
      <w:r w:rsidR="00CF7DD0">
        <w:rPr>
          <w:rFonts w:ascii="Times New Roman" w:eastAsiaTheme="majorEastAsia" w:hAnsi="Times New Roman" w:cs="Times New Roman" w:hint="eastAsia"/>
          <w:color w:val="000000"/>
        </w:rPr>
        <w:t>日</w:t>
      </w:r>
      <w:bookmarkEnd w:id="6"/>
    </w:p>
    <w:sectPr w:rsidR="00991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4D8A8" w14:textId="77777777" w:rsidR="0002047D" w:rsidRDefault="0002047D"/>
  </w:endnote>
  <w:endnote w:type="continuationSeparator" w:id="0">
    <w:p w14:paraId="235A0AE8" w14:textId="77777777" w:rsidR="0002047D" w:rsidRDefault="00020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2AFA" w14:textId="77777777" w:rsidR="0002047D" w:rsidRDefault="0002047D"/>
  </w:footnote>
  <w:footnote w:type="continuationSeparator" w:id="0">
    <w:p w14:paraId="4005FD7B" w14:textId="77777777" w:rsidR="0002047D" w:rsidRDefault="00020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5C65"/>
    <w:multiLevelType w:val="hybridMultilevel"/>
    <w:tmpl w:val="0BEE1EA0"/>
    <w:lvl w:ilvl="0" w:tplc="4C2EFC0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1712932E" w:tentative="1">
      <w:start w:val="1"/>
      <w:numFmt w:val="lowerLetter"/>
      <w:lvlText w:val="%2)"/>
      <w:lvlJc w:val="left"/>
      <w:pPr>
        <w:ind w:left="1320" w:hanging="420"/>
      </w:pPr>
    </w:lvl>
    <w:lvl w:ilvl="2" w:tplc="E380530A" w:tentative="1">
      <w:start w:val="1"/>
      <w:numFmt w:val="lowerRoman"/>
      <w:lvlText w:val="%3."/>
      <w:lvlJc w:val="right"/>
      <w:pPr>
        <w:ind w:left="1740" w:hanging="420"/>
      </w:pPr>
    </w:lvl>
    <w:lvl w:ilvl="3" w:tplc="39388A3A" w:tentative="1">
      <w:start w:val="1"/>
      <w:numFmt w:val="decimal"/>
      <w:lvlText w:val="%4."/>
      <w:lvlJc w:val="left"/>
      <w:pPr>
        <w:ind w:left="2160" w:hanging="420"/>
      </w:pPr>
    </w:lvl>
    <w:lvl w:ilvl="4" w:tplc="3F7CCB16" w:tentative="1">
      <w:start w:val="1"/>
      <w:numFmt w:val="lowerLetter"/>
      <w:lvlText w:val="%5)"/>
      <w:lvlJc w:val="left"/>
      <w:pPr>
        <w:ind w:left="2580" w:hanging="420"/>
      </w:pPr>
    </w:lvl>
    <w:lvl w:ilvl="5" w:tplc="A8125706" w:tentative="1">
      <w:start w:val="1"/>
      <w:numFmt w:val="lowerRoman"/>
      <w:lvlText w:val="%6."/>
      <w:lvlJc w:val="right"/>
      <w:pPr>
        <w:ind w:left="3000" w:hanging="420"/>
      </w:pPr>
    </w:lvl>
    <w:lvl w:ilvl="6" w:tplc="14869FC8" w:tentative="1">
      <w:start w:val="1"/>
      <w:numFmt w:val="decimal"/>
      <w:lvlText w:val="%7."/>
      <w:lvlJc w:val="left"/>
      <w:pPr>
        <w:ind w:left="3420" w:hanging="420"/>
      </w:pPr>
    </w:lvl>
    <w:lvl w:ilvl="7" w:tplc="6302C0BC" w:tentative="1">
      <w:start w:val="1"/>
      <w:numFmt w:val="lowerLetter"/>
      <w:lvlText w:val="%8)"/>
      <w:lvlJc w:val="left"/>
      <w:pPr>
        <w:ind w:left="3840" w:hanging="420"/>
      </w:pPr>
    </w:lvl>
    <w:lvl w:ilvl="8" w:tplc="A7DACDAC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17"/>
    <w:rsid w:val="0002047D"/>
    <w:rsid w:val="00035301"/>
    <w:rsid w:val="0004586A"/>
    <w:rsid w:val="000524ED"/>
    <w:rsid w:val="00063681"/>
    <w:rsid w:val="000C3D55"/>
    <w:rsid w:val="000D0D87"/>
    <w:rsid w:val="000E6BE4"/>
    <w:rsid w:val="00100A79"/>
    <w:rsid w:val="001323C7"/>
    <w:rsid w:val="00163D17"/>
    <w:rsid w:val="00180265"/>
    <w:rsid w:val="00184B70"/>
    <w:rsid w:val="001B0F45"/>
    <w:rsid w:val="001C37D2"/>
    <w:rsid w:val="001C3A82"/>
    <w:rsid w:val="001F0DFA"/>
    <w:rsid w:val="001F1D18"/>
    <w:rsid w:val="00271C4B"/>
    <w:rsid w:val="0027287D"/>
    <w:rsid w:val="002B48AA"/>
    <w:rsid w:val="00306839"/>
    <w:rsid w:val="00315727"/>
    <w:rsid w:val="00351650"/>
    <w:rsid w:val="003F75B1"/>
    <w:rsid w:val="0043484A"/>
    <w:rsid w:val="00472468"/>
    <w:rsid w:val="00480013"/>
    <w:rsid w:val="004825A6"/>
    <w:rsid w:val="00497707"/>
    <w:rsid w:val="004E6501"/>
    <w:rsid w:val="004F196E"/>
    <w:rsid w:val="005022D1"/>
    <w:rsid w:val="00583C48"/>
    <w:rsid w:val="005A3B6B"/>
    <w:rsid w:val="005B2AAC"/>
    <w:rsid w:val="005C3C2A"/>
    <w:rsid w:val="00612386"/>
    <w:rsid w:val="0064768C"/>
    <w:rsid w:val="006C489F"/>
    <w:rsid w:val="00710DC2"/>
    <w:rsid w:val="0078723F"/>
    <w:rsid w:val="0079008F"/>
    <w:rsid w:val="007B1520"/>
    <w:rsid w:val="007D0CE8"/>
    <w:rsid w:val="007D2969"/>
    <w:rsid w:val="007F497E"/>
    <w:rsid w:val="008054D5"/>
    <w:rsid w:val="0084329F"/>
    <w:rsid w:val="008F71CF"/>
    <w:rsid w:val="00942533"/>
    <w:rsid w:val="00950714"/>
    <w:rsid w:val="009637FB"/>
    <w:rsid w:val="00980485"/>
    <w:rsid w:val="00991DF0"/>
    <w:rsid w:val="009D75D3"/>
    <w:rsid w:val="00A01DBA"/>
    <w:rsid w:val="00AD6480"/>
    <w:rsid w:val="00AD6643"/>
    <w:rsid w:val="00B55920"/>
    <w:rsid w:val="00BC6D4F"/>
    <w:rsid w:val="00C079E9"/>
    <w:rsid w:val="00C3382C"/>
    <w:rsid w:val="00C44104"/>
    <w:rsid w:val="00CD1328"/>
    <w:rsid w:val="00CF1139"/>
    <w:rsid w:val="00CF5F3F"/>
    <w:rsid w:val="00CF7DD0"/>
    <w:rsid w:val="00D04C01"/>
    <w:rsid w:val="00D05736"/>
    <w:rsid w:val="00D47C75"/>
    <w:rsid w:val="00D97D91"/>
    <w:rsid w:val="00DD2BDF"/>
    <w:rsid w:val="00E24AE5"/>
    <w:rsid w:val="00E518FB"/>
    <w:rsid w:val="00E63082"/>
    <w:rsid w:val="00E71F91"/>
    <w:rsid w:val="00E74C37"/>
    <w:rsid w:val="00F02248"/>
    <w:rsid w:val="00F206D2"/>
    <w:rsid w:val="00F32FF8"/>
    <w:rsid w:val="00F46377"/>
    <w:rsid w:val="00F635BD"/>
    <w:rsid w:val="00F80F9B"/>
    <w:rsid w:val="00FC50D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FFDFE"/>
  <w15:chartTrackingRefBased/>
  <w15:docId w15:val="{3E2DECC5-3500-430D-9702-3771C397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D29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basedOn w:val="a0"/>
    <w:link w:val="5"/>
    <w:uiPriority w:val="9"/>
    <w:rsid w:val="007D2969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Normal (Web)"/>
    <w:basedOn w:val="a"/>
    <w:uiPriority w:val="99"/>
    <w:unhideWhenUsed/>
    <w:rsid w:val="007D29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A01DBA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01DBA"/>
  </w:style>
  <w:style w:type="character" w:styleId="a6">
    <w:name w:val="annotation reference"/>
    <w:basedOn w:val="a0"/>
    <w:uiPriority w:val="99"/>
    <w:semiHidden/>
    <w:unhideWhenUsed/>
    <w:rsid w:val="00FF7744"/>
    <w:rPr>
      <w:sz w:val="21"/>
      <w:szCs w:val="21"/>
    </w:rPr>
  </w:style>
  <w:style w:type="paragraph" w:styleId="a7">
    <w:name w:val="annotation text"/>
    <w:basedOn w:val="a"/>
    <w:link w:val="a8"/>
    <w:uiPriority w:val="99"/>
    <w:semiHidden/>
    <w:unhideWhenUsed/>
    <w:rsid w:val="00FF7744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rsid w:val="00FF7744"/>
  </w:style>
  <w:style w:type="paragraph" w:styleId="a9">
    <w:name w:val="annotation subject"/>
    <w:basedOn w:val="a7"/>
    <w:next w:val="a7"/>
    <w:link w:val="aa"/>
    <w:uiPriority w:val="99"/>
    <w:semiHidden/>
    <w:unhideWhenUsed/>
    <w:rsid w:val="00FF7744"/>
    <w:rPr>
      <w:b/>
      <w:bCs/>
    </w:rPr>
  </w:style>
  <w:style w:type="character" w:customStyle="1" w:styleId="aa">
    <w:name w:val="批注主题 字符"/>
    <w:basedOn w:val="a8"/>
    <w:link w:val="a9"/>
    <w:uiPriority w:val="99"/>
    <w:semiHidden/>
    <w:rsid w:val="00FF774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F774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F7744"/>
    <w:rPr>
      <w:sz w:val="18"/>
      <w:szCs w:val="18"/>
    </w:rPr>
  </w:style>
  <w:style w:type="paragraph" w:styleId="ad">
    <w:name w:val="List Paragraph"/>
    <w:basedOn w:val="a"/>
    <w:uiPriority w:val="34"/>
    <w:qFormat/>
    <w:rsid w:val="00C3382C"/>
    <w:pPr>
      <w:ind w:firstLineChars="200" w:firstLine="420"/>
    </w:pPr>
  </w:style>
  <w:style w:type="paragraph" w:styleId="ae">
    <w:name w:val="header"/>
    <w:basedOn w:val="a"/>
    <w:link w:val="af"/>
    <w:uiPriority w:val="99"/>
    <w:unhideWhenUsed/>
    <w:rsid w:val="00D0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D04C0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D0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D04C01"/>
    <w:rPr>
      <w:sz w:val="18"/>
      <w:szCs w:val="18"/>
    </w:rPr>
  </w:style>
  <w:style w:type="paragraph" w:customStyle="1" w:styleId="Default">
    <w:name w:val="Default"/>
    <w:rsid w:val="005B2AA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A9A4-071C-4B5A-97FC-6E796A42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张敏峻</dc:creator>
  <cp:lastModifiedBy>张婧</cp:lastModifiedBy>
  <cp:revision>8</cp:revision>
  <dcterms:created xsi:type="dcterms:W3CDTF">2023-09-27T03:05:00Z</dcterms:created>
  <dcterms:modified xsi:type="dcterms:W3CDTF">2023-10-10T07:10:00Z</dcterms:modified>
</cp:coreProperties>
</file>