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交银施罗德基金管理有限公司关于增聘交银施罗德荣鑫灵活配置混合型证券投资基金基金经理的公告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2019年11月28日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交银施罗德荣鑫灵活配置混合型证券投资基金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交银荣鑫灵活配置混合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519766</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唐赟</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王艺伟</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2019年11月28日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2012年7月至2014年9月任光大证券研究所宏观分析师。2014年加入交银施罗德基金管理有限公司，曾任研究员、研究部助理总经理，现任固定收益部基金经理。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因工作需要，经交银施罗德基金管理有限公司领导办公会议审议通过，增聘王艺伟女士担任交银施罗德荣鑫灵活配置混合型证券投资基金基金经理。上述事项已在中国证券投资基金业协会完成注册手续。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