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交银施罗德基金管理有限公司关于增聘交银施罗德医药创新股票型证券投资基金基金经理的公告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2018年9月12日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交银施罗德医药创新股票型证券投资基金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交银医药创新股票</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004075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新任基金经理姓名</w:t>
            </w:r>
          </w:p>
        </w:tc>
        <w:tc>
          <w:tcPr>
            <w:vAlign w:val="center"/>
          </w:tcPr>
          <w:p>
            <w:pPr>
              <w:jc w:val="left"/>
            </w:pPr>
            <w:r>
              <w:rPr>
                <w:rFonts w:asciiTheme="minorEastAsia" w:eastAsiaTheme="minorEastAsia" w:hAnsiTheme="minorEastAsia"/>
                <w:sz w:val="24"/>
                <w:szCs w:val="24"/>
              </w:rPr>
              <w:t>楼慧源</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盖婷婷</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楼慧源</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2018年9月12日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4</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4</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2014年至2015年任中国国际金融有限公司研究员。2015年加入交银施罗德基金管理有限公司，担任行业分析师。</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楼慧源女士担任交银施罗德医药创新股票型证券投资基金基金经理。自本公告日起，交银施罗德医药创新股票型证券投资基金由盖婷婷女士和楼慧源女士共同管理。上述事项已在中国证券投资基金业协会完成注册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