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交银施罗德恒益灵活配置混合型证券投资基金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default" r:id="rId8"/>
          <w:footerReference w:type="default" r:id="rId9"/>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二〇一八年七月十八日</w:t>
      </w:r>
    </w:p>
    <w:p w:rsidR="004061AC" w:rsidRPr="00414345" w:rsidRDefault="004061AC" w:rsidP="007B5F21">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A211ED" w:rsidRDefault="003068D1">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A211ED" w:rsidRDefault="003068D1">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A211ED" w:rsidRDefault="003068D1">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A211ED" w:rsidRDefault="003068D1">
      <w:pPr>
        <w:spacing w:before="29" w:line="288" w:lineRule="auto"/>
        <w:ind w:firstLineChars="200" w:firstLine="480"/>
        <w:rPr>
          <w:color w:val="000000"/>
          <w:sz w:val="24"/>
          <w:szCs w:val="24"/>
        </w:rPr>
      </w:pPr>
      <w:r>
        <w:rPr>
          <w:color w:val="000000"/>
          <w:sz w:val="24"/>
          <w:szCs w:val="24"/>
        </w:rPr>
        <w:t>基金的过往业绩并不代表其未来表现。投资有风险</w:t>
      </w:r>
      <w:r>
        <w:rPr>
          <w:color w:val="000000"/>
          <w:sz w:val="24"/>
          <w:szCs w:val="24"/>
        </w:rPr>
        <w:t>，投资者在作出投资决策前应仔细阅读本基金的招募说明书。</w:t>
      </w:r>
      <w:r>
        <w:rPr>
          <w:color w:val="000000"/>
          <w:sz w:val="24"/>
          <w:szCs w:val="24"/>
        </w:rPr>
        <w:t xml:space="preserve"> </w:t>
      </w:r>
    </w:p>
    <w:p w:rsidR="00A211ED" w:rsidRDefault="003068D1">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交银恒益灵活配置混合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004975</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004975</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2017</w:t>
            </w:r>
            <w:r w:rsidRPr="00414345">
              <w:rPr>
                <w:color w:val="000000"/>
                <w:kern w:val="0"/>
                <w:sz w:val="24"/>
                <w:szCs w:val="24"/>
              </w:rPr>
              <w:t>年</w:t>
            </w:r>
            <w:r w:rsidRPr="00414345">
              <w:rPr>
                <w:color w:val="000000"/>
                <w:kern w:val="0"/>
                <w:sz w:val="24"/>
                <w:szCs w:val="24"/>
              </w:rPr>
              <w:t>9</w:t>
            </w:r>
            <w:r w:rsidRPr="00414345">
              <w:rPr>
                <w:color w:val="000000"/>
                <w:kern w:val="0"/>
                <w:sz w:val="24"/>
                <w:szCs w:val="24"/>
              </w:rPr>
              <w:t>月</w:t>
            </w:r>
            <w:r w:rsidRPr="00414345">
              <w:rPr>
                <w:color w:val="000000"/>
                <w:kern w:val="0"/>
                <w:sz w:val="24"/>
                <w:szCs w:val="24"/>
              </w:rPr>
              <w:t>15</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156,227,496.97</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本基金在有效控制投资风险的前提下，通过积极主动的投资管理，力争获取超越业绩比较基准的投资收益，追求基金资产的长期稳定增值。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×40%+</w:t>
            </w:r>
            <w:r w:rsidRPr="00414345">
              <w:rPr>
                <w:color w:val="000000"/>
                <w:kern w:val="0"/>
                <w:sz w:val="24"/>
                <w:szCs w:val="24"/>
              </w:rPr>
              <w:t>中证综合债券指数收益率</w:t>
            </w:r>
            <w:r w:rsidRPr="00414345">
              <w:rPr>
                <w:color w:val="000000"/>
                <w:kern w:val="0"/>
                <w:sz w:val="24"/>
                <w:szCs w:val="24"/>
              </w:rPr>
              <w:t>×60%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F201B5" w:rsidRPr="00414345" w:rsidTr="00F201B5">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F201B5" w:rsidRPr="00414345" w:rsidTr="00F201B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6,528,507.00</w:t>
            </w:r>
          </w:p>
        </w:tc>
      </w:tr>
      <w:tr w:rsidR="00F201B5" w:rsidRPr="00414345" w:rsidTr="00F201B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-2,058,112.07</w:t>
            </w:r>
          </w:p>
        </w:tc>
      </w:tr>
      <w:tr w:rsidR="00F201B5" w:rsidRPr="00414345" w:rsidTr="00F201B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-0.0117</w:t>
            </w:r>
          </w:p>
        </w:tc>
      </w:tr>
      <w:tr w:rsidR="00F201B5" w:rsidRPr="00414345" w:rsidTr="00F201B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161,085,578.44</w:t>
            </w:r>
          </w:p>
        </w:tc>
      </w:tr>
      <w:tr w:rsidR="00F201B5" w:rsidRPr="00414345" w:rsidTr="00F201B5">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1.0311</w:t>
            </w:r>
          </w:p>
        </w:tc>
      </w:tr>
    </w:tbl>
    <w:p w:rsidR="00A211ED" w:rsidRDefault="003068D1">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A211ED">
        <w:trPr>
          <w:jc w:val="center"/>
        </w:trPr>
        <w:tc>
          <w:tcPr>
            <w:tcW w:w="1701" w:type="dxa"/>
            <w:vAlign w:val="center"/>
          </w:tcPr>
          <w:p w:rsidR="00A211ED" w:rsidRDefault="003068D1">
            <w:pPr>
              <w:jc w:val="left"/>
            </w:pPr>
            <w:r>
              <w:rPr>
                <w:color w:val="000000"/>
                <w:sz w:val="24"/>
                <w:szCs w:val="24"/>
              </w:rPr>
              <w:t>过去三个月</w:t>
            </w:r>
          </w:p>
        </w:tc>
        <w:tc>
          <w:tcPr>
            <w:tcW w:w="1045" w:type="dxa"/>
            <w:vAlign w:val="center"/>
          </w:tcPr>
          <w:p w:rsidR="00A211ED" w:rsidRDefault="003068D1">
            <w:pPr>
              <w:jc w:val="center"/>
            </w:pPr>
            <w:r>
              <w:rPr>
                <w:color w:val="000000"/>
                <w:sz w:val="24"/>
                <w:szCs w:val="24"/>
              </w:rPr>
              <w:t>-1.17%</w:t>
            </w:r>
          </w:p>
        </w:tc>
        <w:tc>
          <w:tcPr>
            <w:tcW w:w="1344" w:type="dxa"/>
            <w:vAlign w:val="center"/>
          </w:tcPr>
          <w:p w:rsidR="00A211ED" w:rsidRDefault="003068D1">
            <w:pPr>
              <w:jc w:val="center"/>
            </w:pPr>
            <w:r>
              <w:rPr>
                <w:color w:val="000000"/>
                <w:sz w:val="24"/>
                <w:szCs w:val="24"/>
              </w:rPr>
              <w:t>0.63%</w:t>
            </w:r>
          </w:p>
        </w:tc>
        <w:tc>
          <w:tcPr>
            <w:tcW w:w="1194" w:type="dxa"/>
            <w:vAlign w:val="center"/>
          </w:tcPr>
          <w:p w:rsidR="00A211ED" w:rsidRDefault="003068D1">
            <w:pPr>
              <w:jc w:val="center"/>
            </w:pPr>
            <w:r>
              <w:rPr>
                <w:color w:val="000000"/>
                <w:sz w:val="24"/>
                <w:szCs w:val="24"/>
              </w:rPr>
              <w:t>-2.88%</w:t>
            </w:r>
          </w:p>
        </w:tc>
        <w:tc>
          <w:tcPr>
            <w:tcW w:w="1492" w:type="dxa"/>
            <w:vAlign w:val="center"/>
          </w:tcPr>
          <w:p w:rsidR="00A211ED" w:rsidRDefault="003068D1">
            <w:pPr>
              <w:jc w:val="center"/>
            </w:pPr>
            <w:r>
              <w:rPr>
                <w:color w:val="000000"/>
                <w:sz w:val="24"/>
                <w:szCs w:val="24"/>
              </w:rPr>
              <w:t>0.46%</w:t>
            </w:r>
          </w:p>
        </w:tc>
        <w:tc>
          <w:tcPr>
            <w:tcW w:w="1194" w:type="dxa"/>
            <w:vAlign w:val="center"/>
          </w:tcPr>
          <w:p w:rsidR="00A211ED" w:rsidRDefault="003068D1">
            <w:pPr>
              <w:jc w:val="center"/>
            </w:pPr>
            <w:r>
              <w:rPr>
                <w:color w:val="000000"/>
                <w:sz w:val="24"/>
                <w:szCs w:val="24"/>
              </w:rPr>
              <w:t>1.71%</w:t>
            </w:r>
          </w:p>
        </w:tc>
        <w:tc>
          <w:tcPr>
            <w:tcW w:w="898" w:type="dxa"/>
            <w:vAlign w:val="center"/>
          </w:tcPr>
          <w:p w:rsidR="00A211ED" w:rsidRDefault="003068D1">
            <w:pPr>
              <w:jc w:val="center"/>
            </w:pPr>
            <w:r>
              <w:rPr>
                <w:color w:val="000000"/>
                <w:sz w:val="24"/>
                <w:szCs w:val="24"/>
              </w:rPr>
              <w:t>0.17%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交银施罗德恒益灵活配置混合型证券投资基金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lastRenderedPageBreak/>
        <w:t>（</w:t>
      </w:r>
      <w:r w:rsidR="0042009D" w:rsidRPr="00414345">
        <w:rPr>
          <w:rFonts w:ascii="Times New Roman" w:hAnsi="Times New Roman" w:cs="Times New Roman"/>
          <w:sz w:val="24"/>
          <w:szCs w:val="24"/>
        </w:rPr>
        <w:t>2017</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15</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2017</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15</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A211ED">
        <w:trPr>
          <w:jc w:val="center"/>
        </w:trPr>
        <w:tc>
          <w:tcPr>
            <w:tcW w:w="846" w:type="dxa"/>
            <w:vAlign w:val="center"/>
          </w:tcPr>
          <w:p w:rsidR="00A211ED" w:rsidRDefault="003068D1">
            <w:pPr>
              <w:jc w:val="center"/>
            </w:pPr>
            <w:r>
              <w:rPr>
                <w:color w:val="000000"/>
                <w:sz w:val="24"/>
                <w:szCs w:val="24"/>
              </w:rPr>
              <w:t>盖婷婷</w:t>
            </w:r>
          </w:p>
        </w:tc>
        <w:tc>
          <w:tcPr>
            <w:tcW w:w="845" w:type="dxa"/>
            <w:vAlign w:val="center"/>
          </w:tcPr>
          <w:p w:rsidR="00A211ED" w:rsidRDefault="003068D1">
            <w:pPr>
              <w:jc w:val="center"/>
            </w:pPr>
            <w:r>
              <w:rPr>
                <w:color w:val="000000"/>
                <w:sz w:val="24"/>
                <w:szCs w:val="24"/>
              </w:rPr>
              <w:t>交银消费新驱动股票、交银医药创新股票、交银恒益灵活配</w:t>
            </w:r>
            <w:r>
              <w:rPr>
                <w:color w:val="000000"/>
                <w:sz w:val="24"/>
                <w:szCs w:val="24"/>
              </w:rPr>
              <w:lastRenderedPageBreak/>
              <w:t>置混合的基金经理</w:t>
            </w:r>
          </w:p>
        </w:tc>
        <w:tc>
          <w:tcPr>
            <w:tcW w:w="1549" w:type="dxa"/>
            <w:vAlign w:val="center"/>
          </w:tcPr>
          <w:p w:rsidR="00A211ED" w:rsidRDefault="003068D1">
            <w:pPr>
              <w:jc w:val="center"/>
            </w:pPr>
            <w:r>
              <w:rPr>
                <w:color w:val="000000"/>
                <w:sz w:val="24"/>
                <w:szCs w:val="24"/>
              </w:rPr>
              <w:lastRenderedPageBreak/>
              <w:t>2017-09-15</w:t>
            </w:r>
          </w:p>
        </w:tc>
        <w:tc>
          <w:tcPr>
            <w:tcW w:w="1548" w:type="dxa"/>
            <w:vAlign w:val="center"/>
          </w:tcPr>
          <w:p w:rsidR="00A211ED" w:rsidRDefault="003068D1">
            <w:pPr>
              <w:jc w:val="center"/>
            </w:pPr>
            <w:r>
              <w:rPr>
                <w:color w:val="000000"/>
                <w:sz w:val="24"/>
                <w:szCs w:val="24"/>
              </w:rPr>
              <w:t>-</w:t>
            </w:r>
          </w:p>
        </w:tc>
        <w:tc>
          <w:tcPr>
            <w:tcW w:w="1407" w:type="dxa"/>
            <w:vAlign w:val="center"/>
          </w:tcPr>
          <w:p w:rsidR="00A211ED" w:rsidRDefault="003068D1">
            <w:pPr>
              <w:jc w:val="center"/>
            </w:pPr>
            <w:r>
              <w:rPr>
                <w:color w:val="000000"/>
                <w:sz w:val="24"/>
                <w:szCs w:val="24"/>
              </w:rPr>
              <w:t>12</w:t>
            </w:r>
            <w:r>
              <w:rPr>
                <w:color w:val="000000"/>
                <w:sz w:val="24"/>
                <w:szCs w:val="24"/>
              </w:rPr>
              <w:t>年</w:t>
            </w:r>
          </w:p>
        </w:tc>
        <w:tc>
          <w:tcPr>
            <w:tcW w:w="2673" w:type="dxa"/>
            <w:vAlign w:val="center"/>
          </w:tcPr>
          <w:p w:rsidR="00A211ED" w:rsidRDefault="003068D1">
            <w:r>
              <w:rPr>
                <w:color w:val="000000"/>
                <w:sz w:val="24"/>
                <w:szCs w:val="24"/>
              </w:rPr>
              <w:t>盖婷婷女士，上海交通大学硕士。历任信诚基金管理有限公司分析师、研究总监助理。</w:t>
            </w:r>
            <w:r>
              <w:rPr>
                <w:color w:val="000000"/>
                <w:sz w:val="24"/>
                <w:szCs w:val="24"/>
              </w:rPr>
              <w:t>2011</w:t>
            </w:r>
            <w:r>
              <w:rPr>
                <w:color w:val="000000"/>
                <w:sz w:val="24"/>
                <w:szCs w:val="24"/>
              </w:rPr>
              <w:t>年加入交银施罗德基金管理有限公司，历任行业分析师。</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A211ED" w:rsidRDefault="003068D1">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A211ED" w:rsidRDefault="003068D1">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A211ED" w:rsidRDefault="003068D1">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w:t>
      </w:r>
      <w:r>
        <w:rPr>
          <w:color w:val="000000"/>
          <w:sz w:val="24"/>
          <w:szCs w:val="24"/>
        </w:rPr>
        <w:t>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lastRenderedPageBreak/>
        <w:t>二季度海外以及国内宏观环境的不确定性继续加大，贸易战持续升级使得市场对于出口相关行业产生担忧，而金融去杠杆进程也并未有放松迹象，紧信用的货币环境使得市场规避现金流差的行业和公司，股价的下跌又进一步引发股东股权质押爆仓的风险。整体上外部环境的不确定性导致市场调整幅度比较大。本基金二季度在行业配置上比较均衡，保持低仓位运行。市场经过大幅调整，目前整体的估值已经很有吸引力，我们预计三季度市场的悲观预期会逐步调整，本基金将积极寻找被错杀的优质标的配置。</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2018</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日，本基金份额净值</w:t>
      </w:r>
      <w:r w:rsidRPr="00414345">
        <w:rPr>
          <w:color w:val="000000"/>
          <w:sz w:val="24"/>
          <w:szCs w:val="24"/>
        </w:rPr>
        <w:t>1.0311</w:t>
      </w:r>
      <w:r w:rsidRPr="00414345">
        <w:rPr>
          <w:color w:val="000000"/>
          <w:sz w:val="24"/>
          <w:szCs w:val="24"/>
        </w:rPr>
        <w:t>元，本报告期份额净值增长率为</w:t>
      </w:r>
      <w:r w:rsidRPr="00414345">
        <w:rPr>
          <w:color w:val="000000"/>
          <w:sz w:val="24"/>
          <w:szCs w:val="24"/>
        </w:rPr>
        <w:t>-1.17%</w:t>
      </w:r>
      <w:r w:rsidRPr="00414345">
        <w:rPr>
          <w:color w:val="000000"/>
          <w:sz w:val="24"/>
          <w:szCs w:val="24"/>
        </w:rPr>
        <w:t>，同期业绩比较基准增长率为</w:t>
      </w:r>
      <w:r w:rsidRPr="00414345">
        <w:rPr>
          <w:color w:val="000000"/>
          <w:sz w:val="24"/>
          <w:szCs w:val="24"/>
        </w:rPr>
        <w:t>-2.88%</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45,560,383.89</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28.02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45,560,383.89</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28.02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6,975,604.02</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4.29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6,975,604.02</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4.29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109,989,110.35</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67.64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lastRenderedPageBreak/>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81,752.59</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0.05</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162,606,850.85</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6,157,687.20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3.82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16,067,070.32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9.97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8,090,183.36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5.02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5,586,772.00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3.47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7,447,622.82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4.62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2,211,048.19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45,560,383.89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28.28</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A211ED">
        <w:trPr>
          <w:jc w:val="center"/>
        </w:trPr>
        <w:tc>
          <w:tcPr>
            <w:tcW w:w="855" w:type="dxa"/>
            <w:vAlign w:val="center"/>
          </w:tcPr>
          <w:p w:rsidR="00A211ED" w:rsidRDefault="003068D1">
            <w:pPr>
              <w:jc w:val="center"/>
            </w:pPr>
            <w:r>
              <w:rPr>
                <w:color w:val="000000"/>
                <w:sz w:val="24"/>
                <w:szCs w:val="24"/>
              </w:rPr>
              <w:t>1</w:t>
            </w:r>
          </w:p>
        </w:tc>
        <w:tc>
          <w:tcPr>
            <w:tcW w:w="1334" w:type="dxa"/>
            <w:vAlign w:val="center"/>
          </w:tcPr>
          <w:p w:rsidR="00A211ED" w:rsidRDefault="003068D1">
            <w:pPr>
              <w:jc w:val="center"/>
            </w:pPr>
            <w:r>
              <w:rPr>
                <w:color w:val="000000"/>
                <w:sz w:val="24"/>
                <w:szCs w:val="24"/>
              </w:rPr>
              <w:t>601607</w:t>
            </w:r>
          </w:p>
        </w:tc>
        <w:tc>
          <w:tcPr>
            <w:tcW w:w="1777" w:type="dxa"/>
            <w:vAlign w:val="center"/>
          </w:tcPr>
          <w:p w:rsidR="00A211ED" w:rsidRDefault="003068D1">
            <w:pPr>
              <w:jc w:val="center"/>
            </w:pPr>
            <w:r>
              <w:rPr>
                <w:color w:val="000000"/>
                <w:sz w:val="24"/>
                <w:szCs w:val="24"/>
              </w:rPr>
              <w:t>上海医药</w:t>
            </w:r>
          </w:p>
        </w:tc>
        <w:tc>
          <w:tcPr>
            <w:tcW w:w="1334" w:type="dxa"/>
            <w:vAlign w:val="center"/>
          </w:tcPr>
          <w:p w:rsidR="00A211ED" w:rsidRDefault="003068D1">
            <w:pPr>
              <w:jc w:val="right"/>
            </w:pPr>
            <w:r>
              <w:rPr>
                <w:color w:val="000000"/>
                <w:sz w:val="24"/>
                <w:szCs w:val="24"/>
              </w:rPr>
              <w:t>389,032</w:t>
            </w:r>
          </w:p>
        </w:tc>
        <w:tc>
          <w:tcPr>
            <w:tcW w:w="1924" w:type="dxa"/>
            <w:vAlign w:val="center"/>
          </w:tcPr>
          <w:p w:rsidR="00A211ED" w:rsidRDefault="003068D1">
            <w:pPr>
              <w:jc w:val="right"/>
            </w:pPr>
            <w:r>
              <w:rPr>
                <w:color w:val="000000"/>
                <w:sz w:val="24"/>
                <w:szCs w:val="24"/>
              </w:rPr>
              <w:t>9,297,864.80</w:t>
            </w:r>
          </w:p>
        </w:tc>
        <w:tc>
          <w:tcPr>
            <w:tcW w:w="1644" w:type="dxa"/>
            <w:vAlign w:val="center"/>
          </w:tcPr>
          <w:p w:rsidR="00A211ED" w:rsidRDefault="003068D1">
            <w:pPr>
              <w:jc w:val="right"/>
            </w:pPr>
            <w:r>
              <w:rPr>
                <w:color w:val="000000"/>
                <w:sz w:val="24"/>
                <w:szCs w:val="24"/>
              </w:rPr>
              <w:t>5.77</w:t>
            </w:r>
          </w:p>
        </w:tc>
      </w:tr>
      <w:tr w:rsidR="00A211ED">
        <w:trPr>
          <w:jc w:val="center"/>
        </w:trPr>
        <w:tc>
          <w:tcPr>
            <w:tcW w:w="855" w:type="dxa"/>
            <w:vAlign w:val="center"/>
          </w:tcPr>
          <w:p w:rsidR="00A211ED" w:rsidRDefault="003068D1">
            <w:pPr>
              <w:jc w:val="center"/>
            </w:pPr>
            <w:r>
              <w:rPr>
                <w:color w:val="000000"/>
                <w:sz w:val="24"/>
                <w:szCs w:val="24"/>
              </w:rPr>
              <w:t>2</w:t>
            </w:r>
          </w:p>
        </w:tc>
        <w:tc>
          <w:tcPr>
            <w:tcW w:w="1334" w:type="dxa"/>
            <w:vAlign w:val="center"/>
          </w:tcPr>
          <w:p w:rsidR="00A211ED" w:rsidRDefault="003068D1">
            <w:pPr>
              <w:jc w:val="center"/>
            </w:pPr>
            <w:r>
              <w:rPr>
                <w:color w:val="000000"/>
                <w:sz w:val="24"/>
                <w:szCs w:val="24"/>
              </w:rPr>
              <w:t>300170</w:t>
            </w:r>
          </w:p>
        </w:tc>
        <w:tc>
          <w:tcPr>
            <w:tcW w:w="1777" w:type="dxa"/>
            <w:vAlign w:val="center"/>
          </w:tcPr>
          <w:p w:rsidR="00A211ED" w:rsidRDefault="003068D1">
            <w:pPr>
              <w:jc w:val="center"/>
            </w:pPr>
            <w:r>
              <w:rPr>
                <w:color w:val="000000"/>
                <w:sz w:val="24"/>
                <w:szCs w:val="24"/>
              </w:rPr>
              <w:t>汉得信息</w:t>
            </w:r>
          </w:p>
        </w:tc>
        <w:tc>
          <w:tcPr>
            <w:tcW w:w="1334" w:type="dxa"/>
            <w:vAlign w:val="center"/>
          </w:tcPr>
          <w:p w:rsidR="00A211ED" w:rsidRDefault="003068D1">
            <w:pPr>
              <w:jc w:val="right"/>
            </w:pPr>
            <w:r>
              <w:rPr>
                <w:color w:val="000000"/>
                <w:sz w:val="24"/>
                <w:szCs w:val="24"/>
              </w:rPr>
              <w:t>498,164</w:t>
            </w:r>
          </w:p>
        </w:tc>
        <w:tc>
          <w:tcPr>
            <w:tcW w:w="1924" w:type="dxa"/>
            <w:vAlign w:val="center"/>
          </w:tcPr>
          <w:p w:rsidR="00A211ED" w:rsidRDefault="003068D1">
            <w:pPr>
              <w:jc w:val="right"/>
            </w:pPr>
            <w:r>
              <w:rPr>
                <w:color w:val="000000"/>
                <w:sz w:val="24"/>
                <w:szCs w:val="24"/>
              </w:rPr>
              <w:t>8,090,183.36</w:t>
            </w:r>
          </w:p>
        </w:tc>
        <w:tc>
          <w:tcPr>
            <w:tcW w:w="1644" w:type="dxa"/>
            <w:vAlign w:val="center"/>
          </w:tcPr>
          <w:p w:rsidR="00A211ED" w:rsidRDefault="003068D1">
            <w:pPr>
              <w:jc w:val="right"/>
            </w:pPr>
            <w:r>
              <w:rPr>
                <w:color w:val="000000"/>
                <w:sz w:val="24"/>
                <w:szCs w:val="24"/>
              </w:rPr>
              <w:t>5.02</w:t>
            </w:r>
          </w:p>
        </w:tc>
      </w:tr>
      <w:tr w:rsidR="00A211ED">
        <w:trPr>
          <w:jc w:val="center"/>
        </w:trPr>
        <w:tc>
          <w:tcPr>
            <w:tcW w:w="855" w:type="dxa"/>
            <w:vAlign w:val="center"/>
          </w:tcPr>
          <w:p w:rsidR="00A211ED" w:rsidRDefault="003068D1">
            <w:pPr>
              <w:jc w:val="center"/>
            </w:pPr>
            <w:r>
              <w:rPr>
                <w:color w:val="000000"/>
                <w:sz w:val="24"/>
                <w:szCs w:val="24"/>
              </w:rPr>
              <w:t>3</w:t>
            </w:r>
          </w:p>
        </w:tc>
        <w:tc>
          <w:tcPr>
            <w:tcW w:w="1334" w:type="dxa"/>
            <w:vAlign w:val="center"/>
          </w:tcPr>
          <w:p w:rsidR="00A211ED" w:rsidRDefault="003068D1">
            <w:pPr>
              <w:jc w:val="center"/>
            </w:pPr>
            <w:r>
              <w:rPr>
                <w:color w:val="000000"/>
                <w:sz w:val="24"/>
                <w:szCs w:val="24"/>
              </w:rPr>
              <w:t>002027</w:t>
            </w:r>
          </w:p>
        </w:tc>
        <w:tc>
          <w:tcPr>
            <w:tcW w:w="1777" w:type="dxa"/>
            <w:vAlign w:val="center"/>
          </w:tcPr>
          <w:p w:rsidR="00A211ED" w:rsidRDefault="003068D1">
            <w:pPr>
              <w:jc w:val="center"/>
            </w:pPr>
            <w:r>
              <w:rPr>
                <w:color w:val="000000"/>
                <w:sz w:val="24"/>
                <w:szCs w:val="24"/>
              </w:rPr>
              <w:t>分众传媒</w:t>
            </w:r>
          </w:p>
        </w:tc>
        <w:tc>
          <w:tcPr>
            <w:tcW w:w="1334" w:type="dxa"/>
            <w:vAlign w:val="center"/>
          </w:tcPr>
          <w:p w:rsidR="00A211ED" w:rsidRDefault="003068D1">
            <w:pPr>
              <w:jc w:val="right"/>
            </w:pPr>
            <w:r>
              <w:rPr>
                <w:color w:val="000000"/>
                <w:sz w:val="24"/>
                <w:szCs w:val="24"/>
              </w:rPr>
              <w:t>778,226</w:t>
            </w:r>
          </w:p>
        </w:tc>
        <w:tc>
          <w:tcPr>
            <w:tcW w:w="1924" w:type="dxa"/>
            <w:vAlign w:val="center"/>
          </w:tcPr>
          <w:p w:rsidR="00A211ED" w:rsidRDefault="003068D1">
            <w:pPr>
              <w:jc w:val="right"/>
            </w:pPr>
            <w:r>
              <w:rPr>
                <w:color w:val="000000"/>
                <w:sz w:val="24"/>
                <w:szCs w:val="24"/>
              </w:rPr>
              <w:t>7,447,622.82</w:t>
            </w:r>
          </w:p>
        </w:tc>
        <w:tc>
          <w:tcPr>
            <w:tcW w:w="1644" w:type="dxa"/>
            <w:vAlign w:val="center"/>
          </w:tcPr>
          <w:p w:rsidR="00A211ED" w:rsidRDefault="003068D1">
            <w:pPr>
              <w:jc w:val="right"/>
            </w:pPr>
            <w:r>
              <w:rPr>
                <w:color w:val="000000"/>
                <w:sz w:val="24"/>
                <w:szCs w:val="24"/>
              </w:rPr>
              <w:t>4.62</w:t>
            </w:r>
          </w:p>
        </w:tc>
      </w:tr>
      <w:tr w:rsidR="00A211ED">
        <w:trPr>
          <w:jc w:val="center"/>
        </w:trPr>
        <w:tc>
          <w:tcPr>
            <w:tcW w:w="855" w:type="dxa"/>
            <w:vAlign w:val="center"/>
          </w:tcPr>
          <w:p w:rsidR="00A211ED" w:rsidRDefault="003068D1">
            <w:pPr>
              <w:jc w:val="center"/>
            </w:pPr>
            <w:r>
              <w:rPr>
                <w:color w:val="000000"/>
                <w:sz w:val="24"/>
                <w:szCs w:val="24"/>
              </w:rPr>
              <w:t>4</w:t>
            </w:r>
          </w:p>
        </w:tc>
        <w:tc>
          <w:tcPr>
            <w:tcW w:w="1334" w:type="dxa"/>
            <w:vAlign w:val="center"/>
          </w:tcPr>
          <w:p w:rsidR="00A211ED" w:rsidRDefault="003068D1">
            <w:pPr>
              <w:jc w:val="center"/>
            </w:pPr>
            <w:r>
              <w:rPr>
                <w:color w:val="000000"/>
                <w:sz w:val="24"/>
                <w:szCs w:val="24"/>
              </w:rPr>
              <w:t>603108</w:t>
            </w:r>
          </w:p>
        </w:tc>
        <w:tc>
          <w:tcPr>
            <w:tcW w:w="1777" w:type="dxa"/>
            <w:vAlign w:val="center"/>
          </w:tcPr>
          <w:p w:rsidR="00A211ED" w:rsidRDefault="003068D1">
            <w:pPr>
              <w:jc w:val="center"/>
            </w:pPr>
            <w:r>
              <w:rPr>
                <w:color w:val="000000"/>
                <w:sz w:val="24"/>
                <w:szCs w:val="24"/>
              </w:rPr>
              <w:t>润达医疗</w:t>
            </w:r>
          </w:p>
        </w:tc>
        <w:tc>
          <w:tcPr>
            <w:tcW w:w="1334" w:type="dxa"/>
            <w:vAlign w:val="center"/>
          </w:tcPr>
          <w:p w:rsidR="00A211ED" w:rsidRDefault="003068D1">
            <w:pPr>
              <w:jc w:val="right"/>
            </w:pPr>
            <w:r>
              <w:rPr>
                <w:color w:val="000000"/>
                <w:sz w:val="24"/>
                <w:szCs w:val="24"/>
              </w:rPr>
              <w:t>603,316</w:t>
            </w:r>
          </w:p>
        </w:tc>
        <w:tc>
          <w:tcPr>
            <w:tcW w:w="1924" w:type="dxa"/>
            <w:vAlign w:val="center"/>
          </w:tcPr>
          <w:p w:rsidR="00A211ED" w:rsidRDefault="003068D1">
            <w:pPr>
              <w:jc w:val="right"/>
            </w:pPr>
            <w:r>
              <w:rPr>
                <w:color w:val="000000"/>
                <w:sz w:val="24"/>
                <w:szCs w:val="24"/>
              </w:rPr>
              <w:t>6,769,205.52</w:t>
            </w:r>
          </w:p>
        </w:tc>
        <w:tc>
          <w:tcPr>
            <w:tcW w:w="1644" w:type="dxa"/>
            <w:vAlign w:val="center"/>
          </w:tcPr>
          <w:p w:rsidR="00A211ED" w:rsidRDefault="003068D1">
            <w:pPr>
              <w:jc w:val="right"/>
            </w:pPr>
            <w:r>
              <w:rPr>
                <w:color w:val="000000"/>
                <w:sz w:val="24"/>
                <w:szCs w:val="24"/>
              </w:rPr>
              <w:t>4.20</w:t>
            </w:r>
          </w:p>
        </w:tc>
      </w:tr>
      <w:tr w:rsidR="00A211ED">
        <w:trPr>
          <w:jc w:val="center"/>
        </w:trPr>
        <w:tc>
          <w:tcPr>
            <w:tcW w:w="855" w:type="dxa"/>
            <w:vAlign w:val="center"/>
          </w:tcPr>
          <w:p w:rsidR="00A211ED" w:rsidRDefault="003068D1">
            <w:pPr>
              <w:jc w:val="center"/>
            </w:pPr>
            <w:r>
              <w:rPr>
                <w:color w:val="000000"/>
                <w:sz w:val="24"/>
                <w:szCs w:val="24"/>
              </w:rPr>
              <w:t>5</w:t>
            </w:r>
          </w:p>
        </w:tc>
        <w:tc>
          <w:tcPr>
            <w:tcW w:w="1334" w:type="dxa"/>
            <w:vAlign w:val="center"/>
          </w:tcPr>
          <w:p w:rsidR="00A211ED" w:rsidRDefault="003068D1">
            <w:pPr>
              <w:jc w:val="center"/>
            </w:pPr>
            <w:r>
              <w:rPr>
                <w:color w:val="000000"/>
                <w:sz w:val="24"/>
                <w:szCs w:val="24"/>
              </w:rPr>
              <w:t>000538</w:t>
            </w:r>
          </w:p>
        </w:tc>
        <w:tc>
          <w:tcPr>
            <w:tcW w:w="1777" w:type="dxa"/>
            <w:vAlign w:val="center"/>
          </w:tcPr>
          <w:p w:rsidR="00A211ED" w:rsidRDefault="003068D1">
            <w:pPr>
              <w:jc w:val="center"/>
            </w:pPr>
            <w:r>
              <w:rPr>
                <w:color w:val="000000"/>
                <w:sz w:val="24"/>
                <w:szCs w:val="24"/>
              </w:rPr>
              <w:t>云南白药</w:t>
            </w:r>
          </w:p>
        </w:tc>
        <w:tc>
          <w:tcPr>
            <w:tcW w:w="1334" w:type="dxa"/>
            <w:vAlign w:val="center"/>
          </w:tcPr>
          <w:p w:rsidR="00A211ED" w:rsidRDefault="003068D1">
            <w:pPr>
              <w:jc w:val="right"/>
            </w:pPr>
            <w:r>
              <w:rPr>
                <w:color w:val="000000"/>
                <w:sz w:val="24"/>
                <w:szCs w:val="24"/>
              </w:rPr>
              <w:t>57,570</w:t>
            </w:r>
          </w:p>
        </w:tc>
        <w:tc>
          <w:tcPr>
            <w:tcW w:w="1924" w:type="dxa"/>
            <w:vAlign w:val="center"/>
          </w:tcPr>
          <w:p w:rsidR="00A211ED" w:rsidRDefault="003068D1">
            <w:pPr>
              <w:jc w:val="right"/>
            </w:pPr>
            <w:r>
              <w:rPr>
                <w:color w:val="000000"/>
                <w:sz w:val="24"/>
                <w:szCs w:val="24"/>
              </w:rPr>
              <w:t>6,157,687.20</w:t>
            </w:r>
          </w:p>
        </w:tc>
        <w:tc>
          <w:tcPr>
            <w:tcW w:w="1644" w:type="dxa"/>
            <w:vAlign w:val="center"/>
          </w:tcPr>
          <w:p w:rsidR="00A211ED" w:rsidRDefault="003068D1">
            <w:pPr>
              <w:jc w:val="right"/>
            </w:pPr>
            <w:r>
              <w:rPr>
                <w:color w:val="000000"/>
                <w:sz w:val="24"/>
                <w:szCs w:val="24"/>
              </w:rPr>
              <w:t>3.82</w:t>
            </w:r>
          </w:p>
        </w:tc>
      </w:tr>
      <w:tr w:rsidR="00A211ED">
        <w:trPr>
          <w:jc w:val="center"/>
        </w:trPr>
        <w:tc>
          <w:tcPr>
            <w:tcW w:w="855" w:type="dxa"/>
            <w:vAlign w:val="center"/>
          </w:tcPr>
          <w:p w:rsidR="00A211ED" w:rsidRDefault="003068D1">
            <w:pPr>
              <w:jc w:val="center"/>
            </w:pPr>
            <w:r>
              <w:rPr>
                <w:color w:val="000000"/>
                <w:sz w:val="24"/>
                <w:szCs w:val="24"/>
              </w:rPr>
              <w:t>6</w:t>
            </w:r>
          </w:p>
        </w:tc>
        <w:tc>
          <w:tcPr>
            <w:tcW w:w="1334" w:type="dxa"/>
            <w:vAlign w:val="center"/>
          </w:tcPr>
          <w:p w:rsidR="00A211ED" w:rsidRDefault="003068D1">
            <w:pPr>
              <w:jc w:val="center"/>
            </w:pPr>
            <w:r>
              <w:rPr>
                <w:color w:val="000000"/>
                <w:sz w:val="24"/>
                <w:szCs w:val="24"/>
              </w:rPr>
              <w:t>600036</w:t>
            </w:r>
          </w:p>
        </w:tc>
        <w:tc>
          <w:tcPr>
            <w:tcW w:w="1777" w:type="dxa"/>
            <w:vAlign w:val="center"/>
          </w:tcPr>
          <w:p w:rsidR="00A211ED" w:rsidRDefault="003068D1">
            <w:pPr>
              <w:jc w:val="center"/>
            </w:pPr>
            <w:r>
              <w:rPr>
                <w:color w:val="000000"/>
                <w:sz w:val="24"/>
                <w:szCs w:val="24"/>
              </w:rPr>
              <w:t>招商银行</w:t>
            </w:r>
          </w:p>
        </w:tc>
        <w:tc>
          <w:tcPr>
            <w:tcW w:w="1334" w:type="dxa"/>
            <w:vAlign w:val="center"/>
          </w:tcPr>
          <w:p w:rsidR="00A211ED" w:rsidRDefault="003068D1">
            <w:pPr>
              <w:jc w:val="right"/>
            </w:pPr>
            <w:r>
              <w:rPr>
                <w:color w:val="000000"/>
                <w:sz w:val="24"/>
                <w:szCs w:val="24"/>
              </w:rPr>
              <w:t>211,300</w:t>
            </w:r>
          </w:p>
        </w:tc>
        <w:tc>
          <w:tcPr>
            <w:tcW w:w="1924" w:type="dxa"/>
            <w:vAlign w:val="center"/>
          </w:tcPr>
          <w:p w:rsidR="00A211ED" w:rsidRDefault="003068D1">
            <w:pPr>
              <w:jc w:val="right"/>
            </w:pPr>
            <w:r>
              <w:rPr>
                <w:color w:val="000000"/>
                <w:sz w:val="24"/>
                <w:szCs w:val="24"/>
              </w:rPr>
              <w:t>5,586,772.00</w:t>
            </w:r>
          </w:p>
        </w:tc>
        <w:tc>
          <w:tcPr>
            <w:tcW w:w="1644" w:type="dxa"/>
            <w:vAlign w:val="center"/>
          </w:tcPr>
          <w:p w:rsidR="00A211ED" w:rsidRDefault="003068D1">
            <w:pPr>
              <w:jc w:val="right"/>
            </w:pPr>
            <w:r>
              <w:rPr>
                <w:color w:val="000000"/>
                <w:sz w:val="24"/>
                <w:szCs w:val="24"/>
              </w:rPr>
              <w:t>3.47</w:t>
            </w:r>
          </w:p>
        </w:tc>
      </w:tr>
      <w:tr w:rsidR="00A211ED">
        <w:trPr>
          <w:jc w:val="center"/>
        </w:trPr>
        <w:tc>
          <w:tcPr>
            <w:tcW w:w="855" w:type="dxa"/>
            <w:vAlign w:val="center"/>
          </w:tcPr>
          <w:p w:rsidR="00A211ED" w:rsidRDefault="003068D1">
            <w:pPr>
              <w:jc w:val="center"/>
            </w:pPr>
            <w:r>
              <w:rPr>
                <w:color w:val="000000"/>
                <w:sz w:val="24"/>
                <w:szCs w:val="24"/>
              </w:rPr>
              <w:t>7</w:t>
            </w:r>
          </w:p>
        </w:tc>
        <w:tc>
          <w:tcPr>
            <w:tcW w:w="1334" w:type="dxa"/>
            <w:vAlign w:val="center"/>
          </w:tcPr>
          <w:p w:rsidR="00A211ED" w:rsidRDefault="003068D1">
            <w:pPr>
              <w:jc w:val="center"/>
            </w:pPr>
            <w:r>
              <w:rPr>
                <w:color w:val="000000"/>
                <w:sz w:val="24"/>
                <w:szCs w:val="24"/>
              </w:rPr>
              <w:t>300347</w:t>
            </w:r>
          </w:p>
        </w:tc>
        <w:tc>
          <w:tcPr>
            <w:tcW w:w="1777" w:type="dxa"/>
            <w:vAlign w:val="center"/>
          </w:tcPr>
          <w:p w:rsidR="00A211ED" w:rsidRDefault="003068D1">
            <w:pPr>
              <w:jc w:val="center"/>
            </w:pPr>
            <w:r>
              <w:rPr>
                <w:color w:val="000000"/>
                <w:sz w:val="24"/>
                <w:szCs w:val="24"/>
              </w:rPr>
              <w:t>泰格医药</w:t>
            </w:r>
          </w:p>
        </w:tc>
        <w:tc>
          <w:tcPr>
            <w:tcW w:w="1334" w:type="dxa"/>
            <w:vAlign w:val="center"/>
          </w:tcPr>
          <w:p w:rsidR="00A211ED" w:rsidRDefault="003068D1">
            <w:pPr>
              <w:jc w:val="right"/>
            </w:pPr>
            <w:r>
              <w:rPr>
                <w:color w:val="000000"/>
                <w:sz w:val="24"/>
                <w:szCs w:val="24"/>
              </w:rPr>
              <w:t>35,737</w:t>
            </w:r>
          </w:p>
        </w:tc>
        <w:tc>
          <w:tcPr>
            <w:tcW w:w="1924" w:type="dxa"/>
            <w:vAlign w:val="center"/>
          </w:tcPr>
          <w:p w:rsidR="00A211ED" w:rsidRDefault="003068D1">
            <w:pPr>
              <w:jc w:val="right"/>
            </w:pPr>
            <w:r>
              <w:rPr>
                <w:color w:val="000000"/>
                <w:sz w:val="24"/>
                <w:szCs w:val="24"/>
              </w:rPr>
              <w:t>2,211,048.19</w:t>
            </w:r>
          </w:p>
        </w:tc>
        <w:tc>
          <w:tcPr>
            <w:tcW w:w="1644" w:type="dxa"/>
            <w:vAlign w:val="center"/>
          </w:tcPr>
          <w:p w:rsidR="00A211ED" w:rsidRDefault="003068D1">
            <w:pPr>
              <w:jc w:val="right"/>
            </w:pPr>
            <w:r>
              <w:rPr>
                <w:color w:val="000000"/>
                <w:sz w:val="24"/>
                <w:szCs w:val="24"/>
              </w:rPr>
              <w:t>1.37</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6,975,604.02</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4.33</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6,975,604.02</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4.33</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A211ED">
        <w:trPr>
          <w:jc w:val="center"/>
        </w:trPr>
        <w:tc>
          <w:tcPr>
            <w:tcW w:w="850" w:type="dxa"/>
            <w:vAlign w:val="center"/>
          </w:tcPr>
          <w:p w:rsidR="00A211ED" w:rsidRDefault="003068D1">
            <w:pPr>
              <w:jc w:val="center"/>
            </w:pPr>
            <w:r>
              <w:rPr>
                <w:color w:val="000000"/>
                <w:sz w:val="24"/>
                <w:szCs w:val="24"/>
              </w:rPr>
              <w:t>1</w:t>
            </w:r>
          </w:p>
        </w:tc>
        <w:tc>
          <w:tcPr>
            <w:tcW w:w="1475" w:type="dxa"/>
            <w:vAlign w:val="center"/>
          </w:tcPr>
          <w:p w:rsidR="00A211ED" w:rsidRDefault="003068D1">
            <w:pPr>
              <w:jc w:val="center"/>
            </w:pPr>
            <w:r>
              <w:rPr>
                <w:color w:val="000000"/>
                <w:sz w:val="24"/>
                <w:szCs w:val="24"/>
              </w:rPr>
              <w:t>128024</w:t>
            </w:r>
          </w:p>
        </w:tc>
        <w:tc>
          <w:tcPr>
            <w:tcW w:w="1769" w:type="dxa"/>
            <w:vAlign w:val="center"/>
          </w:tcPr>
          <w:p w:rsidR="00A211ED" w:rsidRDefault="003068D1">
            <w:pPr>
              <w:jc w:val="center"/>
            </w:pPr>
            <w:r>
              <w:rPr>
                <w:color w:val="000000"/>
                <w:sz w:val="24"/>
                <w:szCs w:val="24"/>
              </w:rPr>
              <w:t>宁行转债</w:t>
            </w:r>
          </w:p>
        </w:tc>
        <w:tc>
          <w:tcPr>
            <w:tcW w:w="1387" w:type="dxa"/>
            <w:vAlign w:val="center"/>
          </w:tcPr>
          <w:p w:rsidR="00A211ED" w:rsidRDefault="003068D1">
            <w:pPr>
              <w:jc w:val="right"/>
            </w:pPr>
            <w:r>
              <w:rPr>
                <w:color w:val="000000"/>
                <w:sz w:val="24"/>
                <w:szCs w:val="24"/>
              </w:rPr>
              <w:t>66,682</w:t>
            </w:r>
          </w:p>
        </w:tc>
        <w:tc>
          <w:tcPr>
            <w:tcW w:w="2150" w:type="dxa"/>
            <w:vAlign w:val="center"/>
          </w:tcPr>
          <w:p w:rsidR="00A211ED" w:rsidRDefault="003068D1">
            <w:pPr>
              <w:jc w:val="right"/>
            </w:pPr>
            <w:r>
              <w:rPr>
                <w:color w:val="000000"/>
                <w:sz w:val="24"/>
                <w:szCs w:val="24"/>
              </w:rPr>
              <w:t>6,975,604.02</w:t>
            </w:r>
          </w:p>
        </w:tc>
        <w:tc>
          <w:tcPr>
            <w:tcW w:w="1237" w:type="dxa"/>
            <w:vAlign w:val="center"/>
          </w:tcPr>
          <w:p w:rsidR="00A211ED" w:rsidRDefault="003068D1">
            <w:pPr>
              <w:jc w:val="right"/>
            </w:pPr>
            <w:r>
              <w:rPr>
                <w:color w:val="000000"/>
                <w:sz w:val="24"/>
                <w:szCs w:val="24"/>
              </w:rPr>
              <w:t>4.33</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51,217.75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27,666.75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2,868.09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81,752.59</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1883"/>
        <w:gridCol w:w="1801"/>
        <w:gridCol w:w="1727"/>
        <w:gridCol w:w="1768"/>
        <w:gridCol w:w="1689"/>
      </w:tblGrid>
      <w:tr w:rsidR="003E62FB" w:rsidRPr="00414345" w:rsidTr="00A324F4">
        <w:trPr>
          <w:jc w:val="center"/>
        </w:trPr>
        <w:tc>
          <w:tcPr>
            <w:tcW w:w="180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lastRenderedPageBreak/>
              <w:t>序号</w:t>
            </w:r>
          </w:p>
        </w:tc>
        <w:tc>
          <w:tcPr>
            <w:tcW w:w="1729"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65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69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2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D046DB" w:rsidRPr="00414345">
              <w:rPr>
                <w:color w:val="000000"/>
                <w:sz w:val="24"/>
                <w:szCs w:val="24"/>
              </w:rPr>
              <w:t>(</w:t>
            </w:r>
            <w:r w:rsidR="00D046DB" w:rsidRPr="00414345">
              <w:rPr>
                <w:color w:val="000000"/>
                <w:sz w:val="24"/>
                <w:szCs w:val="24"/>
              </w:rPr>
              <w:t>％</w:t>
            </w:r>
            <w:r w:rsidR="00D046DB" w:rsidRPr="00414345">
              <w:rPr>
                <w:color w:val="000000"/>
                <w:sz w:val="24"/>
                <w:szCs w:val="24"/>
              </w:rPr>
              <w:t>)</w:t>
            </w:r>
          </w:p>
        </w:tc>
      </w:tr>
      <w:tr w:rsidR="00A211ED">
        <w:trPr>
          <w:jc w:val="center"/>
        </w:trPr>
        <w:tc>
          <w:tcPr>
            <w:tcW w:w="1883" w:type="dxa"/>
            <w:vAlign w:val="center"/>
          </w:tcPr>
          <w:p w:rsidR="00A211ED" w:rsidRDefault="003068D1">
            <w:pPr>
              <w:jc w:val="center"/>
            </w:pPr>
            <w:r>
              <w:rPr>
                <w:color w:val="000000"/>
                <w:sz w:val="24"/>
                <w:szCs w:val="24"/>
              </w:rPr>
              <w:t>1</w:t>
            </w:r>
          </w:p>
        </w:tc>
        <w:tc>
          <w:tcPr>
            <w:tcW w:w="1801" w:type="dxa"/>
            <w:vAlign w:val="center"/>
          </w:tcPr>
          <w:p w:rsidR="00A211ED" w:rsidRDefault="003068D1">
            <w:pPr>
              <w:jc w:val="center"/>
            </w:pPr>
            <w:r>
              <w:rPr>
                <w:color w:val="000000"/>
                <w:sz w:val="24"/>
                <w:szCs w:val="24"/>
              </w:rPr>
              <w:t>128024</w:t>
            </w:r>
          </w:p>
        </w:tc>
        <w:tc>
          <w:tcPr>
            <w:tcW w:w="1727" w:type="dxa"/>
            <w:vAlign w:val="center"/>
          </w:tcPr>
          <w:p w:rsidR="00A211ED" w:rsidRDefault="003068D1">
            <w:pPr>
              <w:jc w:val="center"/>
            </w:pPr>
            <w:r>
              <w:rPr>
                <w:color w:val="000000"/>
                <w:sz w:val="24"/>
                <w:szCs w:val="24"/>
              </w:rPr>
              <w:t>宁行转债</w:t>
            </w:r>
          </w:p>
        </w:tc>
        <w:tc>
          <w:tcPr>
            <w:tcW w:w="1768" w:type="dxa"/>
            <w:vAlign w:val="center"/>
          </w:tcPr>
          <w:p w:rsidR="00A211ED" w:rsidRDefault="003068D1">
            <w:pPr>
              <w:jc w:val="right"/>
            </w:pPr>
            <w:r>
              <w:rPr>
                <w:color w:val="000000"/>
                <w:sz w:val="24"/>
                <w:szCs w:val="24"/>
              </w:rPr>
              <w:t>6,975,604.02</w:t>
            </w:r>
          </w:p>
        </w:tc>
        <w:tc>
          <w:tcPr>
            <w:tcW w:w="1689" w:type="dxa"/>
            <w:vAlign w:val="center"/>
          </w:tcPr>
          <w:p w:rsidR="00A211ED" w:rsidRDefault="003068D1">
            <w:pPr>
              <w:jc w:val="right"/>
            </w:pPr>
            <w:r>
              <w:rPr>
                <w:color w:val="000000"/>
                <w:sz w:val="24"/>
                <w:szCs w:val="24"/>
              </w:rPr>
              <w:t>4.33</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F3E2A">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1F3E2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1F3E2A" w:rsidRPr="00575270" w:rsidRDefault="001F3E2A" w:rsidP="001F3E2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Pr="00414345" w:rsidRDefault="00F201B5" w:rsidP="00C15CAC">
      <w:pPr>
        <w:spacing w:before="29" w:line="288" w:lineRule="auto"/>
        <w:ind w:firstLineChars="200" w:firstLine="480"/>
        <w:rPr>
          <w:color w:val="000000"/>
          <w:sz w:val="24"/>
          <w:szCs w:val="24"/>
        </w:rPr>
      </w:pPr>
      <w:r w:rsidRPr="00575270">
        <w:rPr>
          <w:rFonts w:eastAsiaTheme="minorEastAsia" w:hint="eastAsia"/>
          <w:color w:val="000000" w:themeColor="text1"/>
          <w:sz w:val="24"/>
          <w:szCs w:val="24"/>
        </w:rPr>
        <w:t>无。</w:t>
      </w:r>
      <w:bookmarkStart w:id="0" w:name="_GoBack"/>
      <w:bookmarkEnd w:id="0"/>
    </w:p>
    <w:p w:rsidR="004061AC" w:rsidRPr="005A3D62" w:rsidRDefault="004061AC" w:rsidP="005A3D62">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200,452,032.14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624,203.04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44,848,738.21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156,227,496.97</w:t>
            </w:r>
          </w:p>
        </w:tc>
      </w:tr>
    </w:tbl>
    <w:p w:rsidR="00A211ED" w:rsidRDefault="003068D1">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7B5F21">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lastRenderedPageBreak/>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A211ED" w:rsidRDefault="003068D1">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、中国证监会准予交银施罗德恒益灵活配置混合型证券投资基金募集注册的文件；</w:t>
      </w:r>
      <w:r>
        <w:rPr>
          <w:color w:val="000000"/>
          <w:sz w:val="24"/>
          <w:szCs w:val="24"/>
        </w:rPr>
        <w:t xml:space="preserve"> </w:t>
      </w:r>
    </w:p>
    <w:p w:rsidR="00A211ED" w:rsidRDefault="003068D1">
      <w:pPr>
        <w:spacing w:before="29" w:line="288" w:lineRule="auto"/>
        <w:ind w:firstLineChars="200" w:firstLine="480"/>
        <w:rPr>
          <w:color w:val="000000"/>
          <w:sz w:val="24"/>
          <w:szCs w:val="24"/>
        </w:rPr>
      </w:pPr>
      <w:r>
        <w:rPr>
          <w:color w:val="000000"/>
          <w:sz w:val="24"/>
          <w:szCs w:val="24"/>
        </w:rPr>
        <w:t>2</w:t>
      </w:r>
      <w:r>
        <w:rPr>
          <w:color w:val="000000"/>
          <w:sz w:val="24"/>
          <w:szCs w:val="24"/>
        </w:rPr>
        <w:t>、《交银施罗德恒益灵活配置混合型证券投资基金基金合同》；</w:t>
      </w:r>
      <w:r>
        <w:rPr>
          <w:color w:val="000000"/>
          <w:sz w:val="24"/>
          <w:szCs w:val="24"/>
        </w:rPr>
        <w:t xml:space="preserve"> </w:t>
      </w:r>
    </w:p>
    <w:p w:rsidR="00A211ED" w:rsidRDefault="003068D1">
      <w:pPr>
        <w:spacing w:before="29" w:line="288" w:lineRule="auto"/>
        <w:ind w:firstLineChars="200" w:firstLine="480"/>
        <w:rPr>
          <w:color w:val="000000"/>
          <w:sz w:val="24"/>
          <w:szCs w:val="24"/>
        </w:rPr>
      </w:pPr>
      <w:r>
        <w:rPr>
          <w:color w:val="000000"/>
          <w:sz w:val="24"/>
          <w:szCs w:val="24"/>
        </w:rPr>
        <w:t>3</w:t>
      </w:r>
      <w:r>
        <w:rPr>
          <w:color w:val="000000"/>
          <w:sz w:val="24"/>
          <w:szCs w:val="24"/>
        </w:rPr>
        <w:t>、《交银施罗德恒益灵活配置混合型证券投资基金招募说明书》；</w:t>
      </w:r>
      <w:r>
        <w:rPr>
          <w:color w:val="000000"/>
          <w:sz w:val="24"/>
          <w:szCs w:val="24"/>
        </w:rPr>
        <w:t xml:space="preserve"> </w:t>
      </w:r>
    </w:p>
    <w:p w:rsidR="00A211ED" w:rsidRDefault="003068D1">
      <w:pPr>
        <w:spacing w:before="29" w:line="288" w:lineRule="auto"/>
        <w:ind w:firstLineChars="200" w:firstLine="480"/>
        <w:rPr>
          <w:color w:val="000000"/>
          <w:sz w:val="24"/>
          <w:szCs w:val="24"/>
        </w:rPr>
      </w:pPr>
      <w:r>
        <w:rPr>
          <w:color w:val="000000"/>
          <w:sz w:val="24"/>
          <w:szCs w:val="24"/>
        </w:rPr>
        <w:t>4</w:t>
      </w:r>
      <w:r>
        <w:rPr>
          <w:color w:val="000000"/>
          <w:sz w:val="24"/>
          <w:szCs w:val="24"/>
        </w:rPr>
        <w:t>、《交银施罗德恒益灵活配置混合型证券投资基金托管协议》；</w:t>
      </w:r>
      <w:r>
        <w:rPr>
          <w:color w:val="000000"/>
          <w:sz w:val="24"/>
          <w:szCs w:val="24"/>
        </w:rPr>
        <w:t xml:space="preserve"> </w:t>
      </w:r>
    </w:p>
    <w:p w:rsidR="00A211ED" w:rsidRDefault="003068D1">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、关于申请募集注册交银施罗德恒益灵活配置混合型证券投资基金的法律意见书；</w:t>
      </w:r>
      <w:r>
        <w:rPr>
          <w:color w:val="000000"/>
          <w:sz w:val="24"/>
          <w:szCs w:val="24"/>
        </w:rPr>
        <w:t xml:space="preserve"> </w:t>
      </w:r>
    </w:p>
    <w:p w:rsidR="00A211ED" w:rsidRDefault="003068D1">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A211ED" w:rsidRDefault="003068D1">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、报告期内交银施罗德恒益灵活配置混合型证券投资基金在指定报刊上各项公告的原稿。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211ED" w:rsidRDefault="003068D1">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D1" w:rsidRDefault="003068D1" w:rsidP="00876D65">
      <w:r>
        <w:separator/>
      </w:r>
    </w:p>
  </w:endnote>
  <w:endnote w:type="continuationSeparator" w:id="0">
    <w:p w:rsidR="003068D1" w:rsidRDefault="003068D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006A28">
      <w:rPr>
        <w:kern w:val="0"/>
        <w:szCs w:val="21"/>
      </w:rPr>
      <w:fldChar w:fldCharType="begin"/>
    </w:r>
    <w:r>
      <w:rPr>
        <w:kern w:val="0"/>
        <w:szCs w:val="21"/>
      </w:rPr>
      <w:instrText xml:space="preserve"> PAGE </w:instrText>
    </w:r>
    <w:r w:rsidR="00006A28">
      <w:rPr>
        <w:kern w:val="0"/>
        <w:szCs w:val="21"/>
      </w:rPr>
      <w:fldChar w:fldCharType="separate"/>
    </w:r>
    <w:r w:rsidR="00F201B5">
      <w:rPr>
        <w:noProof/>
        <w:kern w:val="0"/>
        <w:szCs w:val="21"/>
      </w:rPr>
      <w:t>10</w:t>
    </w:r>
    <w:r w:rsidR="00006A28">
      <w:rPr>
        <w:kern w:val="0"/>
        <w:szCs w:val="21"/>
      </w:rPr>
      <w:fldChar w:fldCharType="end"/>
    </w:r>
    <w:r>
      <w:rPr>
        <w:rFonts w:hint="eastAsia"/>
        <w:kern w:val="0"/>
        <w:szCs w:val="21"/>
      </w:rPr>
      <w:t>页共</w:t>
    </w:r>
    <w:r w:rsidR="00006A28">
      <w:rPr>
        <w:kern w:val="0"/>
        <w:szCs w:val="21"/>
      </w:rPr>
      <w:fldChar w:fldCharType="begin"/>
    </w:r>
    <w:r>
      <w:rPr>
        <w:kern w:val="0"/>
        <w:szCs w:val="21"/>
      </w:rPr>
      <w:instrText xml:space="preserve"> NUMPAGES </w:instrText>
    </w:r>
    <w:r w:rsidR="00006A28">
      <w:rPr>
        <w:kern w:val="0"/>
        <w:szCs w:val="21"/>
      </w:rPr>
      <w:fldChar w:fldCharType="separate"/>
    </w:r>
    <w:r w:rsidR="00F201B5">
      <w:rPr>
        <w:noProof/>
        <w:kern w:val="0"/>
        <w:szCs w:val="21"/>
      </w:rPr>
      <w:t>11</w:t>
    </w:r>
    <w:r w:rsidR="00006A2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D1" w:rsidRDefault="003068D1" w:rsidP="00876D65">
      <w:r>
        <w:separator/>
      </w:r>
    </w:p>
  </w:footnote>
  <w:footnote w:type="continuationSeparator" w:id="0">
    <w:p w:rsidR="003068D1" w:rsidRDefault="003068D1"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交银施罗德恒益灵活配置混合型证券投资基金</w:t>
    </w:r>
    <w:r w:rsidRPr="003E676C">
      <w:rPr>
        <w:sz w:val="24"/>
        <w:szCs w:val="24"/>
      </w:rPr>
      <w:t>2018</w:t>
    </w:r>
    <w:r w:rsidRPr="003E676C">
      <w:rPr>
        <w:sz w:val="24"/>
        <w:szCs w:val="24"/>
      </w:rPr>
      <w:t>年第</w:t>
    </w:r>
    <w:r w:rsidRPr="003E676C">
      <w:rPr>
        <w:sz w:val="24"/>
        <w:szCs w:val="24"/>
      </w:rPr>
      <w:t>2</w:t>
    </w:r>
    <w:r w:rsidRPr="003E676C">
      <w:rPr>
        <w:sz w:val="24"/>
        <w:szCs w:val="24"/>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068D1"/>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1ED"/>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1B5"/>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14DB8-F36B-4E44-AAAD-8618D7D1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4D58-8657-4648-BDB0-BC9F7A63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11</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577</cp:revision>
  <dcterms:created xsi:type="dcterms:W3CDTF">2012-10-16T06:07:00Z</dcterms:created>
  <dcterms:modified xsi:type="dcterms:W3CDTF">2018-07-16T08:35:00Z</dcterms:modified>
</cp:coreProperties>
</file>