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bookmarkStart w:id="0" w:name="_GoBack"/>
      <w:bookmarkEnd w:id="0"/>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交银施罗德领先回报灵活配置混合型证券投资基金</w:t>
      </w:r>
    </w:p>
    <w:p w:rsidR="002279D3" w:rsidRPr="0081286B" w:rsidRDefault="002279D3" w:rsidP="00C15CAC">
      <w:pPr>
        <w:spacing w:before="29" w:line="288" w:lineRule="auto"/>
        <w:jc w:val="center"/>
        <w:rPr>
          <w:b/>
          <w:sz w:val="36"/>
          <w:szCs w:val="36"/>
        </w:rPr>
      </w:pPr>
      <w:r w:rsidRPr="0081286B">
        <w:rPr>
          <w:b/>
          <w:sz w:val="36"/>
          <w:szCs w:val="36"/>
        </w:rPr>
        <w:t>2018</w:t>
      </w:r>
      <w:r w:rsidRPr="0081286B">
        <w:rPr>
          <w:b/>
          <w:sz w:val="36"/>
          <w:szCs w:val="36"/>
        </w:rPr>
        <w:t>年第</w:t>
      </w:r>
      <w:r w:rsidRPr="0081286B">
        <w:rPr>
          <w:b/>
          <w:sz w:val="36"/>
          <w:szCs w:val="36"/>
        </w:rPr>
        <w:t>1</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2018</w:t>
      </w:r>
      <w:r w:rsidRPr="0081286B">
        <w:rPr>
          <w:b/>
          <w:sz w:val="36"/>
          <w:szCs w:val="36"/>
        </w:rPr>
        <w:t>年</w:t>
      </w:r>
      <w:r w:rsidRPr="0081286B">
        <w:rPr>
          <w:b/>
          <w:sz w:val="36"/>
          <w:szCs w:val="36"/>
        </w:rPr>
        <w:t>3</w:t>
      </w:r>
      <w:r w:rsidRPr="0081286B">
        <w:rPr>
          <w:b/>
          <w:sz w:val="36"/>
          <w:szCs w:val="36"/>
        </w:rPr>
        <w:t>月</w:t>
      </w:r>
      <w:r w:rsidRPr="0081286B">
        <w:rPr>
          <w:b/>
          <w:sz w:val="36"/>
          <w:szCs w:val="36"/>
        </w:rPr>
        <w:t>31</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基金托管人：招商银行股份有限公司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default" r:id="rId8"/>
          <w:footerReference w:type="default" r:id="rId9"/>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二〇一八年四月二十一日</w:t>
      </w:r>
    </w:p>
    <w:p w:rsidR="004061AC" w:rsidRPr="00414345" w:rsidRDefault="004061AC" w:rsidP="007B5F21">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BC719B" w:rsidRDefault="00790D68">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BC719B" w:rsidRDefault="00790D68">
      <w:pPr>
        <w:spacing w:before="29" w:line="288" w:lineRule="auto"/>
        <w:ind w:firstLineChars="200" w:firstLine="480"/>
        <w:rPr>
          <w:color w:val="000000"/>
          <w:sz w:val="24"/>
          <w:szCs w:val="24"/>
        </w:rPr>
      </w:pPr>
      <w:r>
        <w:rPr>
          <w:color w:val="000000"/>
          <w:sz w:val="24"/>
          <w:szCs w:val="24"/>
        </w:rPr>
        <w:t>基金托管人招商银行股份有限公司根据本基金合同规定，于</w:t>
      </w:r>
      <w:r>
        <w:rPr>
          <w:color w:val="000000"/>
          <w:sz w:val="24"/>
          <w:szCs w:val="24"/>
        </w:rPr>
        <w:t>2018</w:t>
      </w:r>
      <w:r>
        <w:rPr>
          <w:color w:val="000000"/>
          <w:sz w:val="24"/>
          <w:szCs w:val="24"/>
        </w:rPr>
        <w:t>年</w:t>
      </w:r>
      <w:r>
        <w:rPr>
          <w:color w:val="000000"/>
          <w:sz w:val="24"/>
          <w:szCs w:val="24"/>
        </w:rPr>
        <w:t>4</w:t>
      </w:r>
      <w:r>
        <w:rPr>
          <w:color w:val="000000"/>
          <w:sz w:val="24"/>
          <w:szCs w:val="24"/>
        </w:rPr>
        <w:t>月</w:t>
      </w:r>
      <w:r>
        <w:rPr>
          <w:color w:val="000000"/>
          <w:sz w:val="24"/>
          <w:szCs w:val="24"/>
        </w:rPr>
        <w:t>20</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BC719B" w:rsidRDefault="00790D68">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BC719B" w:rsidRDefault="00790D68">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BC719B" w:rsidRDefault="00790D68">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2018</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3</w:t>
      </w:r>
      <w:r w:rsidRPr="00414345">
        <w:rPr>
          <w:color w:val="000000"/>
          <w:sz w:val="24"/>
          <w:szCs w:val="24"/>
        </w:rPr>
        <w:t>月</w:t>
      </w:r>
      <w:r w:rsidRPr="00414345">
        <w:rPr>
          <w:color w:val="000000"/>
          <w:sz w:val="24"/>
          <w:szCs w:val="24"/>
        </w:rPr>
        <w:t>31</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交银领先回报灵活配置混合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519781</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519781</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2016</w:t>
            </w:r>
            <w:r w:rsidRPr="00414345">
              <w:rPr>
                <w:color w:val="000000"/>
                <w:kern w:val="0"/>
                <w:sz w:val="24"/>
                <w:szCs w:val="24"/>
              </w:rPr>
              <w:t>年</w:t>
            </w:r>
            <w:r w:rsidRPr="00414345">
              <w:rPr>
                <w:color w:val="000000"/>
                <w:kern w:val="0"/>
                <w:sz w:val="24"/>
                <w:szCs w:val="24"/>
              </w:rPr>
              <w:t>9</w:t>
            </w:r>
            <w:r w:rsidRPr="00414345">
              <w:rPr>
                <w:color w:val="000000"/>
                <w:kern w:val="0"/>
                <w:sz w:val="24"/>
                <w:szCs w:val="24"/>
              </w:rPr>
              <w:t>月</w:t>
            </w:r>
            <w:r w:rsidRPr="00414345">
              <w:rPr>
                <w:color w:val="000000"/>
                <w:kern w:val="0"/>
                <w:sz w:val="24"/>
                <w:szCs w:val="24"/>
              </w:rPr>
              <w:t>13</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549,667,538.15</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本基金结合基金管理人对宏观经济周期和金融市场运行趋势的判断，深入挖掘和把握市场投资机会来确定投资标的，通过灵活的资产配置策略和积极主动的投资管理，力争获取较高的投资回报。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将结合宏观经济环境、政策形势、证券市场走势的综合分析，评估市场的系统性风险和各类资产的预期收益与风险，灵活运用多种投资策略进行积极的资产配置，合理确定和调整股票、债券等各类资产的投资比例，在保持总体风险水平相对稳定的基础上，力争获取投资组合的较高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50%×</w:t>
            </w: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+50%×</w:t>
            </w:r>
            <w:r w:rsidRPr="00414345">
              <w:rPr>
                <w:color w:val="000000"/>
                <w:kern w:val="0"/>
                <w:sz w:val="24"/>
                <w:szCs w:val="24"/>
              </w:rPr>
              <w:t>中债综合全价指数收益率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招商银行股份有限公司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790D68" w:rsidRPr="00414345" w:rsidTr="00790D68">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(2018</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-2018</w:t>
            </w:r>
            <w:r w:rsidRPr="00414345">
              <w:rPr>
                <w:color w:val="000000"/>
                <w:sz w:val="24"/>
                <w:szCs w:val="24"/>
              </w:rPr>
              <w:t>年</w:t>
            </w:r>
            <w:r w:rsidRPr="00414345">
              <w:rPr>
                <w:color w:val="000000"/>
                <w:sz w:val="24"/>
                <w:szCs w:val="24"/>
              </w:rPr>
              <w:t>3</w:t>
            </w:r>
            <w:r w:rsidRPr="00414345">
              <w:rPr>
                <w:color w:val="000000"/>
                <w:sz w:val="24"/>
                <w:szCs w:val="24"/>
              </w:rPr>
              <w:t>月</w:t>
            </w:r>
            <w:r w:rsidRPr="00414345">
              <w:rPr>
                <w:color w:val="000000"/>
                <w:sz w:val="24"/>
                <w:szCs w:val="24"/>
              </w:rPr>
              <w:t>31</w:t>
            </w:r>
            <w:r w:rsidRPr="00414345">
              <w:rPr>
                <w:color w:val="000000"/>
                <w:sz w:val="24"/>
                <w:szCs w:val="24"/>
              </w:rPr>
              <w:t>日</w:t>
            </w:r>
            <w:r w:rsidRPr="00414345">
              <w:rPr>
                <w:color w:val="000000"/>
                <w:sz w:val="24"/>
                <w:szCs w:val="24"/>
              </w:rPr>
              <w:t>)</w:t>
            </w:r>
          </w:p>
        </w:tc>
      </w:tr>
      <w:tr w:rsidR="00790D68" w:rsidRPr="00414345" w:rsidTr="00790D68">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13,759,570.01</w:t>
            </w:r>
          </w:p>
        </w:tc>
      </w:tr>
      <w:tr w:rsidR="00790D68" w:rsidRPr="00414345" w:rsidTr="00790D68">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5,874,234.10</w:t>
            </w:r>
          </w:p>
        </w:tc>
      </w:tr>
      <w:tr w:rsidR="00790D68" w:rsidRPr="00414345" w:rsidTr="00790D68">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0.0107</w:t>
            </w:r>
          </w:p>
        </w:tc>
      </w:tr>
      <w:tr w:rsidR="00790D68" w:rsidRPr="00414345" w:rsidTr="00790D68">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615,595,054.65</w:t>
            </w:r>
          </w:p>
        </w:tc>
      </w:tr>
      <w:tr w:rsidR="00790D68" w:rsidRPr="00414345" w:rsidTr="00790D68">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1.120</w:t>
            </w:r>
          </w:p>
        </w:tc>
      </w:tr>
    </w:tbl>
    <w:p w:rsidR="00BC719B" w:rsidRDefault="00790D68">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BC719B">
        <w:trPr>
          <w:jc w:val="center"/>
        </w:trPr>
        <w:tc>
          <w:tcPr>
            <w:tcW w:w="1701" w:type="dxa"/>
            <w:vAlign w:val="center"/>
          </w:tcPr>
          <w:p w:rsidR="00BC719B" w:rsidRDefault="00790D68">
            <w:pPr>
              <w:jc w:val="left"/>
            </w:pPr>
            <w:r>
              <w:rPr>
                <w:color w:val="000000"/>
                <w:sz w:val="24"/>
                <w:szCs w:val="24"/>
              </w:rPr>
              <w:t>过去三个月</w:t>
            </w:r>
          </w:p>
        </w:tc>
        <w:tc>
          <w:tcPr>
            <w:tcW w:w="1045" w:type="dxa"/>
            <w:vAlign w:val="center"/>
          </w:tcPr>
          <w:p w:rsidR="00BC719B" w:rsidRDefault="00790D68">
            <w:pPr>
              <w:jc w:val="center"/>
            </w:pPr>
            <w:r>
              <w:rPr>
                <w:color w:val="000000"/>
                <w:sz w:val="24"/>
                <w:szCs w:val="24"/>
              </w:rPr>
              <w:t>0.99%</w:t>
            </w:r>
          </w:p>
        </w:tc>
        <w:tc>
          <w:tcPr>
            <w:tcW w:w="1344" w:type="dxa"/>
            <w:vAlign w:val="center"/>
          </w:tcPr>
          <w:p w:rsidR="00BC719B" w:rsidRDefault="00790D68">
            <w:pPr>
              <w:jc w:val="center"/>
            </w:pPr>
            <w:r>
              <w:rPr>
                <w:color w:val="000000"/>
                <w:sz w:val="24"/>
                <w:szCs w:val="24"/>
              </w:rPr>
              <w:t>0.28%</w:t>
            </w:r>
          </w:p>
        </w:tc>
        <w:tc>
          <w:tcPr>
            <w:tcW w:w="1194" w:type="dxa"/>
            <w:vAlign w:val="center"/>
          </w:tcPr>
          <w:p w:rsidR="00BC719B" w:rsidRDefault="00790D68">
            <w:pPr>
              <w:jc w:val="center"/>
            </w:pPr>
            <w:r>
              <w:rPr>
                <w:color w:val="000000"/>
                <w:sz w:val="24"/>
                <w:szCs w:val="24"/>
              </w:rPr>
              <w:t>-0.99%</w:t>
            </w:r>
          </w:p>
        </w:tc>
        <w:tc>
          <w:tcPr>
            <w:tcW w:w="1492" w:type="dxa"/>
            <w:vAlign w:val="center"/>
          </w:tcPr>
          <w:p w:rsidR="00BC719B" w:rsidRDefault="00790D68">
            <w:pPr>
              <w:jc w:val="center"/>
            </w:pPr>
            <w:r>
              <w:rPr>
                <w:color w:val="000000"/>
                <w:sz w:val="24"/>
                <w:szCs w:val="24"/>
              </w:rPr>
              <w:t>0.58%</w:t>
            </w:r>
          </w:p>
        </w:tc>
        <w:tc>
          <w:tcPr>
            <w:tcW w:w="1194" w:type="dxa"/>
            <w:vAlign w:val="center"/>
          </w:tcPr>
          <w:p w:rsidR="00BC719B" w:rsidRDefault="00790D68">
            <w:pPr>
              <w:jc w:val="center"/>
            </w:pPr>
            <w:r>
              <w:rPr>
                <w:color w:val="000000"/>
                <w:sz w:val="24"/>
                <w:szCs w:val="24"/>
              </w:rPr>
              <w:t>1.98%</w:t>
            </w:r>
          </w:p>
        </w:tc>
        <w:tc>
          <w:tcPr>
            <w:tcW w:w="898" w:type="dxa"/>
            <w:vAlign w:val="center"/>
          </w:tcPr>
          <w:p w:rsidR="00BC719B" w:rsidRDefault="00790D68">
            <w:pPr>
              <w:jc w:val="center"/>
            </w:pPr>
            <w:r>
              <w:rPr>
                <w:color w:val="000000"/>
                <w:sz w:val="24"/>
                <w:szCs w:val="24"/>
              </w:rPr>
              <w:t>-0.30%</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交银施罗德领先回报灵活配置混合型证券投资基金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lastRenderedPageBreak/>
        <w:t>（</w:t>
      </w:r>
      <w:r w:rsidR="0042009D" w:rsidRPr="00414345">
        <w:rPr>
          <w:rFonts w:ascii="Times New Roman" w:hAnsi="Times New Roman" w:cs="Times New Roman"/>
          <w:sz w:val="24"/>
          <w:szCs w:val="24"/>
        </w:rPr>
        <w:t>2016</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9</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13</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2018</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3</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31</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BC719B">
        <w:trPr>
          <w:jc w:val="center"/>
        </w:trPr>
        <w:tc>
          <w:tcPr>
            <w:tcW w:w="846" w:type="dxa"/>
            <w:vAlign w:val="center"/>
          </w:tcPr>
          <w:p w:rsidR="00BC719B" w:rsidRDefault="00790D68">
            <w:pPr>
              <w:jc w:val="center"/>
            </w:pPr>
            <w:r>
              <w:rPr>
                <w:color w:val="000000"/>
                <w:sz w:val="24"/>
                <w:szCs w:val="24"/>
              </w:rPr>
              <w:t>李娜</w:t>
            </w:r>
          </w:p>
        </w:tc>
        <w:tc>
          <w:tcPr>
            <w:tcW w:w="845" w:type="dxa"/>
            <w:vAlign w:val="center"/>
          </w:tcPr>
          <w:p w:rsidR="00BC719B" w:rsidRDefault="00790D68">
            <w:pPr>
              <w:jc w:val="center"/>
            </w:pPr>
            <w:r>
              <w:rPr>
                <w:color w:val="000000"/>
                <w:sz w:val="24"/>
                <w:szCs w:val="24"/>
              </w:rPr>
              <w:t>交银周期回报灵活配置混合、交银新回报灵活配置混合、交银多策略</w:t>
            </w:r>
            <w:r>
              <w:rPr>
                <w:color w:val="000000"/>
                <w:sz w:val="24"/>
                <w:szCs w:val="24"/>
              </w:rPr>
              <w:lastRenderedPageBreak/>
              <w:t>回报灵活配置混合、交银卓越回报灵活配置混合、交银优选回报灵活配置混合、交银优择回报灵活配置混合、交银领先回报灵活配置混合、交银瑞鑫定期开放灵活配置混合、交银瑞景定期开放灵活配置混合、交银启通</w:t>
            </w:r>
            <w:r>
              <w:rPr>
                <w:color w:val="000000"/>
                <w:sz w:val="24"/>
                <w:szCs w:val="24"/>
              </w:rPr>
              <w:lastRenderedPageBreak/>
              <w:t>灵活配置混合、交银瑞利定期开放灵活配置混合、交银瑞安定期开放灵活配置混合的基金经理</w:t>
            </w:r>
          </w:p>
        </w:tc>
        <w:tc>
          <w:tcPr>
            <w:tcW w:w="1549" w:type="dxa"/>
            <w:vAlign w:val="center"/>
          </w:tcPr>
          <w:p w:rsidR="00BC719B" w:rsidRDefault="00790D68">
            <w:pPr>
              <w:jc w:val="center"/>
            </w:pPr>
            <w:r>
              <w:rPr>
                <w:color w:val="000000"/>
                <w:sz w:val="24"/>
                <w:szCs w:val="24"/>
              </w:rPr>
              <w:lastRenderedPageBreak/>
              <w:t>2016-09-13</w:t>
            </w:r>
          </w:p>
        </w:tc>
        <w:tc>
          <w:tcPr>
            <w:tcW w:w="1548" w:type="dxa"/>
            <w:vAlign w:val="center"/>
          </w:tcPr>
          <w:p w:rsidR="00BC719B" w:rsidRDefault="00790D68">
            <w:pPr>
              <w:jc w:val="center"/>
            </w:pPr>
            <w:r>
              <w:rPr>
                <w:color w:val="000000"/>
                <w:sz w:val="24"/>
                <w:szCs w:val="24"/>
              </w:rPr>
              <w:t>-</w:t>
            </w:r>
          </w:p>
        </w:tc>
        <w:tc>
          <w:tcPr>
            <w:tcW w:w="1407" w:type="dxa"/>
            <w:vAlign w:val="center"/>
          </w:tcPr>
          <w:p w:rsidR="00BC719B" w:rsidRDefault="00790D68">
            <w:pPr>
              <w:jc w:val="center"/>
            </w:pPr>
            <w:r>
              <w:rPr>
                <w:color w:val="000000"/>
                <w:sz w:val="24"/>
                <w:szCs w:val="24"/>
              </w:rPr>
              <w:t>8</w:t>
            </w:r>
            <w:r>
              <w:rPr>
                <w:color w:val="000000"/>
                <w:sz w:val="24"/>
                <w:szCs w:val="24"/>
              </w:rPr>
              <w:t>年</w:t>
            </w:r>
          </w:p>
        </w:tc>
        <w:tc>
          <w:tcPr>
            <w:tcW w:w="2673" w:type="dxa"/>
            <w:vAlign w:val="center"/>
          </w:tcPr>
          <w:p w:rsidR="00BC719B" w:rsidRDefault="00790D68">
            <w:r>
              <w:rPr>
                <w:color w:val="000000"/>
                <w:sz w:val="24"/>
                <w:szCs w:val="24"/>
              </w:rPr>
              <w:t>李娜女士，美国宾夕法尼亚大学应用数学与计算科学硕士。历任国泰基金管理有限公司研究员。</w:t>
            </w:r>
            <w:r>
              <w:rPr>
                <w:color w:val="000000"/>
                <w:sz w:val="24"/>
                <w:szCs w:val="24"/>
              </w:rPr>
              <w:t>2012</w:t>
            </w:r>
            <w:r>
              <w:rPr>
                <w:color w:val="000000"/>
                <w:sz w:val="24"/>
                <w:szCs w:val="24"/>
              </w:rPr>
              <w:t>年加入交银施罗德基金管理有限公司，历任债券分析师、基金经理助理。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BC719B" w:rsidRDefault="00790D68">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BC719B" w:rsidRDefault="00790D68">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BC719B" w:rsidRDefault="00790D68">
      <w:pPr>
        <w:spacing w:before="29" w:line="288" w:lineRule="auto"/>
        <w:ind w:firstLineChars="200" w:firstLine="480"/>
        <w:rPr>
          <w:color w:val="000000"/>
          <w:sz w:val="24"/>
          <w:szCs w:val="24"/>
        </w:rPr>
      </w:pPr>
      <w:r>
        <w:rPr>
          <w:color w:val="000000"/>
          <w:sz w:val="24"/>
          <w:szCs w:val="24"/>
        </w:rPr>
        <w:lastRenderedPageBreak/>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BC719B" w:rsidRDefault="00790D68">
      <w:pPr>
        <w:spacing w:before="29" w:line="288" w:lineRule="auto"/>
        <w:ind w:firstLineChars="200" w:firstLine="480"/>
        <w:rPr>
          <w:color w:val="000000"/>
          <w:sz w:val="24"/>
          <w:szCs w:val="24"/>
        </w:rPr>
      </w:pPr>
      <w:r>
        <w:rPr>
          <w:color w:val="000000"/>
          <w:sz w:val="24"/>
          <w:szCs w:val="24"/>
        </w:rPr>
        <w:t>本报告期内，经济增长数据受节假日等季节性因素影响，传递出较为复杂的信号，通胀数据在春节期间触及高位，随后猪肉价格在假期后出现回落，而工业品价格涨幅继续逐步趋缓。海外经济持续复苏和季节性因素的消退，带来进出口数据的超预期和三月</w:t>
      </w:r>
      <w:r>
        <w:rPr>
          <w:color w:val="000000"/>
          <w:sz w:val="24"/>
          <w:szCs w:val="24"/>
        </w:rPr>
        <w:t>PMI</w:t>
      </w:r>
      <w:r>
        <w:rPr>
          <w:color w:val="000000"/>
          <w:sz w:val="24"/>
          <w:szCs w:val="24"/>
        </w:rPr>
        <w:t>数据的反弹，与微观层面上钢材、水泥库存去化和耗煤增速的放缓形成对比。央行继续保持稳健中性的货币政策，在三月美联储如期加息后，继续小幅跟随上调银行间利率，符合市场预期。银行间流动性在三月底整体较为平衡，呈现局部的结构性紧张态势，整体资金价格中枢小幅下行。股票市场则在海外市场回调、风险偏好摆动和流动性边际宽松等因素带动下，出现了风格切换。同期债券收益率在一月中后旬触及历史高点后，开启了一波下行，其中经济增长态势趋缓、美联储加息靴子落地、狭义流动性边际宽松等因素成为债券市场收益率变动的主要原因。报告期内，上证综指和创业板指分别下行</w:t>
      </w:r>
      <w:r>
        <w:rPr>
          <w:color w:val="000000"/>
          <w:sz w:val="24"/>
          <w:szCs w:val="24"/>
        </w:rPr>
        <w:t>4.18%</w:t>
      </w:r>
      <w:r>
        <w:rPr>
          <w:color w:val="000000"/>
          <w:sz w:val="24"/>
          <w:szCs w:val="24"/>
        </w:rPr>
        <w:t>和上行</w:t>
      </w:r>
      <w:r>
        <w:rPr>
          <w:color w:val="000000"/>
          <w:sz w:val="24"/>
          <w:szCs w:val="24"/>
        </w:rPr>
        <w:t>8.43%</w:t>
      </w:r>
      <w:r>
        <w:rPr>
          <w:color w:val="000000"/>
          <w:sz w:val="24"/>
          <w:szCs w:val="24"/>
        </w:rPr>
        <w:t>，</w:t>
      </w:r>
      <w:r>
        <w:rPr>
          <w:color w:val="000000"/>
          <w:sz w:val="24"/>
          <w:szCs w:val="24"/>
        </w:rPr>
        <w:t>10</w:t>
      </w:r>
      <w:r>
        <w:rPr>
          <w:color w:val="000000"/>
          <w:sz w:val="24"/>
          <w:szCs w:val="24"/>
        </w:rPr>
        <w:t>年期国债收益率下行</w:t>
      </w:r>
      <w:r>
        <w:rPr>
          <w:color w:val="000000"/>
          <w:sz w:val="24"/>
          <w:szCs w:val="24"/>
        </w:rPr>
        <w:t>14BP</w:t>
      </w:r>
      <w:r>
        <w:rPr>
          <w:color w:val="000000"/>
          <w:sz w:val="24"/>
          <w:szCs w:val="24"/>
        </w:rPr>
        <w:t>至</w:t>
      </w:r>
      <w:r>
        <w:rPr>
          <w:color w:val="000000"/>
          <w:sz w:val="24"/>
          <w:szCs w:val="24"/>
        </w:rPr>
        <w:t>3.74%</w:t>
      </w:r>
      <w:r>
        <w:rPr>
          <w:color w:val="000000"/>
          <w:sz w:val="24"/>
          <w:szCs w:val="24"/>
        </w:rPr>
        <w:t>，</w:t>
      </w:r>
      <w:r>
        <w:rPr>
          <w:color w:val="000000"/>
          <w:sz w:val="24"/>
          <w:szCs w:val="24"/>
        </w:rPr>
        <w:t>10</w:t>
      </w:r>
      <w:r>
        <w:rPr>
          <w:color w:val="000000"/>
          <w:sz w:val="24"/>
          <w:szCs w:val="24"/>
        </w:rPr>
        <w:t>年期国开债收益率下行</w:t>
      </w:r>
      <w:r>
        <w:rPr>
          <w:color w:val="000000"/>
          <w:sz w:val="24"/>
          <w:szCs w:val="24"/>
        </w:rPr>
        <w:t>18BP</w:t>
      </w:r>
      <w:r>
        <w:rPr>
          <w:color w:val="000000"/>
          <w:sz w:val="24"/>
          <w:szCs w:val="24"/>
        </w:rPr>
        <w:t>到</w:t>
      </w:r>
      <w:r>
        <w:rPr>
          <w:color w:val="000000"/>
          <w:sz w:val="24"/>
          <w:szCs w:val="24"/>
        </w:rPr>
        <w:t>4.65%</w:t>
      </w:r>
      <w:r>
        <w:rPr>
          <w:color w:val="000000"/>
          <w:sz w:val="24"/>
          <w:szCs w:val="24"/>
        </w:rPr>
        <w:t>。</w:t>
      </w:r>
    </w:p>
    <w:p w:rsidR="00BC719B" w:rsidRDefault="00790D68">
      <w:pPr>
        <w:spacing w:before="29" w:line="288" w:lineRule="auto"/>
        <w:ind w:firstLineChars="200" w:firstLine="480"/>
        <w:rPr>
          <w:color w:val="000000"/>
          <w:sz w:val="24"/>
          <w:szCs w:val="24"/>
        </w:rPr>
      </w:pPr>
      <w:r>
        <w:rPr>
          <w:color w:val="000000"/>
          <w:sz w:val="24"/>
          <w:szCs w:val="24"/>
        </w:rPr>
        <w:t>策略层面，本基金重点关注短久期信用债以及同业存单的配置价值，适度加大配置力度，同时保持组合流动性。积极关注新股发行动态，进行权益一级市场投资，同时也关注二级市场的投资机会，从各方面争取为持有人赚取回报。</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w:t>
      </w:r>
      <w:r w:rsidRPr="00414345">
        <w:rPr>
          <w:color w:val="000000"/>
          <w:sz w:val="24"/>
          <w:szCs w:val="24"/>
        </w:rPr>
        <w:t>2018</w:t>
      </w:r>
      <w:r w:rsidRPr="00414345">
        <w:rPr>
          <w:color w:val="000000"/>
          <w:sz w:val="24"/>
          <w:szCs w:val="24"/>
        </w:rPr>
        <w:t>年二季度，基本面在一季度的复杂分化或将逐步清晰，通胀在春节后的回落确定性虽高，但仍需关注原油走势和中美贸易摩擦带来的预期变化，警惕中美贸易战升级带来的风险发酵。在货币政策</w:t>
      </w:r>
      <w:r w:rsidRPr="00414345">
        <w:rPr>
          <w:color w:val="000000"/>
          <w:sz w:val="24"/>
          <w:szCs w:val="24"/>
        </w:rPr>
        <w:t>“</w:t>
      </w:r>
      <w:r w:rsidRPr="00414345">
        <w:rPr>
          <w:color w:val="000000"/>
          <w:sz w:val="24"/>
          <w:szCs w:val="24"/>
        </w:rPr>
        <w:t>不松不紧</w:t>
      </w:r>
      <w:r w:rsidRPr="00414345">
        <w:rPr>
          <w:color w:val="000000"/>
          <w:sz w:val="24"/>
          <w:szCs w:val="24"/>
        </w:rPr>
        <w:t>”</w:t>
      </w:r>
      <w:r w:rsidRPr="00414345">
        <w:rPr>
          <w:color w:val="000000"/>
          <w:sz w:val="24"/>
          <w:szCs w:val="24"/>
        </w:rPr>
        <w:t>的基调下，短端利率或受益于狭义流动性改善维持中低位，但长端收益率的进一步下行需要基本面和政策面的进一步支持。我们将密切关注资管新规的落地实施、中美贸易摩擦发展、通胀预期变化、海外货币政策变化等因素对市场的影响。股票方面，力争继续保持稳健、审慎投资，积极关注一级市场动态。债券方面，在保持组合流动性的前提下积极关注交易窗口，把握适度久期，同时继续关注信用风险。</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截至</w:t>
      </w:r>
      <w:r w:rsidRPr="00414345">
        <w:rPr>
          <w:color w:val="000000"/>
          <w:sz w:val="24"/>
          <w:szCs w:val="24"/>
        </w:rPr>
        <w:t>2018</w:t>
      </w:r>
      <w:r w:rsidRPr="00414345">
        <w:rPr>
          <w:color w:val="000000"/>
          <w:sz w:val="24"/>
          <w:szCs w:val="24"/>
        </w:rPr>
        <w:t>年</w:t>
      </w:r>
      <w:r w:rsidRPr="00414345">
        <w:rPr>
          <w:color w:val="000000"/>
          <w:sz w:val="24"/>
          <w:szCs w:val="24"/>
        </w:rPr>
        <w:t>3</w:t>
      </w:r>
      <w:r w:rsidRPr="00414345">
        <w:rPr>
          <w:color w:val="000000"/>
          <w:sz w:val="24"/>
          <w:szCs w:val="24"/>
        </w:rPr>
        <w:t>月</w:t>
      </w:r>
      <w:r w:rsidRPr="00414345">
        <w:rPr>
          <w:color w:val="000000"/>
          <w:sz w:val="24"/>
          <w:szCs w:val="24"/>
        </w:rPr>
        <w:t>31</w:t>
      </w:r>
      <w:r w:rsidRPr="00414345">
        <w:rPr>
          <w:color w:val="000000"/>
          <w:sz w:val="24"/>
          <w:szCs w:val="24"/>
        </w:rPr>
        <w:t>日，本基金份额净值为</w:t>
      </w:r>
      <w:r w:rsidRPr="00414345">
        <w:rPr>
          <w:color w:val="000000"/>
          <w:sz w:val="24"/>
          <w:szCs w:val="24"/>
        </w:rPr>
        <w:t>1.120</w:t>
      </w:r>
      <w:r w:rsidRPr="00414345">
        <w:rPr>
          <w:color w:val="000000"/>
          <w:sz w:val="24"/>
          <w:szCs w:val="24"/>
        </w:rPr>
        <w:t>元，本报告期份额净值增长率为</w:t>
      </w:r>
      <w:r w:rsidRPr="00414345">
        <w:rPr>
          <w:color w:val="000000"/>
          <w:sz w:val="24"/>
          <w:szCs w:val="24"/>
        </w:rPr>
        <w:t>0.99%</w:t>
      </w:r>
      <w:r w:rsidRPr="00414345">
        <w:rPr>
          <w:color w:val="000000"/>
          <w:sz w:val="24"/>
          <w:szCs w:val="24"/>
        </w:rPr>
        <w:t>，同期业绩比较基准增长率为</w:t>
      </w:r>
      <w:r w:rsidRPr="00414345">
        <w:rPr>
          <w:color w:val="000000"/>
          <w:sz w:val="24"/>
          <w:szCs w:val="24"/>
        </w:rPr>
        <w:t>-0.99%</w:t>
      </w:r>
      <w:r w:rsidRPr="00414345">
        <w:rPr>
          <w:color w:val="000000"/>
          <w:sz w:val="24"/>
          <w:szCs w:val="24"/>
        </w:rPr>
        <w:t>。</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Pr="007B5F21"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tbl>
      <w:tblPr>
        <w:tblStyle w:val="af7"/>
        <w:tblW w:w="8897" w:type="dxa"/>
        <w:tblInd w:w="108" w:type="dxa"/>
        <w:tblLayout w:type="fixed"/>
        <w:tblLook w:val="04A0" w:firstRow="1" w:lastRow="0" w:firstColumn="1" w:lastColumn="0" w:noHBand="0" w:noVBand="1"/>
      </w:tblPr>
      <w:tblGrid>
        <w:gridCol w:w="720"/>
        <w:gridCol w:w="2824"/>
        <w:gridCol w:w="2552"/>
        <w:gridCol w:w="2801"/>
      </w:tblGrid>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824"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125,315,450.69</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20.04</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125,315,450.69</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20.04</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484,661,157.20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77.51</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484,661,157.20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77.51</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824"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1,308,166.82</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0.21</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14,002,974.88</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2.24</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625,287,749.59</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公允价值（元）</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w:t>
            </w:r>
            <w:r w:rsidRPr="00414345">
              <w:rPr>
                <w:sz w:val="24"/>
                <w:szCs w:val="24"/>
              </w:rPr>
              <w:lastRenderedPageBreak/>
              <w:t>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lastRenderedPageBreak/>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83,756,274.62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13.61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1,470,000.00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0.24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7,732,402.87</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1.26</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3,159,659.62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0.51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34,203.96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27,616,109.62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4.49</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1,546,800.00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0.25</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125,315,450.69</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790D68" w:rsidP="00C15CAC">
            <w:pPr>
              <w:spacing w:before="29" w:line="288" w:lineRule="auto"/>
              <w:jc w:val="right"/>
              <w:rPr>
                <w:sz w:val="24"/>
                <w:szCs w:val="24"/>
              </w:rPr>
            </w:pPr>
            <w:r>
              <w:rPr>
                <w:sz w:val="24"/>
                <w:szCs w:val="24"/>
              </w:rPr>
              <w:t>20.36</w:t>
            </w:r>
          </w:p>
        </w:tc>
      </w:tr>
    </w:tbl>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BC719B">
        <w:trPr>
          <w:jc w:val="center"/>
        </w:trPr>
        <w:tc>
          <w:tcPr>
            <w:tcW w:w="855" w:type="dxa"/>
            <w:vAlign w:val="center"/>
          </w:tcPr>
          <w:p w:rsidR="00BC719B" w:rsidRDefault="00790D68">
            <w:pPr>
              <w:jc w:val="center"/>
            </w:pPr>
            <w:r>
              <w:rPr>
                <w:color w:val="000000"/>
                <w:sz w:val="24"/>
                <w:szCs w:val="24"/>
              </w:rPr>
              <w:t>1</w:t>
            </w:r>
          </w:p>
        </w:tc>
        <w:tc>
          <w:tcPr>
            <w:tcW w:w="1334" w:type="dxa"/>
            <w:vAlign w:val="center"/>
          </w:tcPr>
          <w:p w:rsidR="00BC719B" w:rsidRDefault="00790D68">
            <w:pPr>
              <w:jc w:val="center"/>
            </w:pPr>
            <w:r>
              <w:rPr>
                <w:color w:val="000000"/>
                <w:sz w:val="24"/>
                <w:szCs w:val="24"/>
              </w:rPr>
              <w:t>000423</w:t>
            </w:r>
          </w:p>
        </w:tc>
        <w:tc>
          <w:tcPr>
            <w:tcW w:w="1777" w:type="dxa"/>
            <w:vAlign w:val="center"/>
          </w:tcPr>
          <w:p w:rsidR="00BC719B" w:rsidRDefault="00790D68">
            <w:pPr>
              <w:jc w:val="center"/>
            </w:pPr>
            <w:r>
              <w:rPr>
                <w:color w:val="000000"/>
                <w:sz w:val="24"/>
                <w:szCs w:val="24"/>
              </w:rPr>
              <w:t>东阿阿胶</w:t>
            </w:r>
          </w:p>
        </w:tc>
        <w:tc>
          <w:tcPr>
            <w:tcW w:w="1334" w:type="dxa"/>
            <w:vAlign w:val="center"/>
          </w:tcPr>
          <w:p w:rsidR="00BC719B" w:rsidRDefault="00790D68">
            <w:pPr>
              <w:jc w:val="right"/>
            </w:pPr>
            <w:r>
              <w:rPr>
                <w:color w:val="000000"/>
                <w:sz w:val="24"/>
                <w:szCs w:val="24"/>
              </w:rPr>
              <w:t>150,000</w:t>
            </w:r>
          </w:p>
        </w:tc>
        <w:tc>
          <w:tcPr>
            <w:tcW w:w="1924" w:type="dxa"/>
            <w:vAlign w:val="center"/>
          </w:tcPr>
          <w:p w:rsidR="00BC719B" w:rsidRDefault="00790D68">
            <w:pPr>
              <w:jc w:val="right"/>
            </w:pPr>
            <w:r>
              <w:rPr>
                <w:color w:val="000000"/>
                <w:sz w:val="24"/>
                <w:szCs w:val="24"/>
              </w:rPr>
              <w:t>9,247,500.00</w:t>
            </w:r>
          </w:p>
        </w:tc>
        <w:tc>
          <w:tcPr>
            <w:tcW w:w="1644" w:type="dxa"/>
            <w:vAlign w:val="center"/>
          </w:tcPr>
          <w:p w:rsidR="00BC719B" w:rsidRDefault="00790D68">
            <w:pPr>
              <w:jc w:val="right"/>
            </w:pPr>
            <w:r>
              <w:rPr>
                <w:color w:val="000000"/>
                <w:sz w:val="24"/>
                <w:szCs w:val="24"/>
              </w:rPr>
              <w:t>1.50</w:t>
            </w:r>
          </w:p>
        </w:tc>
      </w:tr>
      <w:tr w:rsidR="00BC719B">
        <w:trPr>
          <w:jc w:val="center"/>
        </w:trPr>
        <w:tc>
          <w:tcPr>
            <w:tcW w:w="855" w:type="dxa"/>
            <w:vAlign w:val="center"/>
          </w:tcPr>
          <w:p w:rsidR="00BC719B" w:rsidRDefault="00790D68">
            <w:pPr>
              <w:jc w:val="center"/>
            </w:pPr>
            <w:r>
              <w:rPr>
                <w:color w:val="000000"/>
                <w:sz w:val="24"/>
                <w:szCs w:val="24"/>
              </w:rPr>
              <w:t>2</w:t>
            </w:r>
          </w:p>
        </w:tc>
        <w:tc>
          <w:tcPr>
            <w:tcW w:w="1334" w:type="dxa"/>
            <w:vAlign w:val="center"/>
          </w:tcPr>
          <w:p w:rsidR="00BC719B" w:rsidRDefault="00790D68">
            <w:pPr>
              <w:jc w:val="center"/>
            </w:pPr>
            <w:r>
              <w:rPr>
                <w:color w:val="000000"/>
                <w:sz w:val="24"/>
                <w:szCs w:val="24"/>
              </w:rPr>
              <w:t>600519</w:t>
            </w:r>
          </w:p>
        </w:tc>
        <w:tc>
          <w:tcPr>
            <w:tcW w:w="1777" w:type="dxa"/>
            <w:vAlign w:val="center"/>
          </w:tcPr>
          <w:p w:rsidR="00BC719B" w:rsidRDefault="00790D68">
            <w:pPr>
              <w:jc w:val="center"/>
            </w:pPr>
            <w:r>
              <w:rPr>
                <w:color w:val="000000"/>
                <w:sz w:val="24"/>
                <w:szCs w:val="24"/>
              </w:rPr>
              <w:t>贵州茅台</w:t>
            </w:r>
          </w:p>
        </w:tc>
        <w:tc>
          <w:tcPr>
            <w:tcW w:w="1334" w:type="dxa"/>
            <w:vAlign w:val="center"/>
          </w:tcPr>
          <w:p w:rsidR="00BC719B" w:rsidRDefault="00790D68">
            <w:pPr>
              <w:jc w:val="right"/>
            </w:pPr>
            <w:r>
              <w:rPr>
                <w:color w:val="000000"/>
                <w:sz w:val="24"/>
                <w:szCs w:val="24"/>
              </w:rPr>
              <w:t>13,000</w:t>
            </w:r>
          </w:p>
        </w:tc>
        <w:tc>
          <w:tcPr>
            <w:tcW w:w="1924" w:type="dxa"/>
            <w:vAlign w:val="center"/>
          </w:tcPr>
          <w:p w:rsidR="00BC719B" w:rsidRDefault="00790D68">
            <w:pPr>
              <w:jc w:val="right"/>
            </w:pPr>
            <w:r>
              <w:rPr>
                <w:color w:val="000000"/>
                <w:sz w:val="24"/>
                <w:szCs w:val="24"/>
              </w:rPr>
              <w:t>8,887,060.00</w:t>
            </w:r>
          </w:p>
        </w:tc>
        <w:tc>
          <w:tcPr>
            <w:tcW w:w="1644" w:type="dxa"/>
            <w:vAlign w:val="center"/>
          </w:tcPr>
          <w:p w:rsidR="00BC719B" w:rsidRDefault="00790D68">
            <w:pPr>
              <w:jc w:val="right"/>
            </w:pPr>
            <w:r>
              <w:rPr>
                <w:color w:val="000000"/>
                <w:sz w:val="24"/>
                <w:szCs w:val="24"/>
              </w:rPr>
              <w:t>1.44</w:t>
            </w:r>
          </w:p>
        </w:tc>
      </w:tr>
      <w:tr w:rsidR="00BC719B">
        <w:trPr>
          <w:jc w:val="center"/>
        </w:trPr>
        <w:tc>
          <w:tcPr>
            <w:tcW w:w="855" w:type="dxa"/>
            <w:vAlign w:val="center"/>
          </w:tcPr>
          <w:p w:rsidR="00BC719B" w:rsidRDefault="00790D68">
            <w:pPr>
              <w:jc w:val="center"/>
            </w:pPr>
            <w:r>
              <w:rPr>
                <w:color w:val="000000"/>
                <w:sz w:val="24"/>
                <w:szCs w:val="24"/>
              </w:rPr>
              <w:lastRenderedPageBreak/>
              <w:t>3</w:t>
            </w:r>
          </w:p>
        </w:tc>
        <w:tc>
          <w:tcPr>
            <w:tcW w:w="1334" w:type="dxa"/>
            <w:vAlign w:val="center"/>
          </w:tcPr>
          <w:p w:rsidR="00BC719B" w:rsidRDefault="00790D68">
            <w:pPr>
              <w:jc w:val="center"/>
            </w:pPr>
            <w:r>
              <w:rPr>
                <w:color w:val="000000"/>
                <w:sz w:val="24"/>
                <w:szCs w:val="24"/>
              </w:rPr>
              <w:t>000858</w:t>
            </w:r>
          </w:p>
        </w:tc>
        <w:tc>
          <w:tcPr>
            <w:tcW w:w="1777" w:type="dxa"/>
            <w:vAlign w:val="center"/>
          </w:tcPr>
          <w:p w:rsidR="00BC719B" w:rsidRDefault="00790D68">
            <w:pPr>
              <w:jc w:val="center"/>
            </w:pPr>
            <w:r>
              <w:rPr>
                <w:color w:val="000000"/>
                <w:sz w:val="24"/>
                <w:szCs w:val="24"/>
              </w:rPr>
              <w:t>五粮液</w:t>
            </w:r>
          </w:p>
        </w:tc>
        <w:tc>
          <w:tcPr>
            <w:tcW w:w="1334" w:type="dxa"/>
            <w:vAlign w:val="center"/>
          </w:tcPr>
          <w:p w:rsidR="00BC719B" w:rsidRDefault="00790D68">
            <w:pPr>
              <w:jc w:val="right"/>
            </w:pPr>
            <w:r>
              <w:rPr>
                <w:color w:val="000000"/>
                <w:sz w:val="24"/>
                <w:szCs w:val="24"/>
              </w:rPr>
              <w:t>120,000</w:t>
            </w:r>
          </w:p>
        </w:tc>
        <w:tc>
          <w:tcPr>
            <w:tcW w:w="1924" w:type="dxa"/>
            <w:vAlign w:val="center"/>
          </w:tcPr>
          <w:p w:rsidR="00BC719B" w:rsidRDefault="00790D68">
            <w:pPr>
              <w:jc w:val="right"/>
            </w:pPr>
            <w:r>
              <w:rPr>
                <w:color w:val="000000"/>
                <w:sz w:val="24"/>
                <w:szCs w:val="24"/>
              </w:rPr>
              <w:t>7,963,200.00</w:t>
            </w:r>
          </w:p>
        </w:tc>
        <w:tc>
          <w:tcPr>
            <w:tcW w:w="1644" w:type="dxa"/>
            <w:vAlign w:val="center"/>
          </w:tcPr>
          <w:p w:rsidR="00BC719B" w:rsidRDefault="00790D68">
            <w:pPr>
              <w:jc w:val="right"/>
            </w:pPr>
            <w:r>
              <w:rPr>
                <w:color w:val="000000"/>
                <w:sz w:val="24"/>
                <w:szCs w:val="24"/>
              </w:rPr>
              <w:t>1.29</w:t>
            </w:r>
          </w:p>
        </w:tc>
      </w:tr>
      <w:tr w:rsidR="00BC719B">
        <w:trPr>
          <w:jc w:val="center"/>
        </w:trPr>
        <w:tc>
          <w:tcPr>
            <w:tcW w:w="855" w:type="dxa"/>
            <w:vAlign w:val="center"/>
          </w:tcPr>
          <w:p w:rsidR="00BC719B" w:rsidRDefault="00790D68">
            <w:pPr>
              <w:jc w:val="center"/>
            </w:pPr>
            <w:r>
              <w:rPr>
                <w:color w:val="000000"/>
                <w:sz w:val="24"/>
                <w:szCs w:val="24"/>
              </w:rPr>
              <w:t>4</w:t>
            </w:r>
          </w:p>
        </w:tc>
        <w:tc>
          <w:tcPr>
            <w:tcW w:w="1334" w:type="dxa"/>
            <w:vAlign w:val="center"/>
          </w:tcPr>
          <w:p w:rsidR="00BC719B" w:rsidRDefault="00790D68">
            <w:pPr>
              <w:jc w:val="center"/>
            </w:pPr>
            <w:r>
              <w:rPr>
                <w:color w:val="000000"/>
                <w:sz w:val="24"/>
                <w:szCs w:val="24"/>
              </w:rPr>
              <w:t>002142</w:t>
            </w:r>
          </w:p>
        </w:tc>
        <w:tc>
          <w:tcPr>
            <w:tcW w:w="1777" w:type="dxa"/>
            <w:vAlign w:val="center"/>
          </w:tcPr>
          <w:p w:rsidR="00BC719B" w:rsidRDefault="00790D68">
            <w:pPr>
              <w:jc w:val="center"/>
            </w:pPr>
            <w:r>
              <w:rPr>
                <w:color w:val="000000"/>
                <w:sz w:val="24"/>
                <w:szCs w:val="24"/>
              </w:rPr>
              <w:t>宁波银行</w:t>
            </w:r>
          </w:p>
        </w:tc>
        <w:tc>
          <w:tcPr>
            <w:tcW w:w="1334" w:type="dxa"/>
            <w:vAlign w:val="center"/>
          </w:tcPr>
          <w:p w:rsidR="00BC719B" w:rsidRDefault="00790D68">
            <w:pPr>
              <w:jc w:val="right"/>
            </w:pPr>
            <w:r>
              <w:rPr>
                <w:color w:val="000000"/>
                <w:sz w:val="24"/>
                <w:szCs w:val="24"/>
              </w:rPr>
              <w:t>400,000</w:t>
            </w:r>
          </w:p>
        </w:tc>
        <w:tc>
          <w:tcPr>
            <w:tcW w:w="1924" w:type="dxa"/>
            <w:vAlign w:val="center"/>
          </w:tcPr>
          <w:p w:rsidR="00BC719B" w:rsidRDefault="00790D68">
            <w:pPr>
              <w:jc w:val="right"/>
            </w:pPr>
            <w:r>
              <w:rPr>
                <w:color w:val="000000"/>
                <w:sz w:val="24"/>
                <w:szCs w:val="24"/>
              </w:rPr>
              <w:t>7,612,000.00</w:t>
            </w:r>
          </w:p>
        </w:tc>
        <w:tc>
          <w:tcPr>
            <w:tcW w:w="1644" w:type="dxa"/>
            <w:vAlign w:val="center"/>
          </w:tcPr>
          <w:p w:rsidR="00BC719B" w:rsidRDefault="00790D68">
            <w:pPr>
              <w:jc w:val="right"/>
            </w:pPr>
            <w:r>
              <w:rPr>
                <w:color w:val="000000"/>
                <w:sz w:val="24"/>
                <w:szCs w:val="24"/>
              </w:rPr>
              <w:t>1.24</w:t>
            </w:r>
          </w:p>
        </w:tc>
      </w:tr>
      <w:tr w:rsidR="00BC719B">
        <w:trPr>
          <w:jc w:val="center"/>
        </w:trPr>
        <w:tc>
          <w:tcPr>
            <w:tcW w:w="855" w:type="dxa"/>
            <w:vAlign w:val="center"/>
          </w:tcPr>
          <w:p w:rsidR="00BC719B" w:rsidRDefault="00790D68">
            <w:pPr>
              <w:jc w:val="center"/>
            </w:pPr>
            <w:r>
              <w:rPr>
                <w:color w:val="000000"/>
                <w:sz w:val="24"/>
                <w:szCs w:val="24"/>
              </w:rPr>
              <w:t>5</w:t>
            </w:r>
          </w:p>
        </w:tc>
        <w:tc>
          <w:tcPr>
            <w:tcW w:w="1334" w:type="dxa"/>
            <w:vAlign w:val="center"/>
          </w:tcPr>
          <w:p w:rsidR="00BC719B" w:rsidRDefault="00790D68">
            <w:pPr>
              <w:jc w:val="center"/>
            </w:pPr>
            <w:r>
              <w:rPr>
                <w:color w:val="000000"/>
                <w:sz w:val="24"/>
                <w:szCs w:val="24"/>
              </w:rPr>
              <w:t>600887</w:t>
            </w:r>
          </w:p>
        </w:tc>
        <w:tc>
          <w:tcPr>
            <w:tcW w:w="1777" w:type="dxa"/>
            <w:vAlign w:val="center"/>
          </w:tcPr>
          <w:p w:rsidR="00BC719B" w:rsidRDefault="00790D68">
            <w:pPr>
              <w:jc w:val="center"/>
            </w:pPr>
            <w:r>
              <w:rPr>
                <w:color w:val="000000"/>
                <w:sz w:val="24"/>
                <w:szCs w:val="24"/>
              </w:rPr>
              <w:t>伊利股份</w:t>
            </w:r>
          </w:p>
        </w:tc>
        <w:tc>
          <w:tcPr>
            <w:tcW w:w="1334" w:type="dxa"/>
            <w:vAlign w:val="center"/>
          </w:tcPr>
          <w:p w:rsidR="00BC719B" w:rsidRDefault="00790D68">
            <w:pPr>
              <w:jc w:val="right"/>
            </w:pPr>
            <w:r>
              <w:rPr>
                <w:color w:val="000000"/>
                <w:sz w:val="24"/>
                <w:szCs w:val="24"/>
              </w:rPr>
              <w:t>250,000</w:t>
            </w:r>
          </w:p>
        </w:tc>
        <w:tc>
          <w:tcPr>
            <w:tcW w:w="1924" w:type="dxa"/>
            <w:vAlign w:val="center"/>
          </w:tcPr>
          <w:p w:rsidR="00BC719B" w:rsidRDefault="00790D68">
            <w:pPr>
              <w:jc w:val="right"/>
            </w:pPr>
            <w:r>
              <w:rPr>
                <w:color w:val="000000"/>
                <w:sz w:val="24"/>
                <w:szCs w:val="24"/>
              </w:rPr>
              <w:t>7,122,500.00</w:t>
            </w:r>
          </w:p>
        </w:tc>
        <w:tc>
          <w:tcPr>
            <w:tcW w:w="1644" w:type="dxa"/>
            <w:vAlign w:val="center"/>
          </w:tcPr>
          <w:p w:rsidR="00BC719B" w:rsidRDefault="00790D68">
            <w:pPr>
              <w:jc w:val="right"/>
            </w:pPr>
            <w:r>
              <w:rPr>
                <w:color w:val="000000"/>
                <w:sz w:val="24"/>
                <w:szCs w:val="24"/>
              </w:rPr>
              <w:t>1.16</w:t>
            </w:r>
          </w:p>
        </w:tc>
      </w:tr>
      <w:tr w:rsidR="00BC719B">
        <w:trPr>
          <w:jc w:val="center"/>
        </w:trPr>
        <w:tc>
          <w:tcPr>
            <w:tcW w:w="855" w:type="dxa"/>
            <w:vAlign w:val="center"/>
          </w:tcPr>
          <w:p w:rsidR="00BC719B" w:rsidRDefault="00790D68">
            <w:pPr>
              <w:jc w:val="center"/>
            </w:pPr>
            <w:r>
              <w:rPr>
                <w:color w:val="000000"/>
                <w:sz w:val="24"/>
                <w:szCs w:val="24"/>
              </w:rPr>
              <w:t>6</w:t>
            </w:r>
          </w:p>
        </w:tc>
        <w:tc>
          <w:tcPr>
            <w:tcW w:w="1334" w:type="dxa"/>
            <w:vAlign w:val="center"/>
          </w:tcPr>
          <w:p w:rsidR="00BC719B" w:rsidRDefault="00790D68">
            <w:pPr>
              <w:jc w:val="center"/>
            </w:pPr>
            <w:r>
              <w:rPr>
                <w:color w:val="000000"/>
                <w:sz w:val="24"/>
                <w:szCs w:val="24"/>
              </w:rPr>
              <w:t>601988</w:t>
            </w:r>
          </w:p>
        </w:tc>
        <w:tc>
          <w:tcPr>
            <w:tcW w:w="1777" w:type="dxa"/>
            <w:vAlign w:val="center"/>
          </w:tcPr>
          <w:p w:rsidR="00BC719B" w:rsidRDefault="00790D68">
            <w:pPr>
              <w:jc w:val="center"/>
            </w:pPr>
            <w:r>
              <w:rPr>
                <w:color w:val="000000"/>
                <w:sz w:val="24"/>
                <w:szCs w:val="24"/>
              </w:rPr>
              <w:t>中国银行</w:t>
            </w:r>
          </w:p>
        </w:tc>
        <w:tc>
          <w:tcPr>
            <w:tcW w:w="1334" w:type="dxa"/>
            <w:vAlign w:val="center"/>
          </w:tcPr>
          <w:p w:rsidR="00BC719B" w:rsidRDefault="00790D68">
            <w:pPr>
              <w:jc w:val="right"/>
            </w:pPr>
            <w:r>
              <w:rPr>
                <w:color w:val="000000"/>
                <w:sz w:val="24"/>
                <w:szCs w:val="24"/>
              </w:rPr>
              <w:t>1,600,000</w:t>
            </w:r>
          </w:p>
        </w:tc>
        <w:tc>
          <w:tcPr>
            <w:tcW w:w="1924" w:type="dxa"/>
            <w:vAlign w:val="center"/>
          </w:tcPr>
          <w:p w:rsidR="00BC719B" w:rsidRDefault="00790D68">
            <w:pPr>
              <w:jc w:val="right"/>
            </w:pPr>
            <w:r>
              <w:rPr>
                <w:color w:val="000000"/>
                <w:sz w:val="24"/>
                <w:szCs w:val="24"/>
              </w:rPr>
              <w:t>6,288,000.00</w:t>
            </w:r>
          </w:p>
        </w:tc>
        <w:tc>
          <w:tcPr>
            <w:tcW w:w="1644" w:type="dxa"/>
            <w:vAlign w:val="center"/>
          </w:tcPr>
          <w:p w:rsidR="00BC719B" w:rsidRDefault="00790D68">
            <w:pPr>
              <w:jc w:val="right"/>
            </w:pPr>
            <w:r>
              <w:rPr>
                <w:color w:val="000000"/>
                <w:sz w:val="24"/>
                <w:szCs w:val="24"/>
              </w:rPr>
              <w:t>1.02</w:t>
            </w:r>
          </w:p>
        </w:tc>
      </w:tr>
      <w:tr w:rsidR="00BC719B">
        <w:trPr>
          <w:jc w:val="center"/>
        </w:trPr>
        <w:tc>
          <w:tcPr>
            <w:tcW w:w="855" w:type="dxa"/>
            <w:vAlign w:val="center"/>
          </w:tcPr>
          <w:p w:rsidR="00BC719B" w:rsidRDefault="00790D68">
            <w:pPr>
              <w:jc w:val="center"/>
            </w:pPr>
            <w:r>
              <w:rPr>
                <w:color w:val="000000"/>
                <w:sz w:val="24"/>
                <w:szCs w:val="24"/>
              </w:rPr>
              <w:t>7</w:t>
            </w:r>
          </w:p>
        </w:tc>
        <w:tc>
          <w:tcPr>
            <w:tcW w:w="1334" w:type="dxa"/>
            <w:vAlign w:val="center"/>
          </w:tcPr>
          <w:p w:rsidR="00BC719B" w:rsidRDefault="00790D68">
            <w:pPr>
              <w:jc w:val="center"/>
            </w:pPr>
            <w:r>
              <w:rPr>
                <w:color w:val="000000"/>
                <w:sz w:val="24"/>
                <w:szCs w:val="24"/>
              </w:rPr>
              <w:t>600276</w:t>
            </w:r>
          </w:p>
        </w:tc>
        <w:tc>
          <w:tcPr>
            <w:tcW w:w="1777" w:type="dxa"/>
            <w:vAlign w:val="center"/>
          </w:tcPr>
          <w:p w:rsidR="00BC719B" w:rsidRDefault="00790D68">
            <w:pPr>
              <w:jc w:val="center"/>
            </w:pPr>
            <w:r>
              <w:rPr>
                <w:color w:val="000000"/>
                <w:sz w:val="24"/>
                <w:szCs w:val="24"/>
              </w:rPr>
              <w:t>恒瑞医药</w:t>
            </w:r>
          </w:p>
        </w:tc>
        <w:tc>
          <w:tcPr>
            <w:tcW w:w="1334" w:type="dxa"/>
            <w:vAlign w:val="center"/>
          </w:tcPr>
          <w:p w:rsidR="00BC719B" w:rsidRDefault="00790D68">
            <w:pPr>
              <w:jc w:val="right"/>
            </w:pPr>
            <w:r>
              <w:rPr>
                <w:color w:val="000000"/>
                <w:sz w:val="24"/>
                <w:szCs w:val="24"/>
              </w:rPr>
              <w:t>70,000</w:t>
            </w:r>
          </w:p>
        </w:tc>
        <w:tc>
          <w:tcPr>
            <w:tcW w:w="1924" w:type="dxa"/>
            <w:vAlign w:val="center"/>
          </w:tcPr>
          <w:p w:rsidR="00BC719B" w:rsidRDefault="00790D68">
            <w:pPr>
              <w:jc w:val="right"/>
            </w:pPr>
            <w:r>
              <w:rPr>
                <w:color w:val="000000"/>
                <w:sz w:val="24"/>
                <w:szCs w:val="24"/>
              </w:rPr>
              <w:t>6,090,700.00</w:t>
            </w:r>
          </w:p>
        </w:tc>
        <w:tc>
          <w:tcPr>
            <w:tcW w:w="1644" w:type="dxa"/>
            <w:vAlign w:val="center"/>
          </w:tcPr>
          <w:p w:rsidR="00BC719B" w:rsidRDefault="00790D68">
            <w:pPr>
              <w:jc w:val="right"/>
            </w:pPr>
            <w:r>
              <w:rPr>
                <w:color w:val="000000"/>
                <w:sz w:val="24"/>
                <w:szCs w:val="24"/>
              </w:rPr>
              <w:t>0.99</w:t>
            </w:r>
          </w:p>
        </w:tc>
      </w:tr>
      <w:tr w:rsidR="00BC719B">
        <w:trPr>
          <w:jc w:val="center"/>
        </w:trPr>
        <w:tc>
          <w:tcPr>
            <w:tcW w:w="855" w:type="dxa"/>
            <w:vAlign w:val="center"/>
          </w:tcPr>
          <w:p w:rsidR="00BC719B" w:rsidRDefault="00790D68">
            <w:pPr>
              <w:jc w:val="center"/>
            </w:pPr>
            <w:r>
              <w:rPr>
                <w:color w:val="000000"/>
                <w:sz w:val="24"/>
                <w:szCs w:val="24"/>
              </w:rPr>
              <w:t>8</w:t>
            </w:r>
          </w:p>
        </w:tc>
        <w:tc>
          <w:tcPr>
            <w:tcW w:w="1334" w:type="dxa"/>
            <w:vAlign w:val="center"/>
          </w:tcPr>
          <w:p w:rsidR="00BC719B" w:rsidRDefault="00790D68">
            <w:pPr>
              <w:jc w:val="center"/>
            </w:pPr>
            <w:r>
              <w:rPr>
                <w:color w:val="000000"/>
                <w:sz w:val="24"/>
                <w:szCs w:val="24"/>
              </w:rPr>
              <w:t>600056</w:t>
            </w:r>
          </w:p>
        </w:tc>
        <w:tc>
          <w:tcPr>
            <w:tcW w:w="1777" w:type="dxa"/>
            <w:vAlign w:val="center"/>
          </w:tcPr>
          <w:p w:rsidR="00BC719B" w:rsidRDefault="00790D68">
            <w:pPr>
              <w:jc w:val="center"/>
            </w:pPr>
            <w:r>
              <w:rPr>
                <w:color w:val="000000"/>
                <w:sz w:val="24"/>
                <w:szCs w:val="24"/>
              </w:rPr>
              <w:t>中国医药</w:t>
            </w:r>
          </w:p>
        </w:tc>
        <w:tc>
          <w:tcPr>
            <w:tcW w:w="1334" w:type="dxa"/>
            <w:vAlign w:val="center"/>
          </w:tcPr>
          <w:p w:rsidR="00BC719B" w:rsidRDefault="00790D68">
            <w:pPr>
              <w:jc w:val="right"/>
            </w:pPr>
            <w:r>
              <w:rPr>
                <w:color w:val="000000"/>
                <w:sz w:val="24"/>
                <w:szCs w:val="24"/>
              </w:rPr>
              <w:t>250,000</w:t>
            </w:r>
          </w:p>
        </w:tc>
        <w:tc>
          <w:tcPr>
            <w:tcW w:w="1924" w:type="dxa"/>
            <w:vAlign w:val="center"/>
          </w:tcPr>
          <w:p w:rsidR="00BC719B" w:rsidRDefault="00790D68">
            <w:pPr>
              <w:jc w:val="right"/>
            </w:pPr>
            <w:r>
              <w:rPr>
                <w:color w:val="000000"/>
                <w:sz w:val="24"/>
                <w:szCs w:val="24"/>
              </w:rPr>
              <w:t>5,942,500.00</w:t>
            </w:r>
          </w:p>
        </w:tc>
        <w:tc>
          <w:tcPr>
            <w:tcW w:w="1644" w:type="dxa"/>
            <w:vAlign w:val="center"/>
          </w:tcPr>
          <w:p w:rsidR="00BC719B" w:rsidRDefault="00790D68">
            <w:pPr>
              <w:jc w:val="right"/>
            </w:pPr>
            <w:r>
              <w:rPr>
                <w:color w:val="000000"/>
                <w:sz w:val="24"/>
                <w:szCs w:val="24"/>
              </w:rPr>
              <w:t>0.97</w:t>
            </w:r>
          </w:p>
        </w:tc>
      </w:tr>
      <w:tr w:rsidR="00BC719B">
        <w:trPr>
          <w:jc w:val="center"/>
        </w:trPr>
        <w:tc>
          <w:tcPr>
            <w:tcW w:w="855" w:type="dxa"/>
            <w:vAlign w:val="center"/>
          </w:tcPr>
          <w:p w:rsidR="00BC719B" w:rsidRDefault="00790D68">
            <w:pPr>
              <w:jc w:val="center"/>
            </w:pPr>
            <w:r>
              <w:rPr>
                <w:color w:val="000000"/>
                <w:sz w:val="24"/>
                <w:szCs w:val="24"/>
              </w:rPr>
              <w:t>9</w:t>
            </w:r>
          </w:p>
        </w:tc>
        <w:tc>
          <w:tcPr>
            <w:tcW w:w="1334" w:type="dxa"/>
            <w:vAlign w:val="center"/>
          </w:tcPr>
          <w:p w:rsidR="00BC719B" w:rsidRDefault="00790D68">
            <w:pPr>
              <w:jc w:val="center"/>
            </w:pPr>
            <w:r>
              <w:rPr>
                <w:color w:val="000000"/>
                <w:sz w:val="24"/>
                <w:szCs w:val="24"/>
              </w:rPr>
              <w:t>000921</w:t>
            </w:r>
          </w:p>
        </w:tc>
        <w:tc>
          <w:tcPr>
            <w:tcW w:w="1777" w:type="dxa"/>
            <w:vAlign w:val="center"/>
          </w:tcPr>
          <w:p w:rsidR="00BC719B" w:rsidRDefault="00790D68">
            <w:pPr>
              <w:jc w:val="center"/>
            </w:pPr>
            <w:r>
              <w:rPr>
                <w:color w:val="000000"/>
                <w:sz w:val="24"/>
                <w:szCs w:val="24"/>
              </w:rPr>
              <w:t>海信科龙</w:t>
            </w:r>
          </w:p>
        </w:tc>
        <w:tc>
          <w:tcPr>
            <w:tcW w:w="1334" w:type="dxa"/>
            <w:vAlign w:val="center"/>
          </w:tcPr>
          <w:p w:rsidR="00BC719B" w:rsidRDefault="00790D68">
            <w:pPr>
              <w:jc w:val="right"/>
            </w:pPr>
            <w:r>
              <w:rPr>
                <w:color w:val="000000"/>
                <w:sz w:val="24"/>
                <w:szCs w:val="24"/>
              </w:rPr>
              <w:t>449,970</w:t>
            </w:r>
          </w:p>
        </w:tc>
        <w:tc>
          <w:tcPr>
            <w:tcW w:w="1924" w:type="dxa"/>
            <w:vAlign w:val="center"/>
          </w:tcPr>
          <w:p w:rsidR="00BC719B" w:rsidRDefault="00790D68">
            <w:pPr>
              <w:jc w:val="right"/>
            </w:pPr>
            <w:r>
              <w:rPr>
                <w:color w:val="000000"/>
                <w:sz w:val="24"/>
                <w:szCs w:val="24"/>
              </w:rPr>
              <w:t>5,512,132.50</w:t>
            </w:r>
          </w:p>
        </w:tc>
        <w:tc>
          <w:tcPr>
            <w:tcW w:w="1644" w:type="dxa"/>
            <w:vAlign w:val="center"/>
          </w:tcPr>
          <w:p w:rsidR="00BC719B" w:rsidRDefault="00790D68">
            <w:pPr>
              <w:jc w:val="right"/>
            </w:pPr>
            <w:r>
              <w:rPr>
                <w:color w:val="000000"/>
                <w:sz w:val="24"/>
                <w:szCs w:val="24"/>
              </w:rPr>
              <w:t>0.90</w:t>
            </w:r>
          </w:p>
        </w:tc>
      </w:tr>
      <w:tr w:rsidR="00BC719B">
        <w:trPr>
          <w:jc w:val="center"/>
        </w:trPr>
        <w:tc>
          <w:tcPr>
            <w:tcW w:w="855" w:type="dxa"/>
            <w:vAlign w:val="center"/>
          </w:tcPr>
          <w:p w:rsidR="00BC719B" w:rsidRDefault="00790D68">
            <w:pPr>
              <w:jc w:val="center"/>
            </w:pPr>
            <w:r>
              <w:rPr>
                <w:color w:val="000000"/>
                <w:sz w:val="24"/>
                <w:szCs w:val="24"/>
              </w:rPr>
              <w:t>10</w:t>
            </w:r>
          </w:p>
        </w:tc>
        <w:tc>
          <w:tcPr>
            <w:tcW w:w="1334" w:type="dxa"/>
            <w:vAlign w:val="center"/>
          </w:tcPr>
          <w:p w:rsidR="00BC719B" w:rsidRDefault="00790D68">
            <w:pPr>
              <w:jc w:val="center"/>
            </w:pPr>
            <w:r>
              <w:rPr>
                <w:color w:val="000000"/>
                <w:sz w:val="24"/>
                <w:szCs w:val="24"/>
              </w:rPr>
              <w:t>601398</w:t>
            </w:r>
          </w:p>
        </w:tc>
        <w:tc>
          <w:tcPr>
            <w:tcW w:w="1777" w:type="dxa"/>
            <w:vAlign w:val="center"/>
          </w:tcPr>
          <w:p w:rsidR="00BC719B" w:rsidRDefault="00790D68">
            <w:pPr>
              <w:jc w:val="center"/>
            </w:pPr>
            <w:r>
              <w:rPr>
                <w:color w:val="000000"/>
                <w:sz w:val="24"/>
                <w:szCs w:val="24"/>
              </w:rPr>
              <w:t>工商银行</w:t>
            </w:r>
          </w:p>
        </w:tc>
        <w:tc>
          <w:tcPr>
            <w:tcW w:w="1334" w:type="dxa"/>
            <w:vAlign w:val="center"/>
          </w:tcPr>
          <w:p w:rsidR="00BC719B" w:rsidRDefault="00790D68">
            <w:pPr>
              <w:jc w:val="right"/>
            </w:pPr>
            <w:r>
              <w:rPr>
                <w:color w:val="000000"/>
                <w:sz w:val="24"/>
                <w:szCs w:val="24"/>
              </w:rPr>
              <w:t>900,018</w:t>
            </w:r>
          </w:p>
        </w:tc>
        <w:tc>
          <w:tcPr>
            <w:tcW w:w="1924" w:type="dxa"/>
            <w:vAlign w:val="center"/>
          </w:tcPr>
          <w:p w:rsidR="00BC719B" w:rsidRDefault="00790D68">
            <w:pPr>
              <w:jc w:val="right"/>
            </w:pPr>
            <w:r>
              <w:rPr>
                <w:color w:val="000000"/>
                <w:sz w:val="24"/>
                <w:szCs w:val="24"/>
              </w:rPr>
              <w:t>5,481,109.62</w:t>
            </w:r>
          </w:p>
        </w:tc>
        <w:tc>
          <w:tcPr>
            <w:tcW w:w="1644" w:type="dxa"/>
            <w:vAlign w:val="center"/>
          </w:tcPr>
          <w:p w:rsidR="00BC719B" w:rsidRDefault="00790D68">
            <w:pPr>
              <w:jc w:val="right"/>
            </w:pPr>
            <w:r>
              <w:rPr>
                <w:color w:val="000000"/>
                <w:sz w:val="24"/>
                <w:szCs w:val="24"/>
              </w:rPr>
              <w:t>0.89</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tbl>
      <w:tblPr>
        <w:tblStyle w:val="af7"/>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2,286,457.20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0.37</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140,104,200.00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22.76</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140,104,200.00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22.76</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73,289,500.00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11.91</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50,437,000.00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8.19</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15,048,000.00</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2.44</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203,496,000.00</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33.06</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484,661,157.20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78.73</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BC719B">
        <w:trPr>
          <w:jc w:val="center"/>
        </w:trPr>
        <w:tc>
          <w:tcPr>
            <w:tcW w:w="850" w:type="dxa"/>
            <w:vAlign w:val="center"/>
          </w:tcPr>
          <w:p w:rsidR="00BC719B" w:rsidRDefault="00790D68">
            <w:pPr>
              <w:jc w:val="center"/>
            </w:pPr>
            <w:r>
              <w:rPr>
                <w:color w:val="000000"/>
                <w:sz w:val="24"/>
                <w:szCs w:val="24"/>
              </w:rPr>
              <w:t>1</w:t>
            </w:r>
          </w:p>
        </w:tc>
        <w:tc>
          <w:tcPr>
            <w:tcW w:w="1475" w:type="dxa"/>
            <w:vAlign w:val="center"/>
          </w:tcPr>
          <w:p w:rsidR="00BC719B" w:rsidRDefault="00790D68">
            <w:pPr>
              <w:jc w:val="center"/>
            </w:pPr>
            <w:r>
              <w:rPr>
                <w:color w:val="000000"/>
                <w:sz w:val="24"/>
                <w:szCs w:val="24"/>
              </w:rPr>
              <w:t>170210</w:t>
            </w:r>
          </w:p>
        </w:tc>
        <w:tc>
          <w:tcPr>
            <w:tcW w:w="1769" w:type="dxa"/>
            <w:vAlign w:val="center"/>
          </w:tcPr>
          <w:p w:rsidR="00BC719B" w:rsidRDefault="00790D68">
            <w:pPr>
              <w:jc w:val="center"/>
            </w:pPr>
            <w:r>
              <w:rPr>
                <w:color w:val="000000"/>
                <w:sz w:val="24"/>
                <w:szCs w:val="24"/>
              </w:rPr>
              <w:t>17</w:t>
            </w:r>
            <w:r>
              <w:rPr>
                <w:color w:val="000000"/>
                <w:sz w:val="24"/>
                <w:szCs w:val="24"/>
              </w:rPr>
              <w:t>国开</w:t>
            </w:r>
            <w:r>
              <w:rPr>
                <w:color w:val="000000"/>
                <w:sz w:val="24"/>
                <w:szCs w:val="24"/>
              </w:rPr>
              <w:t>10</w:t>
            </w:r>
          </w:p>
        </w:tc>
        <w:tc>
          <w:tcPr>
            <w:tcW w:w="1387" w:type="dxa"/>
            <w:vAlign w:val="center"/>
          </w:tcPr>
          <w:p w:rsidR="00BC719B" w:rsidRDefault="00790D68">
            <w:pPr>
              <w:jc w:val="right"/>
            </w:pPr>
            <w:r>
              <w:rPr>
                <w:color w:val="000000"/>
                <w:sz w:val="24"/>
                <w:szCs w:val="24"/>
              </w:rPr>
              <w:t>1,100,000</w:t>
            </w:r>
          </w:p>
        </w:tc>
        <w:tc>
          <w:tcPr>
            <w:tcW w:w="2150" w:type="dxa"/>
            <w:vAlign w:val="center"/>
          </w:tcPr>
          <w:p w:rsidR="00BC719B" w:rsidRDefault="00790D68">
            <w:pPr>
              <w:jc w:val="right"/>
            </w:pPr>
            <w:r>
              <w:rPr>
                <w:color w:val="000000"/>
                <w:sz w:val="24"/>
                <w:szCs w:val="24"/>
              </w:rPr>
              <w:t>104,115,000.00</w:t>
            </w:r>
          </w:p>
        </w:tc>
        <w:tc>
          <w:tcPr>
            <w:tcW w:w="1237" w:type="dxa"/>
            <w:vAlign w:val="center"/>
          </w:tcPr>
          <w:p w:rsidR="00BC719B" w:rsidRDefault="00790D68">
            <w:pPr>
              <w:jc w:val="right"/>
            </w:pPr>
            <w:r>
              <w:rPr>
                <w:color w:val="000000"/>
                <w:sz w:val="24"/>
                <w:szCs w:val="24"/>
              </w:rPr>
              <w:t>16.91</w:t>
            </w:r>
          </w:p>
        </w:tc>
      </w:tr>
      <w:tr w:rsidR="00BC719B">
        <w:trPr>
          <w:jc w:val="center"/>
        </w:trPr>
        <w:tc>
          <w:tcPr>
            <w:tcW w:w="850" w:type="dxa"/>
            <w:vAlign w:val="center"/>
          </w:tcPr>
          <w:p w:rsidR="00BC719B" w:rsidRDefault="00790D68">
            <w:pPr>
              <w:jc w:val="center"/>
            </w:pPr>
            <w:r>
              <w:rPr>
                <w:color w:val="000000"/>
                <w:sz w:val="24"/>
                <w:szCs w:val="24"/>
              </w:rPr>
              <w:t>2</w:t>
            </w:r>
          </w:p>
        </w:tc>
        <w:tc>
          <w:tcPr>
            <w:tcW w:w="1475" w:type="dxa"/>
            <w:vAlign w:val="center"/>
          </w:tcPr>
          <w:p w:rsidR="00BC719B" w:rsidRDefault="00790D68">
            <w:pPr>
              <w:jc w:val="center"/>
            </w:pPr>
            <w:r>
              <w:rPr>
                <w:color w:val="000000"/>
                <w:sz w:val="24"/>
                <w:szCs w:val="24"/>
              </w:rPr>
              <w:t>136837</w:t>
            </w:r>
          </w:p>
        </w:tc>
        <w:tc>
          <w:tcPr>
            <w:tcW w:w="1769" w:type="dxa"/>
            <w:vAlign w:val="center"/>
          </w:tcPr>
          <w:p w:rsidR="00BC719B" w:rsidRDefault="00790D68">
            <w:pPr>
              <w:jc w:val="center"/>
            </w:pPr>
            <w:r>
              <w:rPr>
                <w:color w:val="000000"/>
                <w:sz w:val="24"/>
                <w:szCs w:val="24"/>
              </w:rPr>
              <w:t>16</w:t>
            </w:r>
            <w:r>
              <w:rPr>
                <w:color w:val="000000"/>
                <w:sz w:val="24"/>
                <w:szCs w:val="24"/>
              </w:rPr>
              <w:t>穗发</w:t>
            </w:r>
            <w:r>
              <w:rPr>
                <w:color w:val="000000"/>
                <w:sz w:val="24"/>
                <w:szCs w:val="24"/>
              </w:rPr>
              <w:t>01</w:t>
            </w:r>
          </w:p>
        </w:tc>
        <w:tc>
          <w:tcPr>
            <w:tcW w:w="1387" w:type="dxa"/>
            <w:vAlign w:val="center"/>
          </w:tcPr>
          <w:p w:rsidR="00BC719B" w:rsidRDefault="00790D68">
            <w:pPr>
              <w:jc w:val="right"/>
            </w:pPr>
            <w:r>
              <w:rPr>
                <w:color w:val="000000"/>
                <w:sz w:val="24"/>
                <w:szCs w:val="24"/>
              </w:rPr>
              <w:t>400,000</w:t>
            </w:r>
          </w:p>
        </w:tc>
        <w:tc>
          <w:tcPr>
            <w:tcW w:w="2150" w:type="dxa"/>
            <w:vAlign w:val="center"/>
          </w:tcPr>
          <w:p w:rsidR="00BC719B" w:rsidRDefault="00790D68">
            <w:pPr>
              <w:jc w:val="right"/>
            </w:pPr>
            <w:r>
              <w:rPr>
                <w:color w:val="000000"/>
                <w:sz w:val="24"/>
                <w:szCs w:val="24"/>
              </w:rPr>
              <w:t>39,000,000.00</w:t>
            </w:r>
          </w:p>
        </w:tc>
        <w:tc>
          <w:tcPr>
            <w:tcW w:w="1237" w:type="dxa"/>
            <w:vAlign w:val="center"/>
          </w:tcPr>
          <w:p w:rsidR="00BC719B" w:rsidRDefault="00790D68">
            <w:pPr>
              <w:jc w:val="right"/>
            </w:pPr>
            <w:r>
              <w:rPr>
                <w:color w:val="000000"/>
                <w:sz w:val="24"/>
                <w:szCs w:val="24"/>
              </w:rPr>
              <w:t>6.34</w:t>
            </w:r>
          </w:p>
        </w:tc>
      </w:tr>
      <w:tr w:rsidR="00BC719B">
        <w:trPr>
          <w:jc w:val="center"/>
        </w:trPr>
        <w:tc>
          <w:tcPr>
            <w:tcW w:w="850" w:type="dxa"/>
            <w:vAlign w:val="center"/>
          </w:tcPr>
          <w:p w:rsidR="00BC719B" w:rsidRDefault="00790D68">
            <w:pPr>
              <w:jc w:val="center"/>
            </w:pPr>
            <w:r>
              <w:rPr>
                <w:color w:val="000000"/>
                <w:sz w:val="24"/>
                <w:szCs w:val="24"/>
              </w:rPr>
              <w:t>3</w:t>
            </w:r>
          </w:p>
        </w:tc>
        <w:tc>
          <w:tcPr>
            <w:tcW w:w="1475" w:type="dxa"/>
            <w:vAlign w:val="center"/>
          </w:tcPr>
          <w:p w:rsidR="00BC719B" w:rsidRDefault="00790D68">
            <w:pPr>
              <w:jc w:val="center"/>
            </w:pPr>
            <w:r>
              <w:rPr>
                <w:color w:val="000000"/>
                <w:sz w:val="24"/>
                <w:szCs w:val="24"/>
              </w:rPr>
              <w:t>108601</w:t>
            </w:r>
          </w:p>
        </w:tc>
        <w:tc>
          <w:tcPr>
            <w:tcW w:w="1769" w:type="dxa"/>
            <w:vAlign w:val="center"/>
          </w:tcPr>
          <w:p w:rsidR="00BC719B" w:rsidRDefault="00790D68">
            <w:pPr>
              <w:jc w:val="center"/>
            </w:pPr>
            <w:r>
              <w:rPr>
                <w:color w:val="000000"/>
                <w:sz w:val="24"/>
                <w:szCs w:val="24"/>
              </w:rPr>
              <w:t>国开</w:t>
            </w:r>
            <w:r>
              <w:rPr>
                <w:color w:val="000000"/>
                <w:sz w:val="24"/>
                <w:szCs w:val="24"/>
              </w:rPr>
              <w:t>1703</w:t>
            </w:r>
          </w:p>
        </w:tc>
        <w:tc>
          <w:tcPr>
            <w:tcW w:w="1387" w:type="dxa"/>
            <w:vAlign w:val="center"/>
          </w:tcPr>
          <w:p w:rsidR="00BC719B" w:rsidRDefault="00790D68">
            <w:pPr>
              <w:jc w:val="right"/>
            </w:pPr>
            <w:r>
              <w:rPr>
                <w:color w:val="000000"/>
                <w:sz w:val="24"/>
                <w:szCs w:val="24"/>
              </w:rPr>
              <w:t>360,000</w:t>
            </w:r>
          </w:p>
        </w:tc>
        <w:tc>
          <w:tcPr>
            <w:tcW w:w="2150" w:type="dxa"/>
            <w:vAlign w:val="center"/>
          </w:tcPr>
          <w:p w:rsidR="00BC719B" w:rsidRDefault="00790D68">
            <w:pPr>
              <w:jc w:val="right"/>
            </w:pPr>
            <w:r>
              <w:rPr>
                <w:color w:val="000000"/>
                <w:sz w:val="24"/>
                <w:szCs w:val="24"/>
              </w:rPr>
              <w:t>35,989,200.00</w:t>
            </w:r>
          </w:p>
        </w:tc>
        <w:tc>
          <w:tcPr>
            <w:tcW w:w="1237" w:type="dxa"/>
            <w:vAlign w:val="center"/>
          </w:tcPr>
          <w:p w:rsidR="00BC719B" w:rsidRDefault="00790D68">
            <w:pPr>
              <w:jc w:val="right"/>
            </w:pPr>
            <w:r>
              <w:rPr>
                <w:color w:val="000000"/>
                <w:sz w:val="24"/>
                <w:szCs w:val="24"/>
              </w:rPr>
              <w:t>5.85</w:t>
            </w:r>
          </w:p>
        </w:tc>
      </w:tr>
      <w:tr w:rsidR="00BC719B">
        <w:trPr>
          <w:jc w:val="center"/>
        </w:trPr>
        <w:tc>
          <w:tcPr>
            <w:tcW w:w="850" w:type="dxa"/>
            <w:vAlign w:val="center"/>
          </w:tcPr>
          <w:p w:rsidR="00BC719B" w:rsidRDefault="00790D68">
            <w:pPr>
              <w:jc w:val="center"/>
            </w:pPr>
            <w:r>
              <w:rPr>
                <w:color w:val="000000"/>
                <w:sz w:val="24"/>
                <w:szCs w:val="24"/>
              </w:rPr>
              <w:t>4</w:t>
            </w:r>
          </w:p>
        </w:tc>
        <w:tc>
          <w:tcPr>
            <w:tcW w:w="1475" w:type="dxa"/>
            <w:vAlign w:val="center"/>
          </w:tcPr>
          <w:p w:rsidR="00BC719B" w:rsidRDefault="00790D68">
            <w:pPr>
              <w:jc w:val="center"/>
            </w:pPr>
            <w:r>
              <w:rPr>
                <w:color w:val="000000"/>
                <w:sz w:val="24"/>
                <w:szCs w:val="24"/>
              </w:rPr>
              <w:t>111714335</w:t>
            </w:r>
          </w:p>
        </w:tc>
        <w:tc>
          <w:tcPr>
            <w:tcW w:w="1769" w:type="dxa"/>
            <w:vAlign w:val="center"/>
          </w:tcPr>
          <w:p w:rsidR="00BC719B" w:rsidRDefault="00790D68">
            <w:pPr>
              <w:jc w:val="center"/>
            </w:pPr>
            <w:r>
              <w:rPr>
                <w:color w:val="000000"/>
                <w:sz w:val="24"/>
                <w:szCs w:val="24"/>
              </w:rPr>
              <w:t>17</w:t>
            </w:r>
            <w:r>
              <w:rPr>
                <w:color w:val="000000"/>
                <w:sz w:val="24"/>
                <w:szCs w:val="24"/>
              </w:rPr>
              <w:t>江苏银行</w:t>
            </w:r>
            <w:r>
              <w:rPr>
                <w:color w:val="000000"/>
                <w:sz w:val="24"/>
                <w:szCs w:val="24"/>
              </w:rPr>
              <w:t>CD335</w:t>
            </w:r>
          </w:p>
        </w:tc>
        <w:tc>
          <w:tcPr>
            <w:tcW w:w="1387" w:type="dxa"/>
            <w:vAlign w:val="center"/>
          </w:tcPr>
          <w:p w:rsidR="00BC719B" w:rsidRDefault="00790D68">
            <w:pPr>
              <w:jc w:val="right"/>
            </w:pPr>
            <w:r>
              <w:rPr>
                <w:color w:val="000000"/>
                <w:sz w:val="24"/>
                <w:szCs w:val="24"/>
              </w:rPr>
              <w:t>300,000</w:t>
            </w:r>
          </w:p>
        </w:tc>
        <w:tc>
          <w:tcPr>
            <w:tcW w:w="2150" w:type="dxa"/>
            <w:vAlign w:val="center"/>
          </w:tcPr>
          <w:p w:rsidR="00BC719B" w:rsidRDefault="00790D68">
            <w:pPr>
              <w:jc w:val="right"/>
            </w:pPr>
            <w:r>
              <w:rPr>
                <w:color w:val="000000"/>
                <w:sz w:val="24"/>
                <w:szCs w:val="24"/>
              </w:rPr>
              <w:t>29,310,000.00</w:t>
            </w:r>
          </w:p>
        </w:tc>
        <w:tc>
          <w:tcPr>
            <w:tcW w:w="1237" w:type="dxa"/>
            <w:vAlign w:val="center"/>
          </w:tcPr>
          <w:p w:rsidR="00BC719B" w:rsidRDefault="00790D68">
            <w:pPr>
              <w:jc w:val="right"/>
            </w:pPr>
            <w:r>
              <w:rPr>
                <w:color w:val="000000"/>
                <w:sz w:val="24"/>
                <w:szCs w:val="24"/>
              </w:rPr>
              <w:t>4.76</w:t>
            </w:r>
          </w:p>
        </w:tc>
      </w:tr>
      <w:tr w:rsidR="00BC719B">
        <w:trPr>
          <w:jc w:val="center"/>
        </w:trPr>
        <w:tc>
          <w:tcPr>
            <w:tcW w:w="850" w:type="dxa"/>
            <w:vAlign w:val="center"/>
          </w:tcPr>
          <w:p w:rsidR="00BC719B" w:rsidRDefault="00790D68">
            <w:pPr>
              <w:jc w:val="center"/>
            </w:pPr>
            <w:r>
              <w:rPr>
                <w:color w:val="000000"/>
                <w:sz w:val="24"/>
                <w:szCs w:val="24"/>
              </w:rPr>
              <w:lastRenderedPageBreak/>
              <w:t>5</w:t>
            </w:r>
          </w:p>
        </w:tc>
        <w:tc>
          <w:tcPr>
            <w:tcW w:w="1475" w:type="dxa"/>
            <w:vAlign w:val="center"/>
          </w:tcPr>
          <w:p w:rsidR="00BC719B" w:rsidRDefault="00790D68">
            <w:pPr>
              <w:jc w:val="center"/>
            </w:pPr>
            <w:r>
              <w:rPr>
                <w:color w:val="000000"/>
                <w:sz w:val="24"/>
                <w:szCs w:val="24"/>
              </w:rPr>
              <w:t>111891373</w:t>
            </w:r>
          </w:p>
        </w:tc>
        <w:tc>
          <w:tcPr>
            <w:tcW w:w="1769" w:type="dxa"/>
            <w:vAlign w:val="center"/>
          </w:tcPr>
          <w:p w:rsidR="00BC719B" w:rsidRDefault="00790D68">
            <w:pPr>
              <w:jc w:val="center"/>
            </w:pPr>
            <w:r>
              <w:rPr>
                <w:color w:val="000000"/>
                <w:sz w:val="24"/>
                <w:szCs w:val="24"/>
              </w:rPr>
              <w:t>18</w:t>
            </w:r>
            <w:r>
              <w:rPr>
                <w:color w:val="000000"/>
                <w:sz w:val="24"/>
                <w:szCs w:val="24"/>
              </w:rPr>
              <w:t>南京银行</w:t>
            </w:r>
            <w:r>
              <w:rPr>
                <w:color w:val="000000"/>
                <w:sz w:val="24"/>
                <w:szCs w:val="24"/>
              </w:rPr>
              <w:t>CD012</w:t>
            </w:r>
          </w:p>
        </w:tc>
        <w:tc>
          <w:tcPr>
            <w:tcW w:w="1387" w:type="dxa"/>
            <w:vAlign w:val="center"/>
          </w:tcPr>
          <w:p w:rsidR="00BC719B" w:rsidRDefault="00790D68">
            <w:pPr>
              <w:jc w:val="right"/>
            </w:pPr>
            <w:r>
              <w:rPr>
                <w:color w:val="000000"/>
                <w:sz w:val="24"/>
                <w:szCs w:val="24"/>
              </w:rPr>
              <w:t>300,000</w:t>
            </w:r>
          </w:p>
        </w:tc>
        <w:tc>
          <w:tcPr>
            <w:tcW w:w="2150" w:type="dxa"/>
            <w:vAlign w:val="center"/>
          </w:tcPr>
          <w:p w:rsidR="00BC719B" w:rsidRDefault="00790D68">
            <w:pPr>
              <w:jc w:val="right"/>
            </w:pPr>
            <w:r>
              <w:rPr>
                <w:color w:val="000000"/>
                <w:sz w:val="24"/>
                <w:szCs w:val="24"/>
              </w:rPr>
              <w:t>28,989,000.00</w:t>
            </w:r>
          </w:p>
        </w:tc>
        <w:tc>
          <w:tcPr>
            <w:tcW w:w="1237" w:type="dxa"/>
            <w:vAlign w:val="center"/>
          </w:tcPr>
          <w:p w:rsidR="00BC719B" w:rsidRDefault="00790D68">
            <w:pPr>
              <w:jc w:val="right"/>
            </w:pPr>
            <w:r>
              <w:rPr>
                <w:color w:val="000000"/>
                <w:sz w:val="24"/>
                <w:szCs w:val="24"/>
              </w:rPr>
              <w:t>4.71</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8C61D6" w:rsidRPr="008C61D6" w:rsidRDefault="00BE5388" w:rsidP="008C61D6">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008C61D6" w:rsidRPr="008C61D6">
        <w:rPr>
          <w:rFonts w:hint="eastAsia"/>
          <w:bCs/>
          <w:color w:val="000000"/>
          <w:kern w:val="0"/>
          <w:sz w:val="24"/>
          <w:szCs w:val="24"/>
        </w:rPr>
        <w:t>报告期内本基金投资的前十名证券的发行主体除</w:t>
      </w:r>
      <w:r w:rsidR="008C61D6" w:rsidRPr="008C61D6">
        <w:rPr>
          <w:rFonts w:hint="eastAsia"/>
          <w:bCs/>
          <w:color w:val="000000"/>
          <w:kern w:val="0"/>
          <w:sz w:val="24"/>
          <w:szCs w:val="24"/>
        </w:rPr>
        <w:t>18</w:t>
      </w:r>
      <w:r w:rsidR="008C61D6" w:rsidRPr="008C61D6">
        <w:rPr>
          <w:rFonts w:hint="eastAsia"/>
          <w:bCs/>
          <w:color w:val="000000"/>
          <w:kern w:val="0"/>
          <w:sz w:val="24"/>
          <w:szCs w:val="24"/>
        </w:rPr>
        <w:t>南京银行</w:t>
      </w:r>
      <w:r w:rsidR="008C61D6" w:rsidRPr="008C61D6">
        <w:rPr>
          <w:rFonts w:hint="eastAsia"/>
          <w:bCs/>
          <w:color w:val="000000"/>
          <w:kern w:val="0"/>
          <w:sz w:val="24"/>
          <w:szCs w:val="24"/>
        </w:rPr>
        <w:t>CD012</w:t>
      </w:r>
      <w:r w:rsidR="008C61D6" w:rsidRPr="008C61D6">
        <w:rPr>
          <w:rFonts w:hint="eastAsia"/>
          <w:bCs/>
          <w:color w:val="000000"/>
          <w:kern w:val="0"/>
          <w:sz w:val="24"/>
          <w:szCs w:val="24"/>
        </w:rPr>
        <w:t>（证券代码：</w:t>
      </w:r>
      <w:r w:rsidR="008C61D6" w:rsidRPr="008C61D6">
        <w:rPr>
          <w:rFonts w:hint="eastAsia"/>
          <w:bCs/>
          <w:color w:val="000000"/>
          <w:kern w:val="0"/>
          <w:sz w:val="24"/>
          <w:szCs w:val="24"/>
        </w:rPr>
        <w:t>111891373</w:t>
      </w:r>
      <w:r w:rsidR="008C61D6" w:rsidRPr="008C61D6">
        <w:rPr>
          <w:rFonts w:hint="eastAsia"/>
          <w:bCs/>
          <w:color w:val="000000"/>
          <w:kern w:val="0"/>
          <w:sz w:val="24"/>
          <w:szCs w:val="24"/>
        </w:rPr>
        <w:t>）、</w:t>
      </w:r>
      <w:r w:rsidR="008C61D6" w:rsidRPr="008C61D6">
        <w:rPr>
          <w:rFonts w:hint="eastAsia"/>
          <w:bCs/>
          <w:color w:val="000000"/>
          <w:kern w:val="0"/>
          <w:sz w:val="24"/>
          <w:szCs w:val="24"/>
        </w:rPr>
        <w:t>17</w:t>
      </w:r>
      <w:r w:rsidR="008C61D6" w:rsidRPr="008C61D6">
        <w:rPr>
          <w:rFonts w:hint="eastAsia"/>
          <w:bCs/>
          <w:color w:val="000000"/>
          <w:kern w:val="0"/>
          <w:sz w:val="24"/>
          <w:szCs w:val="24"/>
        </w:rPr>
        <w:t>青海盐湖</w:t>
      </w:r>
      <w:r w:rsidR="008C61D6" w:rsidRPr="008C61D6">
        <w:rPr>
          <w:rFonts w:hint="eastAsia"/>
          <w:bCs/>
          <w:color w:val="000000"/>
          <w:kern w:val="0"/>
          <w:sz w:val="24"/>
          <w:szCs w:val="24"/>
        </w:rPr>
        <w:t>CP001</w:t>
      </w:r>
      <w:r w:rsidR="008C61D6" w:rsidRPr="008C61D6">
        <w:rPr>
          <w:rFonts w:hint="eastAsia"/>
          <w:bCs/>
          <w:color w:val="000000"/>
          <w:kern w:val="0"/>
          <w:sz w:val="24"/>
          <w:szCs w:val="24"/>
        </w:rPr>
        <w:t>（</w:t>
      </w:r>
      <w:r w:rsidR="008C61D6" w:rsidRPr="008C61D6">
        <w:rPr>
          <w:rFonts w:hint="eastAsia"/>
          <w:bCs/>
          <w:color w:val="000000"/>
          <w:kern w:val="0"/>
          <w:sz w:val="24"/>
          <w:szCs w:val="24"/>
        </w:rPr>
        <w:t>041751006</w:t>
      </w:r>
      <w:r w:rsidR="008C61D6" w:rsidRPr="008C61D6">
        <w:rPr>
          <w:rFonts w:hint="eastAsia"/>
          <w:bCs/>
          <w:color w:val="000000"/>
          <w:kern w:val="0"/>
          <w:sz w:val="24"/>
          <w:szCs w:val="24"/>
        </w:rPr>
        <w:t>）外，未出现被监管部门立案调查，或在报告编制日前一年内受到公开谴责、处罚的情形。</w:t>
      </w:r>
    </w:p>
    <w:p w:rsidR="008C61D6" w:rsidRPr="008C61D6" w:rsidRDefault="008C61D6" w:rsidP="008C61D6">
      <w:pPr>
        <w:autoSpaceDE w:val="0"/>
        <w:autoSpaceDN w:val="0"/>
        <w:adjustRightInd w:val="0"/>
        <w:spacing w:before="29" w:line="288" w:lineRule="auto"/>
        <w:jc w:val="left"/>
        <w:rPr>
          <w:bCs/>
          <w:color w:val="000000"/>
          <w:kern w:val="0"/>
          <w:sz w:val="24"/>
          <w:szCs w:val="24"/>
        </w:rPr>
      </w:pPr>
      <w:r w:rsidRPr="008C61D6">
        <w:rPr>
          <w:rFonts w:hint="eastAsia"/>
          <w:bCs/>
          <w:color w:val="000000"/>
          <w:kern w:val="0"/>
          <w:sz w:val="24"/>
          <w:szCs w:val="24"/>
        </w:rPr>
        <w:t>报告期内本基金投资的前十名证券之一</w:t>
      </w:r>
      <w:r w:rsidRPr="008C61D6">
        <w:rPr>
          <w:rFonts w:hint="eastAsia"/>
          <w:bCs/>
          <w:color w:val="000000"/>
          <w:kern w:val="0"/>
          <w:sz w:val="24"/>
          <w:szCs w:val="24"/>
        </w:rPr>
        <w:t>18</w:t>
      </w:r>
      <w:r w:rsidRPr="008C61D6">
        <w:rPr>
          <w:rFonts w:hint="eastAsia"/>
          <w:bCs/>
          <w:color w:val="000000"/>
          <w:kern w:val="0"/>
          <w:sz w:val="24"/>
          <w:szCs w:val="24"/>
        </w:rPr>
        <w:t>南京银行</w:t>
      </w:r>
      <w:r w:rsidRPr="008C61D6">
        <w:rPr>
          <w:rFonts w:hint="eastAsia"/>
          <w:bCs/>
          <w:color w:val="000000"/>
          <w:kern w:val="0"/>
          <w:sz w:val="24"/>
          <w:szCs w:val="24"/>
        </w:rPr>
        <w:t>CD012</w:t>
      </w:r>
      <w:r w:rsidRPr="008C61D6">
        <w:rPr>
          <w:rFonts w:hint="eastAsia"/>
          <w:bCs/>
          <w:color w:val="000000"/>
          <w:kern w:val="0"/>
          <w:sz w:val="24"/>
          <w:szCs w:val="24"/>
        </w:rPr>
        <w:t>（证券代码：</w:t>
      </w:r>
      <w:r w:rsidRPr="008C61D6">
        <w:rPr>
          <w:rFonts w:hint="eastAsia"/>
          <w:bCs/>
          <w:color w:val="000000"/>
          <w:kern w:val="0"/>
          <w:sz w:val="24"/>
          <w:szCs w:val="24"/>
        </w:rPr>
        <w:t>111891373</w:t>
      </w:r>
      <w:r w:rsidRPr="008C61D6">
        <w:rPr>
          <w:rFonts w:hint="eastAsia"/>
          <w:bCs/>
          <w:color w:val="000000"/>
          <w:kern w:val="0"/>
          <w:sz w:val="24"/>
          <w:szCs w:val="24"/>
        </w:rPr>
        <w:t>）的发行主体南京银行于</w:t>
      </w:r>
      <w:r w:rsidRPr="008C61D6">
        <w:rPr>
          <w:rFonts w:hint="eastAsia"/>
          <w:bCs/>
          <w:color w:val="000000"/>
          <w:kern w:val="0"/>
          <w:sz w:val="24"/>
          <w:szCs w:val="24"/>
        </w:rPr>
        <w:t>2018</w:t>
      </w:r>
      <w:r w:rsidRPr="008C61D6">
        <w:rPr>
          <w:rFonts w:hint="eastAsia"/>
          <w:bCs/>
          <w:color w:val="000000"/>
          <w:kern w:val="0"/>
          <w:sz w:val="24"/>
          <w:szCs w:val="24"/>
        </w:rPr>
        <w:t>年</w:t>
      </w:r>
      <w:r w:rsidRPr="008C61D6">
        <w:rPr>
          <w:rFonts w:hint="eastAsia"/>
          <w:bCs/>
          <w:color w:val="000000"/>
          <w:kern w:val="0"/>
          <w:sz w:val="24"/>
          <w:szCs w:val="24"/>
        </w:rPr>
        <w:t>1</w:t>
      </w:r>
      <w:r w:rsidRPr="008C61D6">
        <w:rPr>
          <w:rFonts w:hint="eastAsia"/>
          <w:bCs/>
          <w:color w:val="000000"/>
          <w:kern w:val="0"/>
          <w:sz w:val="24"/>
          <w:szCs w:val="24"/>
        </w:rPr>
        <w:t>月</w:t>
      </w:r>
      <w:r w:rsidRPr="008C61D6">
        <w:rPr>
          <w:rFonts w:hint="eastAsia"/>
          <w:bCs/>
          <w:color w:val="000000"/>
          <w:kern w:val="0"/>
          <w:sz w:val="24"/>
          <w:szCs w:val="24"/>
        </w:rPr>
        <w:t>30</w:t>
      </w:r>
      <w:r w:rsidRPr="008C61D6">
        <w:rPr>
          <w:rFonts w:hint="eastAsia"/>
          <w:bCs/>
          <w:color w:val="000000"/>
          <w:kern w:val="0"/>
          <w:sz w:val="24"/>
          <w:szCs w:val="24"/>
        </w:rPr>
        <w:t>日公告，公司收到中国银行业监督管理委员会江苏监管局行政处罚决定书（苏银监罚决字【</w:t>
      </w:r>
      <w:r w:rsidRPr="008C61D6">
        <w:rPr>
          <w:rFonts w:hint="eastAsia"/>
          <w:bCs/>
          <w:color w:val="000000"/>
          <w:kern w:val="0"/>
          <w:sz w:val="24"/>
          <w:szCs w:val="24"/>
        </w:rPr>
        <w:t>2018</w:t>
      </w:r>
      <w:r w:rsidRPr="008C61D6">
        <w:rPr>
          <w:rFonts w:hint="eastAsia"/>
          <w:bCs/>
          <w:color w:val="000000"/>
          <w:kern w:val="0"/>
          <w:sz w:val="24"/>
          <w:szCs w:val="24"/>
        </w:rPr>
        <w:t>】</w:t>
      </w:r>
      <w:r w:rsidRPr="008C61D6">
        <w:rPr>
          <w:rFonts w:hint="eastAsia"/>
          <w:bCs/>
          <w:color w:val="000000"/>
          <w:kern w:val="0"/>
          <w:sz w:val="24"/>
          <w:szCs w:val="24"/>
        </w:rPr>
        <w:t xml:space="preserve"> 1 </w:t>
      </w:r>
      <w:r w:rsidRPr="008C61D6">
        <w:rPr>
          <w:rFonts w:hint="eastAsia"/>
          <w:bCs/>
          <w:color w:val="000000"/>
          <w:kern w:val="0"/>
          <w:sz w:val="24"/>
          <w:szCs w:val="24"/>
        </w:rPr>
        <w:t>号</w:t>
      </w:r>
      <w:r w:rsidRPr="008C61D6">
        <w:rPr>
          <w:rFonts w:hint="eastAsia"/>
          <w:bCs/>
          <w:color w:val="000000"/>
          <w:kern w:val="0"/>
          <w:sz w:val="24"/>
          <w:szCs w:val="24"/>
        </w:rPr>
        <w:t>,</w:t>
      </w:r>
      <w:r w:rsidRPr="008C61D6">
        <w:rPr>
          <w:rFonts w:hint="eastAsia"/>
          <w:bCs/>
          <w:color w:val="000000"/>
          <w:kern w:val="0"/>
          <w:sz w:val="24"/>
          <w:szCs w:val="24"/>
        </w:rPr>
        <w:t>对镇江分行违规办理票据业务违反审慎经营原则的行为罚款</w:t>
      </w:r>
      <w:r w:rsidRPr="008C61D6">
        <w:rPr>
          <w:rFonts w:hint="eastAsia"/>
          <w:bCs/>
          <w:color w:val="000000"/>
          <w:kern w:val="0"/>
          <w:sz w:val="24"/>
          <w:szCs w:val="24"/>
        </w:rPr>
        <w:t>3230</w:t>
      </w:r>
      <w:r w:rsidRPr="008C61D6">
        <w:rPr>
          <w:rFonts w:hint="eastAsia"/>
          <w:bCs/>
          <w:color w:val="000000"/>
          <w:kern w:val="0"/>
          <w:sz w:val="24"/>
          <w:szCs w:val="24"/>
        </w:rPr>
        <w:t>万元人民币。</w:t>
      </w:r>
    </w:p>
    <w:p w:rsidR="008C61D6" w:rsidRPr="008C61D6" w:rsidRDefault="008C61D6" w:rsidP="008C61D6">
      <w:pPr>
        <w:autoSpaceDE w:val="0"/>
        <w:autoSpaceDN w:val="0"/>
        <w:adjustRightInd w:val="0"/>
        <w:spacing w:before="29" w:line="288" w:lineRule="auto"/>
        <w:jc w:val="left"/>
        <w:rPr>
          <w:bCs/>
          <w:color w:val="000000"/>
          <w:kern w:val="0"/>
          <w:sz w:val="24"/>
          <w:szCs w:val="24"/>
        </w:rPr>
      </w:pPr>
      <w:r w:rsidRPr="008C61D6">
        <w:rPr>
          <w:rFonts w:hint="eastAsia"/>
          <w:bCs/>
          <w:color w:val="000000"/>
          <w:kern w:val="0"/>
          <w:sz w:val="24"/>
          <w:szCs w:val="24"/>
        </w:rPr>
        <w:t>报告期内本基金投资的前十名证券之一</w:t>
      </w:r>
      <w:r w:rsidRPr="008C61D6">
        <w:rPr>
          <w:rFonts w:hint="eastAsia"/>
          <w:bCs/>
          <w:color w:val="000000"/>
          <w:kern w:val="0"/>
          <w:sz w:val="24"/>
          <w:szCs w:val="24"/>
        </w:rPr>
        <w:t>17</w:t>
      </w:r>
      <w:r w:rsidRPr="008C61D6">
        <w:rPr>
          <w:rFonts w:hint="eastAsia"/>
          <w:bCs/>
          <w:color w:val="000000"/>
          <w:kern w:val="0"/>
          <w:sz w:val="24"/>
          <w:szCs w:val="24"/>
        </w:rPr>
        <w:t>青海盐湖</w:t>
      </w:r>
      <w:r w:rsidRPr="008C61D6">
        <w:rPr>
          <w:rFonts w:hint="eastAsia"/>
          <w:bCs/>
          <w:color w:val="000000"/>
          <w:kern w:val="0"/>
          <w:sz w:val="24"/>
          <w:szCs w:val="24"/>
        </w:rPr>
        <w:t>CP001</w:t>
      </w:r>
      <w:r w:rsidRPr="008C61D6">
        <w:rPr>
          <w:rFonts w:hint="eastAsia"/>
          <w:bCs/>
          <w:color w:val="000000"/>
          <w:kern w:val="0"/>
          <w:sz w:val="24"/>
          <w:szCs w:val="24"/>
        </w:rPr>
        <w:t>（</w:t>
      </w:r>
      <w:r w:rsidRPr="008C61D6">
        <w:rPr>
          <w:rFonts w:hint="eastAsia"/>
          <w:bCs/>
          <w:color w:val="000000"/>
          <w:kern w:val="0"/>
          <w:sz w:val="24"/>
          <w:szCs w:val="24"/>
        </w:rPr>
        <w:t>041751006</w:t>
      </w:r>
      <w:r w:rsidRPr="008C61D6">
        <w:rPr>
          <w:rFonts w:hint="eastAsia"/>
          <w:bCs/>
          <w:color w:val="000000"/>
          <w:kern w:val="0"/>
          <w:sz w:val="24"/>
          <w:szCs w:val="24"/>
        </w:rPr>
        <w:t>）的发行主体盐湖股份于</w:t>
      </w:r>
      <w:r w:rsidRPr="008C61D6">
        <w:rPr>
          <w:rFonts w:hint="eastAsia"/>
          <w:bCs/>
          <w:color w:val="000000"/>
          <w:kern w:val="0"/>
          <w:sz w:val="24"/>
          <w:szCs w:val="24"/>
        </w:rPr>
        <w:t>2018</w:t>
      </w:r>
      <w:r w:rsidRPr="008C61D6">
        <w:rPr>
          <w:rFonts w:hint="eastAsia"/>
          <w:bCs/>
          <w:color w:val="000000"/>
          <w:kern w:val="0"/>
          <w:sz w:val="24"/>
          <w:szCs w:val="24"/>
        </w:rPr>
        <w:t>年</w:t>
      </w:r>
      <w:r w:rsidRPr="008C61D6">
        <w:rPr>
          <w:rFonts w:hint="eastAsia"/>
          <w:bCs/>
          <w:color w:val="000000"/>
          <w:kern w:val="0"/>
          <w:sz w:val="24"/>
          <w:szCs w:val="24"/>
        </w:rPr>
        <w:t>1</w:t>
      </w:r>
      <w:r w:rsidRPr="008C61D6">
        <w:rPr>
          <w:rFonts w:hint="eastAsia"/>
          <w:bCs/>
          <w:color w:val="000000"/>
          <w:kern w:val="0"/>
          <w:sz w:val="24"/>
          <w:szCs w:val="24"/>
        </w:rPr>
        <w:t>月</w:t>
      </w:r>
      <w:r w:rsidRPr="008C61D6">
        <w:rPr>
          <w:rFonts w:hint="eastAsia"/>
          <w:bCs/>
          <w:color w:val="000000"/>
          <w:kern w:val="0"/>
          <w:sz w:val="24"/>
          <w:szCs w:val="24"/>
        </w:rPr>
        <w:t>17</w:t>
      </w:r>
      <w:r w:rsidRPr="008C61D6">
        <w:rPr>
          <w:rFonts w:hint="eastAsia"/>
          <w:bCs/>
          <w:color w:val="000000"/>
          <w:kern w:val="0"/>
          <w:sz w:val="24"/>
          <w:szCs w:val="24"/>
        </w:rPr>
        <w:t>日公告，</w:t>
      </w:r>
      <w:r w:rsidRPr="008C61D6">
        <w:rPr>
          <w:rFonts w:hint="eastAsia"/>
          <w:bCs/>
          <w:color w:val="000000"/>
          <w:kern w:val="0"/>
          <w:sz w:val="24"/>
          <w:szCs w:val="24"/>
        </w:rPr>
        <w:t>2017</w:t>
      </w:r>
      <w:r w:rsidRPr="008C61D6">
        <w:rPr>
          <w:rFonts w:hint="eastAsia"/>
          <w:bCs/>
          <w:color w:val="000000"/>
          <w:kern w:val="0"/>
          <w:sz w:val="24"/>
          <w:szCs w:val="24"/>
        </w:rPr>
        <w:t>年</w:t>
      </w:r>
      <w:r w:rsidRPr="008C61D6">
        <w:rPr>
          <w:rFonts w:hint="eastAsia"/>
          <w:bCs/>
          <w:color w:val="000000"/>
          <w:kern w:val="0"/>
          <w:sz w:val="24"/>
          <w:szCs w:val="24"/>
        </w:rPr>
        <w:t>6</w:t>
      </w:r>
      <w:r w:rsidRPr="008C61D6">
        <w:rPr>
          <w:rFonts w:hint="eastAsia"/>
          <w:bCs/>
          <w:color w:val="000000"/>
          <w:kern w:val="0"/>
          <w:sz w:val="24"/>
          <w:szCs w:val="24"/>
        </w:rPr>
        <w:t>月</w:t>
      </w:r>
      <w:r w:rsidRPr="008C61D6">
        <w:rPr>
          <w:rFonts w:hint="eastAsia"/>
          <w:bCs/>
          <w:color w:val="000000"/>
          <w:kern w:val="0"/>
          <w:sz w:val="24"/>
          <w:szCs w:val="24"/>
        </w:rPr>
        <w:t>28</w:t>
      </w:r>
      <w:r w:rsidRPr="008C61D6">
        <w:rPr>
          <w:rFonts w:hint="eastAsia"/>
          <w:bCs/>
          <w:color w:val="000000"/>
          <w:kern w:val="0"/>
          <w:sz w:val="24"/>
          <w:szCs w:val="24"/>
        </w:rPr>
        <w:t>日公司的化工分公司乙炔厂一车间炭黑水处理系统复位工艺管道至炭黑水槽作业时发生乙炔爆炸事故，事故共造成</w:t>
      </w:r>
      <w:r w:rsidRPr="008C61D6">
        <w:rPr>
          <w:rFonts w:hint="eastAsia"/>
          <w:bCs/>
          <w:color w:val="000000"/>
          <w:kern w:val="0"/>
          <w:sz w:val="24"/>
          <w:szCs w:val="24"/>
        </w:rPr>
        <w:t>4</w:t>
      </w:r>
      <w:r w:rsidRPr="008C61D6">
        <w:rPr>
          <w:rFonts w:hint="eastAsia"/>
          <w:bCs/>
          <w:color w:val="000000"/>
          <w:kern w:val="0"/>
          <w:sz w:val="24"/>
          <w:szCs w:val="24"/>
        </w:rPr>
        <w:t>人死亡，直接经济损失</w:t>
      </w:r>
      <w:r w:rsidRPr="008C61D6">
        <w:rPr>
          <w:rFonts w:hint="eastAsia"/>
          <w:bCs/>
          <w:color w:val="000000"/>
          <w:kern w:val="0"/>
          <w:sz w:val="24"/>
          <w:szCs w:val="24"/>
        </w:rPr>
        <w:t>282.4</w:t>
      </w:r>
      <w:r w:rsidRPr="008C61D6">
        <w:rPr>
          <w:rFonts w:hint="eastAsia"/>
          <w:bCs/>
          <w:color w:val="000000"/>
          <w:kern w:val="0"/>
          <w:sz w:val="24"/>
          <w:szCs w:val="24"/>
        </w:rPr>
        <w:t>万元。根据海西州安监局下发的事故处理决定，对化工分公司处以</w:t>
      </w:r>
      <w:r w:rsidRPr="008C61D6">
        <w:rPr>
          <w:rFonts w:hint="eastAsia"/>
          <w:bCs/>
          <w:color w:val="000000"/>
          <w:kern w:val="0"/>
          <w:sz w:val="24"/>
          <w:szCs w:val="24"/>
        </w:rPr>
        <w:t>100</w:t>
      </w:r>
      <w:r w:rsidRPr="008C61D6">
        <w:rPr>
          <w:rFonts w:hint="eastAsia"/>
          <w:bCs/>
          <w:color w:val="000000"/>
          <w:kern w:val="0"/>
          <w:sz w:val="24"/>
          <w:szCs w:val="24"/>
        </w:rPr>
        <w:t>万元行政处罚。</w:t>
      </w:r>
    </w:p>
    <w:p w:rsidR="00BC719B" w:rsidRDefault="008C61D6" w:rsidP="008C61D6">
      <w:pPr>
        <w:autoSpaceDE w:val="0"/>
        <w:autoSpaceDN w:val="0"/>
        <w:adjustRightInd w:val="0"/>
        <w:spacing w:before="29" w:line="288" w:lineRule="auto"/>
        <w:jc w:val="left"/>
        <w:rPr>
          <w:bCs/>
          <w:color w:val="000000"/>
          <w:kern w:val="0"/>
          <w:sz w:val="24"/>
          <w:szCs w:val="24"/>
        </w:rPr>
      </w:pPr>
      <w:r w:rsidRPr="008C61D6">
        <w:rPr>
          <w:rFonts w:hint="eastAsia"/>
          <w:bCs/>
          <w:color w:val="000000"/>
          <w:kern w:val="0"/>
          <w:sz w:val="24"/>
          <w:szCs w:val="24"/>
        </w:rPr>
        <w:t>本基金管理人对上述证券投资决策程序的说明如下：本基金管理人对证券投资特别是重仓个券的投资有严格的投资决策流程控制。本基金在对上述证券的投资也严格执行投资决策流程。在对上述证券的选择上，严格执行公司个券审核流程。在对上述证券的持有</w:t>
      </w:r>
      <w:r w:rsidRPr="008C61D6">
        <w:rPr>
          <w:rFonts w:hint="eastAsia"/>
          <w:bCs/>
          <w:color w:val="000000"/>
          <w:kern w:val="0"/>
          <w:sz w:val="24"/>
          <w:szCs w:val="24"/>
        </w:rPr>
        <w:lastRenderedPageBreak/>
        <w:t>过程中研究员密切关注债券发行主体动向。在上述处罚发生时及时分析其对投资决策的影响，经过分析认为此事件对债券发行主体财务状况、经营成果和现金流量未产生重大的实质性影响，所以不影响对该债券基本面和投资价值的判断。</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12,411.04</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2,001,775.90</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11,988,688.09</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99.85</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14,002,974.88</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575270" w:rsidRDefault="001F3E2A" w:rsidP="001F3E2A">
      <w:pPr>
        <w:pStyle w:val="1"/>
        <w:spacing w:beforeLines="100" w:before="312" w:afterLines="100" w:after="312"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 xml:space="preserve">  </w:t>
      </w:r>
      <w:r w:rsidRPr="00575270">
        <w:rPr>
          <w:rFonts w:eastAsiaTheme="minorEastAsia" w:hint="eastAsia"/>
          <w:color w:val="000000" w:themeColor="text1"/>
          <w:kern w:val="0"/>
          <w:sz w:val="24"/>
          <w:szCs w:val="24"/>
        </w:rPr>
        <w:t>基金中基金</w:t>
      </w:r>
    </w:p>
    <w:p w:rsidR="001F3E2A" w:rsidRPr="00575270" w:rsidRDefault="001F3E2A" w:rsidP="001F3E2A">
      <w:pPr>
        <w:adjustRightInd w:val="0"/>
        <w:snapToGrid w:val="0"/>
        <w:spacing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6.1</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报告期末按公允价值占基金资产净值比例大小排序的前十名基金投资明细</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本基金本报告期末未持有基金。</w:t>
      </w:r>
    </w:p>
    <w:p w:rsidR="001F3E2A" w:rsidRPr="00575270" w:rsidRDefault="001F3E2A" w:rsidP="001F3E2A">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6.2</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当期交易及持有基金产生的费用</w:t>
      </w:r>
    </w:p>
    <w:p w:rsidR="001F3E2A"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本基金本报告期内未交易或持有基金。</w:t>
      </w:r>
    </w:p>
    <w:p w:rsidR="00627710" w:rsidRPr="00C06B0F" w:rsidRDefault="00627710" w:rsidP="00627710">
      <w:pPr>
        <w:autoSpaceDE w:val="0"/>
        <w:autoSpaceDN w:val="0"/>
        <w:adjustRightInd w:val="0"/>
        <w:spacing w:line="360" w:lineRule="auto"/>
        <w:jc w:val="left"/>
        <w:rPr>
          <w:rFonts w:eastAsiaTheme="minorEastAsia"/>
          <w:b/>
          <w:color w:val="000000" w:themeColor="text1"/>
          <w:sz w:val="24"/>
          <w:szCs w:val="24"/>
        </w:rPr>
      </w:pPr>
      <w:r w:rsidRPr="00C06B0F">
        <w:rPr>
          <w:rFonts w:eastAsiaTheme="minorEastAsia"/>
          <w:b/>
          <w:color w:val="000000" w:themeColor="text1"/>
          <w:sz w:val="24"/>
          <w:szCs w:val="24"/>
        </w:rPr>
        <w:lastRenderedPageBreak/>
        <w:t xml:space="preserve">6.3 </w:t>
      </w:r>
      <w:r w:rsidRPr="00C06B0F">
        <w:rPr>
          <w:rFonts w:eastAsiaTheme="minorEastAsia" w:hint="eastAsia"/>
          <w:b/>
          <w:color w:val="000000" w:themeColor="text1"/>
          <w:sz w:val="24"/>
          <w:szCs w:val="24"/>
        </w:rPr>
        <w:t>本报告期持有的基金发生的重大影响事件</w:t>
      </w:r>
    </w:p>
    <w:p w:rsidR="00627710" w:rsidRPr="00627710" w:rsidRDefault="00627710" w:rsidP="00627710">
      <w:pPr>
        <w:autoSpaceDE w:val="0"/>
        <w:autoSpaceDN w:val="0"/>
        <w:adjustRightInd w:val="0"/>
        <w:spacing w:line="360" w:lineRule="auto"/>
        <w:ind w:firstLineChars="200" w:firstLine="480"/>
        <w:jc w:val="left"/>
        <w:rPr>
          <w:rFonts w:eastAsiaTheme="minorEastAsia"/>
          <w:color w:val="000000" w:themeColor="text1"/>
          <w:sz w:val="24"/>
          <w:szCs w:val="24"/>
        </w:rPr>
      </w:pPr>
      <w:r w:rsidRPr="00627710">
        <w:rPr>
          <w:rFonts w:eastAsiaTheme="minorEastAsia" w:hint="eastAsia"/>
          <w:color w:val="000000" w:themeColor="text1"/>
          <w:sz w:val="24"/>
          <w:szCs w:val="24"/>
        </w:rPr>
        <w:t>无。</w:t>
      </w:r>
    </w:p>
    <w:p w:rsidR="004061AC" w:rsidRPr="005A3D62" w:rsidRDefault="004061AC" w:rsidP="005A3D62">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7</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549,653,243.43</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29,926.57</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15,631.85</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549,667,538.15</w:t>
            </w:r>
          </w:p>
        </w:tc>
      </w:tr>
    </w:tbl>
    <w:p w:rsidR="00BC719B" w:rsidRDefault="00790D68">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7B5F21">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8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8.1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8.2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220C32" w:rsidRDefault="003C50AD" w:rsidP="007B5F21">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§9</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bCs/>
          <w:color w:val="000000"/>
          <w:kern w:val="0"/>
          <w:sz w:val="24"/>
          <w:szCs w:val="24"/>
        </w:rPr>
        <w:t>9.</w:t>
      </w:r>
      <w:r w:rsidRPr="009A5C99">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C50AD" w:rsidRPr="004F4D27" w:rsidTr="00424D30">
        <w:tc>
          <w:tcPr>
            <w:tcW w:w="993" w:type="dxa"/>
            <w:vMerge w:val="restart"/>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xml:space="preserve">  </w:t>
            </w:r>
          </w:p>
        </w:tc>
        <w:tc>
          <w:tcPr>
            <w:tcW w:w="5670" w:type="dxa"/>
            <w:gridSpan w:val="5"/>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报告期内持有基金份额变化情况</w:t>
            </w:r>
          </w:p>
        </w:tc>
        <w:tc>
          <w:tcPr>
            <w:tcW w:w="2549" w:type="dxa"/>
            <w:gridSpan w:val="2"/>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w="993" w:type="dxa"/>
            <w:vMerge/>
            <w:vAlign w:val="center"/>
          </w:tcPr>
          <w:p w:rsidR="003C50AD" w:rsidRPr="004F4D27" w:rsidRDefault="003C50AD" w:rsidP="00424D30">
            <w:pPr>
              <w:autoSpaceDE w:val="0"/>
              <w:autoSpaceDN w:val="0"/>
              <w:adjustRightInd w:val="0"/>
              <w:jc w:val="center"/>
              <w:rPr>
                <w:rFonts w:ascii="宋体" w:hAnsi="宋体"/>
                <w:b/>
                <w:bCs/>
                <w:color w:val="000000"/>
                <w:kern w:val="0"/>
              </w:rPr>
            </w:pPr>
          </w:p>
        </w:tc>
        <w:tc>
          <w:tcPr>
            <w:tcW w:w="992"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w="1843"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w="851"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期初份额</w:t>
            </w:r>
          </w:p>
        </w:tc>
        <w:tc>
          <w:tcPr>
            <w:tcW w:w="850"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申购份额</w:t>
            </w:r>
          </w:p>
        </w:tc>
        <w:tc>
          <w:tcPr>
            <w:tcW w:w="1134"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赎回份额</w:t>
            </w:r>
          </w:p>
        </w:tc>
        <w:tc>
          <w:tcPr>
            <w:tcW w:w="1419"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w="1130"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rsidR="00BC719B">
        <w:tc>
          <w:tcPr>
            <w:tcW w:w="993" w:type="dxa"/>
            <w:vMerge w:val="restart"/>
          </w:tcPr>
          <w:p w:rsidR="00BC719B" w:rsidRDefault="00BC719B"/>
          <w:p w:rsidR="00BC719B" w:rsidRDefault="00790D68">
            <w:r>
              <w:rPr>
                <w:rFonts w:ascii="宋体" w:hAnsi="宋体" w:hint="eastAsia"/>
                <w:bCs/>
                <w:color w:val="000000"/>
                <w:kern w:val="0"/>
              </w:rPr>
              <w:t>机构</w:t>
            </w:r>
          </w:p>
        </w:tc>
        <w:tc>
          <w:tcPr>
            <w:tcW w:w="992" w:type="dxa"/>
            <w:vAlign w:val="center"/>
          </w:tcPr>
          <w:p w:rsidR="00BC719B" w:rsidRDefault="00790D68">
            <w:pPr>
              <w:jc w:val="center"/>
            </w:pPr>
            <w:r>
              <w:rPr>
                <w:rFonts w:ascii="宋体" w:hAnsi="宋体"/>
                <w:color w:val="000000"/>
                <w:kern w:val="0"/>
              </w:rPr>
              <w:t>1</w:t>
            </w:r>
          </w:p>
        </w:tc>
        <w:tc>
          <w:tcPr>
            <w:tcW w:w="1843" w:type="dxa"/>
            <w:vAlign w:val="center"/>
          </w:tcPr>
          <w:p w:rsidR="00BC719B" w:rsidRDefault="00790D68">
            <w:pPr>
              <w:jc w:val="center"/>
            </w:pPr>
            <w:r>
              <w:rPr>
                <w:rFonts w:ascii="宋体" w:hAnsi="宋体"/>
                <w:color w:val="000000"/>
                <w:kern w:val="0"/>
              </w:rPr>
              <w:t>2018/1/1-2018/3/31</w:t>
            </w:r>
          </w:p>
        </w:tc>
        <w:tc>
          <w:tcPr>
            <w:tcW w:w="851" w:type="dxa"/>
            <w:vAlign w:val="center"/>
          </w:tcPr>
          <w:p w:rsidR="00BC719B" w:rsidRDefault="00790D68">
            <w:pPr>
              <w:jc w:val="center"/>
            </w:pPr>
            <w:r>
              <w:rPr>
                <w:rFonts w:ascii="宋体" w:hAnsi="宋体"/>
                <w:color w:val="000000"/>
                <w:kern w:val="0"/>
              </w:rPr>
              <w:t>249,500,000.00</w:t>
            </w:r>
          </w:p>
        </w:tc>
        <w:tc>
          <w:tcPr>
            <w:tcW w:w="850" w:type="dxa"/>
            <w:vAlign w:val="center"/>
          </w:tcPr>
          <w:p w:rsidR="00BC719B" w:rsidRDefault="00790D68">
            <w:pPr>
              <w:jc w:val="center"/>
            </w:pPr>
            <w:r>
              <w:rPr>
                <w:rFonts w:ascii="宋体" w:hAnsi="宋体"/>
                <w:color w:val="000000"/>
                <w:kern w:val="0"/>
              </w:rPr>
              <w:t>-</w:t>
            </w:r>
          </w:p>
        </w:tc>
        <w:tc>
          <w:tcPr>
            <w:tcW w:w="1134" w:type="dxa"/>
            <w:vAlign w:val="center"/>
          </w:tcPr>
          <w:p w:rsidR="00BC719B" w:rsidRDefault="00790D68">
            <w:pPr>
              <w:jc w:val="center"/>
            </w:pPr>
            <w:r>
              <w:rPr>
                <w:rFonts w:ascii="宋体" w:hAnsi="宋体"/>
                <w:color w:val="000000"/>
                <w:kern w:val="0"/>
              </w:rPr>
              <w:t>-</w:t>
            </w:r>
          </w:p>
        </w:tc>
        <w:tc>
          <w:tcPr>
            <w:tcW w:w="1419" w:type="dxa"/>
            <w:vAlign w:val="center"/>
          </w:tcPr>
          <w:p w:rsidR="00BC719B" w:rsidRDefault="00790D68">
            <w:pPr>
              <w:jc w:val="center"/>
            </w:pPr>
            <w:r>
              <w:rPr>
                <w:rFonts w:ascii="宋体" w:hAnsi="宋体"/>
                <w:color w:val="000000"/>
                <w:kern w:val="0"/>
              </w:rPr>
              <w:t>249,500,000.00</w:t>
            </w:r>
          </w:p>
        </w:tc>
        <w:tc>
          <w:tcPr>
            <w:tcW w:w="1130" w:type="dxa"/>
            <w:vAlign w:val="center"/>
          </w:tcPr>
          <w:p w:rsidR="00BC719B" w:rsidRDefault="00790D68">
            <w:pPr>
              <w:jc w:val="center"/>
            </w:pPr>
            <w:r>
              <w:rPr>
                <w:rFonts w:ascii="宋体" w:hAnsi="宋体"/>
                <w:color w:val="000000"/>
                <w:kern w:val="0"/>
              </w:rPr>
              <w:t>45.39%</w:t>
            </w:r>
          </w:p>
        </w:tc>
      </w:tr>
      <w:tr w:rsidR="00BC719B">
        <w:tc>
          <w:tcPr>
            <w:tcW w:w="993" w:type="dxa"/>
            <w:vMerge/>
          </w:tcPr>
          <w:p w:rsidR="00BC719B" w:rsidRDefault="00BC719B"/>
        </w:tc>
        <w:tc>
          <w:tcPr>
            <w:tcW w:w="992" w:type="dxa"/>
            <w:vAlign w:val="center"/>
          </w:tcPr>
          <w:p w:rsidR="00BC719B" w:rsidRDefault="00790D68">
            <w:pPr>
              <w:jc w:val="center"/>
            </w:pPr>
            <w:r>
              <w:rPr>
                <w:rFonts w:ascii="宋体" w:hAnsi="宋体"/>
                <w:color w:val="000000"/>
                <w:kern w:val="0"/>
              </w:rPr>
              <w:t>2</w:t>
            </w:r>
          </w:p>
        </w:tc>
        <w:tc>
          <w:tcPr>
            <w:tcW w:w="1843" w:type="dxa"/>
            <w:vAlign w:val="center"/>
          </w:tcPr>
          <w:p w:rsidR="00BC719B" w:rsidRDefault="00790D68">
            <w:pPr>
              <w:jc w:val="center"/>
            </w:pPr>
            <w:r>
              <w:rPr>
                <w:rFonts w:ascii="宋体" w:hAnsi="宋体"/>
                <w:color w:val="000000"/>
                <w:kern w:val="0"/>
              </w:rPr>
              <w:t>2018/1/1-2018/3/31</w:t>
            </w:r>
          </w:p>
        </w:tc>
        <w:tc>
          <w:tcPr>
            <w:tcW w:w="851" w:type="dxa"/>
            <w:vAlign w:val="center"/>
          </w:tcPr>
          <w:p w:rsidR="00BC719B" w:rsidRDefault="00790D68">
            <w:pPr>
              <w:jc w:val="center"/>
            </w:pPr>
            <w:r>
              <w:rPr>
                <w:rFonts w:ascii="宋体" w:hAnsi="宋体"/>
                <w:color w:val="000000"/>
                <w:kern w:val="0"/>
              </w:rPr>
              <w:t>299,816,401.</w:t>
            </w:r>
            <w:r>
              <w:rPr>
                <w:rFonts w:ascii="宋体" w:hAnsi="宋体"/>
                <w:color w:val="000000"/>
                <w:kern w:val="0"/>
              </w:rPr>
              <w:lastRenderedPageBreak/>
              <w:t>20</w:t>
            </w:r>
          </w:p>
        </w:tc>
        <w:tc>
          <w:tcPr>
            <w:tcW w:w="850" w:type="dxa"/>
            <w:vAlign w:val="center"/>
          </w:tcPr>
          <w:p w:rsidR="00BC719B" w:rsidRDefault="00790D68">
            <w:pPr>
              <w:jc w:val="center"/>
            </w:pPr>
            <w:r>
              <w:rPr>
                <w:rFonts w:ascii="宋体" w:hAnsi="宋体"/>
                <w:color w:val="000000"/>
                <w:kern w:val="0"/>
              </w:rPr>
              <w:lastRenderedPageBreak/>
              <w:t>-</w:t>
            </w:r>
          </w:p>
        </w:tc>
        <w:tc>
          <w:tcPr>
            <w:tcW w:w="1134" w:type="dxa"/>
            <w:vAlign w:val="center"/>
          </w:tcPr>
          <w:p w:rsidR="00BC719B" w:rsidRDefault="00790D68">
            <w:pPr>
              <w:jc w:val="center"/>
            </w:pPr>
            <w:r>
              <w:rPr>
                <w:rFonts w:ascii="宋体" w:hAnsi="宋体"/>
                <w:color w:val="000000"/>
                <w:kern w:val="0"/>
              </w:rPr>
              <w:t>-</w:t>
            </w:r>
          </w:p>
        </w:tc>
        <w:tc>
          <w:tcPr>
            <w:tcW w:w="1419" w:type="dxa"/>
            <w:vAlign w:val="center"/>
          </w:tcPr>
          <w:p w:rsidR="00BC719B" w:rsidRDefault="00790D68">
            <w:pPr>
              <w:jc w:val="center"/>
            </w:pPr>
            <w:r>
              <w:rPr>
                <w:rFonts w:ascii="宋体" w:hAnsi="宋体"/>
                <w:color w:val="000000"/>
                <w:kern w:val="0"/>
              </w:rPr>
              <w:t>299,816,401.20</w:t>
            </w:r>
          </w:p>
        </w:tc>
        <w:tc>
          <w:tcPr>
            <w:tcW w:w="1130" w:type="dxa"/>
            <w:vAlign w:val="center"/>
          </w:tcPr>
          <w:p w:rsidR="00BC719B" w:rsidRDefault="00790D68">
            <w:pPr>
              <w:jc w:val="center"/>
            </w:pPr>
            <w:r>
              <w:rPr>
                <w:rFonts w:ascii="宋体" w:hAnsi="宋体"/>
                <w:color w:val="000000"/>
                <w:kern w:val="0"/>
              </w:rPr>
              <w:t>54.55%</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center"/>
              <w:rPr>
                <w:rFonts w:ascii="宋体" w:hAnsi="宋体"/>
                <w:kern w:val="0"/>
              </w:rPr>
            </w:pPr>
            <w:r w:rsidRPr="004F4D27">
              <w:rPr>
                <w:rFonts w:ascii="宋体" w:hAnsi="宋体"/>
                <w:color w:val="000000"/>
                <w:kern w:val="0"/>
              </w:rPr>
              <w:t>产品特有风险</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left"/>
              <w:rPr>
                <w:rFonts w:ascii="宋体" w:hAnsi="宋体"/>
                <w:kern w:val="0"/>
              </w:rPr>
            </w:pPr>
            <w:r w:rsidRPr="004F4D27">
              <w:rPr>
                <w:rFonts w:ascii="宋体" w:hAnsi="宋体" w:hint="eastAsia"/>
                <w:kern w:val="0"/>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hint="eastAsia"/>
          <w:b/>
          <w:bCs/>
          <w:color w:val="000000"/>
          <w:kern w:val="0"/>
          <w:sz w:val="24"/>
          <w:szCs w:val="24"/>
        </w:rPr>
        <w:t>9.2 影响投资者决策的其他重要信息</w:t>
      </w:r>
    </w:p>
    <w:p w:rsidR="00BC719B" w:rsidRDefault="00790D68">
      <w:pPr>
        <w:spacing w:line="360" w:lineRule="auto"/>
        <w:ind w:firstLineChars="200" w:firstLine="420"/>
        <w:rPr>
          <w:rFonts w:ascii="宋体" w:hAnsi="宋体"/>
          <w:color w:val="000000"/>
        </w:rPr>
      </w:pPr>
      <w:r>
        <w:rPr>
          <w:rFonts w:ascii="宋体" w:hAnsi="宋体"/>
          <w:color w:val="000000"/>
        </w:rPr>
        <w:t>1、根据财政部和国家税务总局于2016年12月21日联合发布的《关于明确金融、房地产开发、教育辅助服务等增值税政策的通知》（财税[2016]140号）以及于2017年6月30日联合发布的《财政部、税务总局关于资管产品增值税有关问题的通知》（财税[2017]56号）等规定，自2018年1月1日（含）起，基金管理人运营公开募集证券投资基金（以下简称“基金”）过程中发生的增值税应税行为，应按照现行规定缴纳增值税。本基金管理人将依据国家税收法律、法规、规章及税收规范性文件的规定，对管理的基金产品运营过程中产生的应税收入，计提及缴纳增值税及附加税费，该部分税费由基金资产承担。如后续国家法律法规、税收政策进行调整的，或者对基金产品的税收政策作出补充规定的，基金管理人将及时根据所涉及的税收政策作出相应调整，切实履行基金管理人的职责。</w:t>
      </w:r>
    </w:p>
    <w:p w:rsidR="003C50AD" w:rsidRPr="004F4D27" w:rsidRDefault="003C50AD" w:rsidP="003C50AD">
      <w:pPr>
        <w:spacing w:line="360" w:lineRule="auto"/>
        <w:ind w:firstLineChars="200" w:firstLine="420"/>
        <w:rPr>
          <w:rFonts w:ascii="宋体" w:hAnsi="宋体"/>
          <w:color w:val="000000"/>
        </w:rPr>
      </w:pPr>
      <w:r w:rsidRPr="004F4D27">
        <w:rPr>
          <w:rFonts w:ascii="宋体" w:hAnsi="宋体"/>
          <w:color w:val="000000"/>
        </w:rPr>
        <w:t>2、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w:t>
      </w:r>
    </w:p>
    <w:p w:rsidR="00ED6E80" w:rsidRPr="00414345" w:rsidRDefault="00ED6E80" w:rsidP="00C15CAC">
      <w:pPr>
        <w:spacing w:before="29" w:line="288" w:lineRule="auto"/>
        <w:ind w:firstLineChars="200" w:firstLine="480"/>
        <w:rPr>
          <w:color w:val="000000"/>
          <w:sz w:val="24"/>
          <w:szCs w:val="24"/>
        </w:rPr>
      </w:pPr>
    </w:p>
    <w:p w:rsidR="00B22DEE" w:rsidRPr="00E02660"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10</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BC719B" w:rsidRDefault="00790D68">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、中国证监会准予交银施罗德领先回报灵活配置混合型证券投资基金募集注册的文件；</w:t>
      </w:r>
      <w:r>
        <w:rPr>
          <w:color w:val="000000"/>
          <w:sz w:val="24"/>
          <w:szCs w:val="24"/>
        </w:rPr>
        <w:t xml:space="preserve"> </w:t>
      </w:r>
    </w:p>
    <w:p w:rsidR="00BC719B" w:rsidRDefault="00790D68">
      <w:pPr>
        <w:spacing w:before="29" w:line="288" w:lineRule="auto"/>
        <w:ind w:firstLineChars="200" w:firstLine="480"/>
        <w:rPr>
          <w:color w:val="000000"/>
          <w:sz w:val="24"/>
          <w:szCs w:val="24"/>
        </w:rPr>
      </w:pPr>
      <w:r>
        <w:rPr>
          <w:color w:val="000000"/>
          <w:sz w:val="24"/>
          <w:szCs w:val="24"/>
        </w:rPr>
        <w:t>2</w:t>
      </w:r>
      <w:r>
        <w:rPr>
          <w:color w:val="000000"/>
          <w:sz w:val="24"/>
          <w:szCs w:val="24"/>
        </w:rPr>
        <w:t>、《交银施罗德领先回报灵活配置混合型证券投资基金基金合同》；</w:t>
      </w:r>
      <w:r>
        <w:rPr>
          <w:color w:val="000000"/>
          <w:sz w:val="24"/>
          <w:szCs w:val="24"/>
        </w:rPr>
        <w:t xml:space="preserve"> </w:t>
      </w:r>
    </w:p>
    <w:p w:rsidR="00BC719B" w:rsidRDefault="00790D68">
      <w:pPr>
        <w:spacing w:before="29" w:line="288" w:lineRule="auto"/>
        <w:ind w:firstLineChars="200" w:firstLine="480"/>
        <w:rPr>
          <w:color w:val="000000"/>
          <w:sz w:val="24"/>
          <w:szCs w:val="24"/>
        </w:rPr>
      </w:pPr>
      <w:r>
        <w:rPr>
          <w:color w:val="000000"/>
          <w:sz w:val="24"/>
          <w:szCs w:val="24"/>
        </w:rPr>
        <w:t>3</w:t>
      </w:r>
      <w:r>
        <w:rPr>
          <w:color w:val="000000"/>
          <w:sz w:val="24"/>
          <w:szCs w:val="24"/>
        </w:rPr>
        <w:t>、《交银施罗德领先回报灵活配置混合型证券投资基金招募说明书》；</w:t>
      </w:r>
      <w:r>
        <w:rPr>
          <w:color w:val="000000"/>
          <w:sz w:val="24"/>
          <w:szCs w:val="24"/>
        </w:rPr>
        <w:t xml:space="preserve"> </w:t>
      </w:r>
    </w:p>
    <w:p w:rsidR="00BC719B" w:rsidRDefault="00790D68">
      <w:pPr>
        <w:spacing w:before="29" w:line="288" w:lineRule="auto"/>
        <w:ind w:firstLineChars="200" w:firstLine="480"/>
        <w:rPr>
          <w:color w:val="000000"/>
          <w:sz w:val="24"/>
          <w:szCs w:val="24"/>
        </w:rPr>
      </w:pPr>
      <w:r>
        <w:rPr>
          <w:color w:val="000000"/>
          <w:sz w:val="24"/>
          <w:szCs w:val="24"/>
        </w:rPr>
        <w:t>4</w:t>
      </w:r>
      <w:r>
        <w:rPr>
          <w:color w:val="000000"/>
          <w:sz w:val="24"/>
          <w:szCs w:val="24"/>
        </w:rPr>
        <w:t>、《交银施罗德领先回报灵活配置混合型证券投资基金托管协议》；</w:t>
      </w:r>
      <w:r>
        <w:rPr>
          <w:color w:val="000000"/>
          <w:sz w:val="24"/>
          <w:szCs w:val="24"/>
        </w:rPr>
        <w:t xml:space="preserve"> </w:t>
      </w:r>
    </w:p>
    <w:p w:rsidR="00BC719B" w:rsidRDefault="00790D68">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、关于申请募集注册交银施罗德领先回报灵活配置混合型证券投资基金的法律意见书；</w:t>
      </w:r>
      <w:r>
        <w:rPr>
          <w:color w:val="000000"/>
          <w:sz w:val="24"/>
          <w:szCs w:val="24"/>
        </w:rPr>
        <w:t xml:space="preserve"> </w:t>
      </w:r>
    </w:p>
    <w:p w:rsidR="00BC719B" w:rsidRDefault="00790D68">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BC719B" w:rsidRDefault="00790D68">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lastRenderedPageBreak/>
        <w:t>8</w:t>
      </w:r>
      <w:r w:rsidRPr="00414345">
        <w:rPr>
          <w:color w:val="000000"/>
          <w:sz w:val="24"/>
          <w:szCs w:val="24"/>
        </w:rPr>
        <w:t>、报告期内交银施罗德领先回报灵活配置混合型证券投资基金在指定报刊上各项公告的原稿。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BC719B" w:rsidRDefault="00790D68">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w:t>
      </w:r>
      <w:r>
        <w:rPr>
          <w:color w:val="000000"/>
          <w:sz w:val="24"/>
          <w:szCs w:val="24"/>
        </w:rPr>
        <w:t>www.bocomschroder.com)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8B6" w:rsidRDefault="001A68B6" w:rsidP="00876D65">
      <w:r>
        <w:separator/>
      </w:r>
    </w:p>
  </w:endnote>
  <w:endnote w:type="continuationSeparator" w:id="0">
    <w:p w:rsidR="001A68B6" w:rsidRDefault="001A68B6"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006A28">
      <w:rPr>
        <w:kern w:val="0"/>
        <w:szCs w:val="21"/>
      </w:rPr>
      <w:fldChar w:fldCharType="begin"/>
    </w:r>
    <w:r>
      <w:rPr>
        <w:kern w:val="0"/>
        <w:szCs w:val="21"/>
      </w:rPr>
      <w:instrText xml:space="preserve"> PAGE </w:instrText>
    </w:r>
    <w:r w:rsidR="00006A28">
      <w:rPr>
        <w:kern w:val="0"/>
        <w:szCs w:val="21"/>
      </w:rPr>
      <w:fldChar w:fldCharType="separate"/>
    </w:r>
    <w:r w:rsidR="00C06B0F">
      <w:rPr>
        <w:noProof/>
        <w:kern w:val="0"/>
        <w:szCs w:val="21"/>
      </w:rPr>
      <w:t>11</w:t>
    </w:r>
    <w:r w:rsidR="00006A28">
      <w:rPr>
        <w:kern w:val="0"/>
        <w:szCs w:val="21"/>
      </w:rPr>
      <w:fldChar w:fldCharType="end"/>
    </w:r>
    <w:r>
      <w:rPr>
        <w:rFonts w:hint="eastAsia"/>
        <w:kern w:val="0"/>
        <w:szCs w:val="21"/>
      </w:rPr>
      <w:t>页共</w:t>
    </w:r>
    <w:r w:rsidR="00006A28">
      <w:rPr>
        <w:kern w:val="0"/>
        <w:szCs w:val="21"/>
      </w:rPr>
      <w:fldChar w:fldCharType="begin"/>
    </w:r>
    <w:r>
      <w:rPr>
        <w:kern w:val="0"/>
        <w:szCs w:val="21"/>
      </w:rPr>
      <w:instrText xml:space="preserve"> NUMPAGES </w:instrText>
    </w:r>
    <w:r w:rsidR="00006A28">
      <w:rPr>
        <w:kern w:val="0"/>
        <w:szCs w:val="21"/>
      </w:rPr>
      <w:fldChar w:fldCharType="separate"/>
    </w:r>
    <w:r w:rsidR="00C06B0F">
      <w:rPr>
        <w:noProof/>
        <w:kern w:val="0"/>
        <w:szCs w:val="21"/>
      </w:rPr>
      <w:t>15</w:t>
    </w:r>
    <w:r w:rsidR="00006A28">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8B6" w:rsidRDefault="001A68B6" w:rsidP="00876D65">
      <w:r>
        <w:separator/>
      </w:r>
    </w:p>
  </w:footnote>
  <w:footnote w:type="continuationSeparator" w:id="0">
    <w:p w:rsidR="001A68B6" w:rsidRDefault="001A68B6"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交银施罗德领先回报灵活配置混合型证券投资基金</w:t>
    </w:r>
    <w:r w:rsidRPr="003E676C">
      <w:rPr>
        <w:sz w:val="24"/>
        <w:szCs w:val="24"/>
      </w:rPr>
      <w:t>2018</w:t>
    </w:r>
    <w:r w:rsidRPr="003E676C">
      <w:rPr>
        <w:sz w:val="24"/>
        <w:szCs w:val="24"/>
      </w:rPr>
      <w:t>年第</w:t>
    </w:r>
    <w:r w:rsidRPr="003E676C">
      <w:rPr>
        <w:sz w:val="24"/>
        <w:szCs w:val="24"/>
      </w:rPr>
      <w:t>1</w:t>
    </w:r>
    <w:r w:rsidRPr="003E676C">
      <w:rPr>
        <w:sz w:val="24"/>
        <w:szCs w:val="24"/>
      </w:rPr>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0B00"/>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68B6"/>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9085F"/>
    <w:rsid w:val="00394069"/>
    <w:rsid w:val="00396809"/>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2DF9"/>
    <w:rsid w:val="004033ED"/>
    <w:rsid w:val="004061AC"/>
    <w:rsid w:val="00406DA6"/>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710"/>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0D68"/>
    <w:rsid w:val="00794090"/>
    <w:rsid w:val="00796CA8"/>
    <w:rsid w:val="007972F5"/>
    <w:rsid w:val="00797305"/>
    <w:rsid w:val="007A0693"/>
    <w:rsid w:val="007A093F"/>
    <w:rsid w:val="007B035B"/>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61D6"/>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19B"/>
    <w:rsid w:val="00BC73E5"/>
    <w:rsid w:val="00BD0031"/>
    <w:rsid w:val="00BD70E0"/>
    <w:rsid w:val="00BD7473"/>
    <w:rsid w:val="00BD7703"/>
    <w:rsid w:val="00BE14ED"/>
    <w:rsid w:val="00BE420D"/>
    <w:rsid w:val="00BE5388"/>
    <w:rsid w:val="00BF0019"/>
    <w:rsid w:val="00C012F9"/>
    <w:rsid w:val="00C06B0F"/>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4B8D"/>
    <w:rsid w:val="00D96C8D"/>
    <w:rsid w:val="00D974EF"/>
    <w:rsid w:val="00DA0C61"/>
    <w:rsid w:val="00DA14B0"/>
    <w:rsid w:val="00DA2876"/>
    <w:rsid w:val="00DA66D0"/>
    <w:rsid w:val="00DC0B51"/>
    <w:rsid w:val="00DC141F"/>
    <w:rsid w:val="00DC28F1"/>
    <w:rsid w:val="00DC456F"/>
    <w:rsid w:val="00DC6B55"/>
    <w:rsid w:val="00DE27F7"/>
    <w:rsid w:val="00DE4B43"/>
    <w:rsid w:val="00E02660"/>
    <w:rsid w:val="00E04BE1"/>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814DB8-F36B-4E44-AAAD-8618D7D1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 w:type="paragraph" w:styleId="afc">
    <w:name w:val="Revision"/>
    <w:hidden/>
    <w:uiPriority w:val="99"/>
    <w:semiHidden/>
    <w:rsid w:val="00C06B0F"/>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D5337-F3B3-4773-8B26-075AC7A5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15</Pages>
  <Words>1352</Words>
  <Characters>7707</Characters>
  <Application>Microsoft Office Word</Application>
  <DocSecurity>0</DocSecurity>
  <Lines>64</Lines>
  <Paragraphs>18</Paragraphs>
  <ScaleCrop>false</ScaleCrop>
  <Company/>
  <LinksUpToDate>false</LinksUpToDate>
  <CharactersWithSpaces>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郝婷婷</cp:lastModifiedBy>
  <cp:revision>580</cp:revision>
  <dcterms:created xsi:type="dcterms:W3CDTF">2012-10-16T06:07:00Z</dcterms:created>
  <dcterms:modified xsi:type="dcterms:W3CDTF">2018-04-19T02:30:00Z</dcterms:modified>
</cp:coreProperties>
</file>