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交银施罗德领先回报灵活配置混合型证券投资基金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2017年第3季度报告</w:t>
      </w:r>
    </w:p>
    <w:p w:rsidR="004061AC" w:rsidRPr="0081286B" w:rsidRDefault="00655CD8" w:rsidP="00C15CAC">
      <w:pPr>
        <w:spacing w:before="29" w:line="288" w:lineRule="auto"/>
        <w:jc w:val="center"/>
        <w:rPr>
          <w:b/>
          <w:sz w:val="36"/>
          <w:szCs w:val="36"/>
        </w:rPr>
      </w:pPr>
      <w:r w:rsidRPr="0081286B">
        <w:rPr>
          <w:b/>
          <w:sz w:val="36"/>
          <w:szCs w:val="36"/>
        </w:rPr>
        <w:t>2017年9月30日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w:t>
      </w:r>
      <w:r w:rsidRPr="0081286B">
        <w:rPr>
          <w:b/>
          <w:color w:val="000000"/>
          <w:sz w:val="24"/>
          <w:szCs w:val="24"/>
        </w:rPr>
        <w:t>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二〇一七年十月二十五日</w:t>
      </w:r>
    </w:p>
    <w:p w:rsidR="004061AC" w:rsidRPr="00414345" w:rsidRDefault="004061AC" w:rsidP="00EE49FE">
      <w:pPr>
        <w:pStyle w:val="1"/>
        <w:spacing w:beforeLines="100" w:after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Chars="200" w:firstLine="48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Chars="200" w:firstLine="480"/>
        <w:rPr>
          <w:color w:val="000000"/>
          <w:sz w:val="24"/>
          <w:szCs w:val="24"/>
        </w:rPr>
      </w:pPr>
      <w:r>
        <w:rPr>
          <w:color w:val="000000"/>
          <w:sz w:val="24"/>
          <w:szCs w:val="24"/>
        </w:rPr>
        <w:t xml:space="preserve">基金托管人招商银行股份有限公司根据本基金合同规定，于2017年10月24日复核了本报告中的财务指标、净值表现和投资组合报告等内容，保证复核内容不存在虚假记载、误导性陈述或者重大遗漏。 </w:t>
      </w:r>
    </w:p>
    <w:p>
      <w:pPr>
        <w:spacing w:before="29" w:line="288" w:lineRule="auto"/>
        <w:ind w:firstLineChars="200" w:firstLine="48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Chars="200" w:firstLine="48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本报告期自2017年7月1日起至9月30日止。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EE49FE">
      <w:pPr>
        <w:pStyle w:val="1"/>
        <w:spacing w:beforeLines="100" w:after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2922"/>
        <w:gridCol w:w="2923"/>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gridSpan w:val="2"/>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交银领先回报灵活配置混合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519781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gridSpan w:val="2"/>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519781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2016年9月13日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569,415,227.58</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50%×沪深300指数收益率+50%×中债综合全价指数收益率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EE49FE">
      <w:pPr>
        <w:pStyle w:val="1"/>
        <w:spacing w:beforeLines="100" w:after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7"/>
        <w:gridCol w:w="2706"/>
        <w:gridCol w:w="2555"/>
      </w:tblGrid>
      <w:tr w:rsidR="00C21520" w:rsidRPr="00414345" w:rsidTr="00BD0031">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w="4962" w:type="dxa"/>
            <w:hMerge w:val="restart"/>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(2017年7月1日-2017年9月30日)</w:t>
            </w:r>
          </w:p>
        </w:tc>
        <w:tc>
          <w:tcPr>
            <w:tcW w:w="2410" w:type="dxa"/>
            <w:hMerge/>
            <w:vAlign w:val="center"/>
          </w:tcPr>
          <w:p w:rsidR="00C21520" w:rsidRPr="00414345" w:rsidRDefault="00C21520" w:rsidP="00C15CAC">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w="4962" w:type="dxa"/>
            <w:hMerge w:val="restart"/>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8,782,031.09</w:t>
            </w:r>
          </w:p>
        </w:tc>
        <w:tc>
          <w:tcPr>
            <w:tcW w:w="2410" w:type="dxa"/>
            <w:hMerge/>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hMerge w:val="restart"/>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11,327,279.88</w:t>
            </w:r>
          </w:p>
        </w:tc>
        <w:tc>
          <w:tcPr>
            <w:tcW w:w="2410" w:type="dxa"/>
            <w:hMerge/>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hMerge w:val="restart"/>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0.0192</w:t>
            </w:r>
          </w:p>
        </w:tc>
        <w:tc>
          <w:tcPr>
            <w:tcW w:w="2410" w:type="dxa"/>
            <w:hMerge/>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hMerge w:val="restart"/>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615,619,303.51</w:t>
            </w:r>
          </w:p>
        </w:tc>
        <w:tc>
          <w:tcPr>
            <w:tcW w:w="2410" w:type="dxa"/>
            <w:hMerge/>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hMerge w:val="restart"/>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1.081</w:t>
            </w:r>
          </w:p>
        </w:tc>
        <w:tc>
          <w:tcPr>
            <w:tcW w:w="2410" w:type="dxa"/>
            <w:hMerge/>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注：1、上述基金业绩指标不包括持有人认购或交易基金的各项费用，计入费用后的实际收益水平要低于所列数字；</w:t>
      </w:r>
    </w:p>
    <w:p w:rsidR="004061AC" w:rsidRPr="00414345" w:rsidRDefault="00A5612C"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1.79%</w:t>
            </w:r>
          </w:p>
        </w:tc>
        <w:tc>
          <w:tcPr>
            <w:vAlign w:val="center"/>
          </w:tcPr>
          <w:p>
            <w:pPr>
              <w:jc w:val="center"/>
            </w:pPr>
            <w:r>
              <w:rPr>
                <w:color w:val="000000"/>
                <w:sz w:val="24"/>
                <w:szCs w:val="24"/>
              </w:rPr>
              <w:t>0.15%</w:t>
            </w:r>
          </w:p>
        </w:tc>
        <w:tc>
          <w:tcPr>
            <w:vAlign w:val="center"/>
          </w:tcPr>
          <w:p>
            <w:pPr>
              <w:jc w:val="center"/>
            </w:pPr>
            <w:r>
              <w:rPr>
                <w:color w:val="000000"/>
                <w:sz w:val="24"/>
                <w:szCs w:val="24"/>
              </w:rPr>
              <w:t>2.24%</w:t>
            </w:r>
          </w:p>
        </w:tc>
        <w:tc>
          <w:tcPr>
            <w:vAlign w:val="center"/>
          </w:tcPr>
          <w:p>
            <w:pPr>
              <w:jc w:val="center"/>
            </w:pPr>
            <w:r>
              <w:rPr>
                <w:color w:val="000000"/>
                <w:sz w:val="24"/>
                <w:szCs w:val="24"/>
              </w:rPr>
              <w:t>0.29%</w:t>
            </w:r>
          </w:p>
        </w:tc>
        <w:tc>
          <w:tcPr>
            <w:vAlign w:val="center"/>
          </w:tcPr>
          <w:p>
            <w:pPr>
              <w:jc w:val="center"/>
            </w:pPr>
            <w:r>
              <w:rPr>
                <w:color w:val="000000"/>
                <w:sz w:val="24"/>
                <w:szCs w:val="24"/>
              </w:rPr>
              <w:t>-0.45%</w:t>
            </w:r>
          </w:p>
        </w:tc>
        <w:tc>
          <w:tcPr>
            <w:vAlign w:val="center"/>
          </w:tcPr>
          <w:p>
            <w:pPr>
              <w:jc w:val="center"/>
            </w:pPr>
            <w:r>
              <w:rPr>
                <w:color w:val="000000"/>
                <w:sz w:val="24"/>
                <w:szCs w:val="24"/>
              </w:rPr>
              <w:t>-0.14%</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交银施罗德领先回报灵活配置混合型证券投资基金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lastRenderedPageBreak/>
        <w:t>（</w:t>
      </w:r>
      <w:r w:rsidR="0042009D" w:rsidRPr="00414345">
        <w:rPr>
          <w:rFonts w:ascii="Times New Roman" w:hAnsi="Times New Roman" w:cs="Times New Roman"/>
          <w:sz w:val="24"/>
          <w:szCs w:val="24"/>
        </w:rPr>
        <w:t>2016年9月13日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2017年9月30日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1C79F2"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基金合同生效日为2016年9月13日，截至报告期期末，本基金已完成建仓但报告期期末距建仓结束未满一年。本基金建仓期为自基金合同生效日起的6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EE49FE">
      <w:pPr>
        <w:pStyle w:val="1"/>
        <w:spacing w:beforeLines="100" w:after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tc>
          <w:tcPr>
            <w:vAlign w:val="center"/>
          </w:tcPr>
          <w:p>
            <w:pPr>
              <w:jc w:val="center"/>
            </w:pPr>
            <w:r>
              <w:rPr>
                <w:color w:val="000000"/>
                <w:sz w:val="24"/>
                <w:szCs w:val="24"/>
              </w:rPr>
              <w:t>李娜</w:t>
            </w:r>
          </w:p>
        </w:tc>
        <w:tc>
          <w:tcPr>
            <w:vAlign w:val="center"/>
          </w:tcPr>
          <w:p>
            <w:pPr>
              <w:jc w:val="center"/>
            </w:pPr>
            <w:r>
              <w:rPr>
                <w:color w:val="000000"/>
                <w:sz w:val="24"/>
                <w:szCs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vAlign w:val="center"/>
          </w:tcPr>
          <w:p>
            <w:pPr>
              <w:jc w:val="center"/>
            </w:pPr>
            <w:r>
              <w:rPr>
                <w:color w:val="000000"/>
                <w:sz w:val="24"/>
                <w:szCs w:val="24"/>
              </w:rPr>
              <w:t>2016-09-13</w:t>
            </w:r>
          </w:p>
        </w:tc>
        <w:tc>
          <w:tcPr>
            <w:vAlign w:val="center"/>
          </w:tcPr>
          <w:p>
            <w:pPr>
              <w:jc w:val="center"/>
            </w:pPr>
            <w:r>
              <w:rPr>
                <w:color w:val="000000"/>
                <w:sz w:val="24"/>
                <w:szCs w:val="24"/>
              </w:rPr>
              <w:t>-</w:t>
            </w:r>
          </w:p>
        </w:tc>
        <w:tc>
          <w:tcPr>
            <w:vAlign w:val="center"/>
          </w:tcPr>
          <w:p>
            <w:pPr>
              <w:jc w:val="center"/>
            </w:pPr>
            <w:r>
              <w:rPr>
                <w:color w:val="000000"/>
                <w:sz w:val="24"/>
                <w:szCs w:val="24"/>
              </w:rPr>
              <w:t>7年</w:t>
            </w:r>
          </w:p>
        </w:tc>
        <w:tc>
          <w:tcPr>
            <w:vAlign w:val="center"/>
          </w:tcPr>
          <w:p>
            <w:pPr>
              <w:jc w:val="both"/>
            </w:pPr>
            <w:r>
              <w:rPr>
                <w:color w:val="000000"/>
                <w:sz w:val="24"/>
                <w:szCs w:val="24"/>
              </w:rPr>
              <w:t>李娜女士，美国宾夕法尼亚大学应用数学与计算科学硕士。历任国泰基金管理有限公司研究员。2012年加入交银施罗德基金管理有限公司，历任债券分析师、基金经理助理。</w:t>
            </w:r>
          </w:p>
        </w:tc>
      </w:tr>
    </w:tbl>
    <w:p w:rsidR="004061AC" w:rsidRPr="00414345" w:rsidRDefault="00F743D4"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Chars="200" w:firstLine="480"/>
        <w:rPr>
          <w:color w:val="000000"/>
          <w:sz w:val="24"/>
          <w:szCs w:val="24"/>
        </w:rPr>
      </w:pPr>
      <w:r>
        <w:rPr>
          <w:color w:val="000000"/>
          <w:sz w:val="24"/>
          <w:szCs w:val="24"/>
        </w:rPr>
        <w:t>本报告期内，部分经济增长数据呈现小幅回落，通胀数据温和上升，货币政策保持稳健中性，银行间流动性结构性分层进一步分化，季节性特征凸显，整体资金中枢略微上移。股票市场受中报业绩改善、商品价格上涨等因素的拉动，风险偏好回升，呈现分化上行的走势后略有调整，同期债券收益率上行后亦有回落，其中流动性季节性收紧、大宗商品价格上涨带动通胀预期、经济数据回落的判断有待确认、美联储开启缩表预期等因素成为债券市场收益率变动的主要原因。报告期内，上证综指和创业板指分别上涨4.90%和2.69%，10年期国债收益率上行5BP至3.61%，10年期国开债收益率上行1BP到4.19%。</w:t>
      </w:r>
    </w:p>
    <w:p>
      <w:pPr>
        <w:spacing w:before="29" w:line="288" w:lineRule="auto"/>
        <w:ind w:firstLineChars="200" w:firstLine="480"/>
        <w:rPr>
          <w:color w:val="000000"/>
          <w:sz w:val="24"/>
          <w:szCs w:val="24"/>
        </w:rPr>
      </w:pPr>
      <w:r>
        <w:rPr>
          <w:color w:val="000000"/>
          <w:sz w:val="24"/>
          <w:szCs w:val="24"/>
        </w:rPr>
        <w:t>策略层面，本基金重点关注短久期信用债以及同业存单的配置价值，保持组合流动性，积极关注新股及转债发行动态，进行权益和转债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四季度，基本面下行的预期有待数据的进一步确认，CPI依然不具备大幅上行的风险，宏观经济对债市影响的增强仍需要时间，在货币政策“不松不紧”的基调下，利率或继续处于震荡格局之中，但长端收益率上行空间似有顶，具备一定配置价值。我们将密切关注流动性边际变化、供给侧等改革进展、通胀预期变化、美联储加息及缩表进度等因素对市场的影响。股票方面，力争继续保持稳健、审慎，积极关注一级市场动态。债券方面，保持组合流动性的前提下积极关注交易窗口，把握适中久期，同时特别重视信用风险。</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截至2017年9月30日，本基金份额净值为1.081元，本报告期份额净值增长率为1.79%，同期业绩比较基准增长率为2.24%。</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EE49FE">
      <w:pPr>
        <w:pStyle w:val="1"/>
        <w:spacing w:beforeLines="100" w:after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lastRenderedPageBreak/>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129,811,267.75</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21.06</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129,811,267.75</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21.06</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456,797,857.00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74.11</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456,797,857.00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74.11</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lastRenderedPageBreak/>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21,000,000.00</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3.41</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1,658,625.40</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0.27</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
            </w:r>
            <w:r w:rsidR="00C012F9" w:rsidRPr="00414345">
              <w:rPr>
                <w:color w:val="000000"/>
                <w:sz w:val="24"/>
                <w:szCs w:val="24"/>
              </w:rPr>
              <w:t/>
            </w: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7,138,195.67</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1.16</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
            </w:r>
            <w:r w:rsidR="00C012F9" w:rsidRPr="00414345">
              <w:rPr>
                <w:color w:val="000000"/>
                <w:sz w:val="24"/>
                <w:szCs w:val="24"/>
              </w:rPr>
              <w:t/>
            </w: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616,405,945.82</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
            </w:r>
            <w:r w:rsidRPr="00414345">
              <w:rPr>
                <w:color w:val="000000"/>
                <w:sz w:val="24"/>
                <w:szCs w:val="24"/>
              </w:rPr>
              <w:lastRenderedPageBreak/>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b/>
          <w:color w:val="000000" w:themeColor="text1"/>
          <w:sz w:val="24"/>
        </w:rPr>
        <w:t/>
      </w: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39,793.60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74,092,593.38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12.04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4,025,593.44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0.65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6,325,980.90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
            </w:r>
            <w:r w:rsidRPr="00414345">
              <w:rPr>
                <w:sz w:val="24"/>
                <w:szCs w:val="24"/>
              </w:rPr>
              <w:lastRenderedPageBreak/>
              <w:t>1.03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843,149.91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0.14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17,468.03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44,307,388.00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7.20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
            </w:r>
            <w:r w:rsidRPr="00414345">
              <w:rPr>
                <w:sz w:val="24"/>
                <w:szCs w:val="24"/>
              </w:rPr>
              <w:lastRenderedPageBreak/>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lastRenderedPageBreak/>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115,299.99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44,000.50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129,811,267.75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
            </w:r>
            <w:r w:rsidRPr="00414345">
              <w:rPr>
                <w:sz w:val="24"/>
                <w:szCs w:val="24"/>
              </w:rPr>
              <w:lastRenderedPageBreak/>
              <w:t>21.09</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b/>
          <w:bCs/>
          <w:color w:val="000000" w:themeColor="text1"/>
          <w:kern w:val="0"/>
          <w:sz w:val="24"/>
        </w:rPr>
        <w:t/>
      </w: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000001</w:t>
            </w:r>
          </w:p>
        </w:tc>
        <w:tc>
          <w:tcPr>
            <w:vAlign w:val="center"/>
          </w:tcPr>
          <w:p>
            <w:pPr>
              <w:jc w:val="center"/>
            </w:pPr>
            <w:r>
              <w:rPr>
                <w:color w:val="000000"/>
                <w:sz w:val="24"/>
                <w:szCs w:val="24"/>
              </w:rPr>
              <w:t>平安银行</w:t>
            </w:r>
          </w:p>
        </w:tc>
        <w:tc>
          <w:tcPr>
            <w:vAlign w:val="center"/>
          </w:tcPr>
          <w:p>
            <w:pPr>
              <w:jc w:val="right"/>
            </w:pPr>
            <w:r>
              <w:rPr>
                <w:color w:val="000000"/>
                <w:sz w:val="24"/>
                <w:szCs w:val="24"/>
              </w:rPr>
              <w:t>1,280,000</w:t>
            </w:r>
          </w:p>
        </w:tc>
        <w:tc>
          <w:tcPr>
            <w:vAlign w:val="center"/>
          </w:tcPr>
          <w:p>
            <w:pPr>
              <w:jc w:val="right"/>
            </w:pPr>
            <w:r>
              <w:rPr>
                <w:color w:val="000000"/>
                <w:sz w:val="24"/>
                <w:szCs w:val="24"/>
              </w:rPr>
              <w:t>14,220,800.00</w:t>
            </w:r>
          </w:p>
        </w:tc>
        <w:tc>
          <w:tcPr>
            <w:vAlign w:val="center"/>
          </w:tcPr>
          <w:p>
            <w:pPr>
              <w:jc w:val="right"/>
            </w:pPr>
            <w:r>
              <w:rPr>
                <w:color w:val="000000"/>
                <w:sz w:val="24"/>
                <w:szCs w:val="24"/>
              </w:rPr>
              <w:t>2.31</w:t>
            </w:r>
          </w:p>
        </w:tc>
      </w:tr>
      <w:tr>
        <w:tc>
          <w:tcPr>
            <w:vAlign w:val="center"/>
          </w:tcPr>
          <w:p>
            <w:pPr>
              <w:jc w:val="center"/>
            </w:pPr>
            <w:r>
              <w:rPr>
                <w:color w:val="000000"/>
                <w:sz w:val="24"/>
                <w:szCs w:val="24"/>
              </w:rPr>
              <w:t>2</w:t>
            </w:r>
          </w:p>
        </w:tc>
        <w:tc>
          <w:tcPr>
            <w:vAlign w:val="center"/>
          </w:tcPr>
          <w:p>
            <w:pPr>
              <w:jc w:val="center"/>
            </w:pPr>
            <w:r>
              <w:rPr>
                <w:color w:val="000000"/>
                <w:sz w:val="24"/>
                <w:szCs w:val="24"/>
              </w:rPr>
              <w:t>000858</w:t>
            </w:r>
          </w:p>
        </w:tc>
        <w:tc>
          <w:tcPr>
            <w:vAlign w:val="center"/>
          </w:tcPr>
          <w:p>
            <w:pPr>
              <w:jc w:val="center"/>
            </w:pPr>
            <w:r>
              <w:rPr>
                <w:color w:val="000000"/>
                <w:sz w:val="24"/>
                <w:szCs w:val="24"/>
              </w:rPr>
              <w:t>五 粮 液</w:t>
            </w:r>
          </w:p>
        </w:tc>
        <w:tc>
          <w:tcPr>
            <w:vAlign w:val="center"/>
          </w:tcPr>
          <w:p>
            <w:pPr>
              <w:jc w:val="right"/>
            </w:pPr>
            <w:r>
              <w:rPr>
                <w:color w:val="000000"/>
                <w:sz w:val="24"/>
                <w:szCs w:val="24"/>
              </w:rPr>
              <w:t>200,000</w:t>
            </w:r>
          </w:p>
        </w:tc>
        <w:tc>
          <w:tcPr>
            <w:vAlign w:val="center"/>
          </w:tcPr>
          <w:p>
            <w:pPr>
              <w:jc w:val="right"/>
            </w:pPr>
            <w:r>
              <w:rPr>
                <w:color w:val="000000"/>
                <w:sz w:val="24"/>
                <w:szCs w:val="24"/>
              </w:rPr>
              <w:t>11,456,000.00</w:t>
            </w:r>
          </w:p>
        </w:tc>
        <w:tc>
          <w:tcPr>
            <w:vAlign w:val="center"/>
          </w:tcPr>
          <w:p>
            <w:pPr>
              <w:jc w:val="right"/>
            </w:pPr>
            <w:r>
              <w:rPr>
                <w:color w:val="000000"/>
                <w:sz w:val="24"/>
                <w:szCs w:val="24"/>
              </w:rPr>
              <w:t>1.86</w:t>
            </w:r>
          </w:p>
        </w:tc>
      </w:tr>
      <w:tr>
        <w:tc>
          <w:tcPr>
            <w:vAlign w:val="center"/>
          </w:tcPr>
          <w:p>
            <w:pPr>
              <w:jc w:val="center"/>
            </w:pPr>
            <w:r>
              <w:rPr>
                <w:color w:val="000000"/>
                <w:sz w:val="24"/>
                <w:szCs w:val="24"/>
              </w:rPr>
              <w:t>3</w:t>
            </w:r>
          </w:p>
        </w:tc>
        <w:tc>
          <w:tcPr>
            <w:vAlign w:val="center"/>
          </w:tcPr>
          <w:p>
            <w:pPr>
              <w:jc w:val="center"/>
            </w:pPr>
            <w:r>
              <w:rPr>
                <w:color w:val="000000"/>
                <w:sz w:val="24"/>
                <w:szCs w:val="24"/>
              </w:rPr>
              <w:t>601398</w:t>
            </w:r>
          </w:p>
        </w:tc>
        <w:tc>
          <w:tcPr>
            <w:vAlign w:val="center"/>
          </w:tcPr>
          <w:p>
            <w:pPr>
              <w:jc w:val="center"/>
            </w:pPr>
            <w:r>
              <w:rPr>
                <w:color w:val="000000"/>
                <w:sz w:val="24"/>
                <w:szCs w:val="24"/>
              </w:rPr>
              <w:t>工商银行</w:t>
            </w:r>
          </w:p>
        </w:tc>
        <w:tc>
          <w:tcPr>
            <w:vAlign w:val="center"/>
          </w:tcPr>
          <w:p>
            <w:pPr>
              <w:jc w:val="right"/>
            </w:pPr>
            <w:r>
              <w:rPr>
                <w:color w:val="000000"/>
                <w:sz w:val="24"/>
                <w:szCs w:val="24"/>
              </w:rPr>
              <w:t>1,897,518</w:t>
            </w:r>
          </w:p>
        </w:tc>
        <w:tc>
          <w:tcPr>
            <w:vAlign w:val="center"/>
          </w:tcPr>
          <w:p>
            <w:pPr>
              <w:jc w:val="right"/>
            </w:pPr>
            <w:r>
              <w:rPr>
                <w:color w:val="000000"/>
                <w:sz w:val="24"/>
                <w:szCs w:val="24"/>
              </w:rPr>
              <w:t>11,385,108.00</w:t>
            </w:r>
          </w:p>
        </w:tc>
        <w:tc>
          <w:tcPr>
            <w:vAlign w:val="center"/>
          </w:tcPr>
          <w:p>
            <w:pPr>
              <w:jc w:val="right"/>
            </w:pPr>
            <w:r>
              <w:rPr>
                <w:color w:val="000000"/>
                <w:sz w:val="24"/>
                <w:szCs w:val="24"/>
              </w:rPr>
              <w:t>1.85</w:t>
            </w:r>
          </w:p>
        </w:tc>
      </w:tr>
      <w:tr>
        <w:tc>
          <w:tcPr>
            <w:vAlign w:val="center"/>
          </w:tcPr>
          <w:p>
            <w:pPr>
              <w:jc w:val="center"/>
            </w:pPr>
            <w:r>
              <w:rPr>
                <w:color w:val="000000"/>
                <w:sz w:val="24"/>
                <w:szCs w:val="24"/>
              </w:rPr>
              <w:t>4</w:t>
            </w:r>
          </w:p>
        </w:tc>
        <w:tc>
          <w:tcPr>
            <w:vAlign w:val="center"/>
          </w:tcPr>
          <w:p>
            <w:pPr>
              <w:jc w:val="center"/>
            </w:pPr>
            <w:r>
              <w:rPr>
                <w:color w:val="000000"/>
                <w:sz w:val="24"/>
                <w:szCs w:val="24"/>
              </w:rPr>
              <w:t>600519</w:t>
            </w:r>
          </w:p>
        </w:tc>
        <w:tc>
          <w:tcPr>
            <w:vAlign w:val="center"/>
          </w:tcPr>
          <w:p>
            <w:pPr>
              <w:jc w:val="center"/>
            </w:pPr>
            <w:r>
              <w:rPr>
                <w:color w:val="000000"/>
                <w:sz w:val="24"/>
                <w:szCs w:val="24"/>
              </w:rPr>
              <w:t>贵州茅台</w:t>
            </w:r>
          </w:p>
        </w:tc>
        <w:tc>
          <w:tcPr>
            <w:vAlign w:val="center"/>
          </w:tcPr>
          <w:p>
            <w:pPr>
              <w:jc w:val="right"/>
            </w:pPr>
            <w:r>
              <w:rPr>
                <w:color w:val="000000"/>
                <w:sz w:val="24"/>
                <w:szCs w:val="24"/>
              </w:rPr>
              <w:t>20,000</w:t>
            </w:r>
          </w:p>
        </w:tc>
        <w:tc>
          <w:tcPr>
            <w:vAlign w:val="center"/>
          </w:tcPr>
          <w:p>
            <w:pPr>
              <w:jc w:val="right"/>
            </w:pPr>
            <w:r>
              <w:rPr>
                <w:color w:val="000000"/>
                <w:sz w:val="24"/>
                <w:szCs w:val="24"/>
              </w:rPr>
              <w:t>10,352,800.00</w:t>
            </w:r>
          </w:p>
        </w:tc>
        <w:tc>
          <w:tcPr>
            <w:vAlign w:val="center"/>
          </w:tcPr>
          <w:p>
            <w:pPr>
              <w:jc w:val="right"/>
            </w:pPr>
            <w:r>
              <w:rPr>
                <w:color w:val="000000"/>
                <w:sz w:val="24"/>
                <w:szCs w:val="24"/>
              </w:rPr>
              <w:t>1.68</w:t>
            </w:r>
          </w:p>
        </w:tc>
      </w:tr>
      <w:tr>
        <w:tc>
          <w:tcPr>
            <w:vAlign w:val="center"/>
          </w:tcPr>
          <w:p>
            <w:pPr>
              <w:jc w:val="center"/>
            </w:pPr>
            <w:r>
              <w:rPr>
                <w:color w:val="000000"/>
                <w:sz w:val="24"/>
                <w:szCs w:val="24"/>
              </w:rPr>
              <w:t>5</w:t>
            </w:r>
          </w:p>
        </w:tc>
        <w:tc>
          <w:tcPr>
            <w:vAlign w:val="center"/>
          </w:tcPr>
          <w:p>
            <w:pPr>
              <w:jc w:val="center"/>
            </w:pPr>
            <w:r>
              <w:rPr>
                <w:color w:val="000000"/>
                <w:sz w:val="24"/>
                <w:szCs w:val="24"/>
              </w:rPr>
              <w:t>000423</w:t>
            </w:r>
          </w:p>
        </w:tc>
        <w:tc>
          <w:tcPr>
            <w:vAlign w:val="center"/>
          </w:tcPr>
          <w:p>
            <w:pPr>
              <w:jc w:val="center"/>
            </w:pPr>
            <w:r>
              <w:rPr>
                <w:color w:val="000000"/>
                <w:sz w:val="24"/>
                <w:szCs w:val="24"/>
              </w:rPr>
              <w:t>东阿阿胶</w:t>
            </w:r>
          </w:p>
        </w:tc>
        <w:tc>
          <w:tcPr>
            <w:vAlign w:val="center"/>
          </w:tcPr>
          <w:p>
            <w:pPr>
              <w:jc w:val="right"/>
            </w:pPr>
            <w:r>
              <w:rPr>
                <w:color w:val="000000"/>
                <w:sz w:val="24"/>
                <w:szCs w:val="24"/>
              </w:rPr>
              <w:t>150,000</w:t>
            </w:r>
          </w:p>
        </w:tc>
        <w:tc>
          <w:tcPr>
            <w:vAlign w:val="center"/>
          </w:tcPr>
          <w:p>
            <w:pPr>
              <w:jc w:val="right"/>
            </w:pPr>
            <w:r>
              <w:rPr>
                <w:color w:val="000000"/>
                <w:sz w:val="24"/>
                <w:szCs w:val="24"/>
              </w:rPr>
              <w:t>9,739,500.00</w:t>
            </w:r>
          </w:p>
        </w:tc>
        <w:tc>
          <w:tcPr>
            <w:vAlign w:val="center"/>
          </w:tcPr>
          <w:p>
            <w:pPr>
              <w:jc w:val="right"/>
            </w:pPr>
            <w:r>
              <w:rPr>
                <w:color w:val="000000"/>
                <w:sz w:val="24"/>
                <w:szCs w:val="24"/>
              </w:rPr>
              <w:t>1.58</w:t>
            </w:r>
          </w:p>
        </w:tc>
      </w:tr>
      <w:tr>
        <w:tc>
          <w:tcPr>
            <w:vAlign w:val="center"/>
          </w:tcPr>
          <w:p>
            <w:pPr>
              <w:jc w:val="center"/>
            </w:pPr>
            <w:r>
              <w:rPr>
                <w:color w:val="000000"/>
                <w:sz w:val="24"/>
                <w:szCs w:val="24"/>
              </w:rPr>
              <w:t>6</w:t>
            </w:r>
          </w:p>
        </w:tc>
        <w:tc>
          <w:tcPr>
            <w:vAlign w:val="center"/>
          </w:tcPr>
          <w:p>
            <w:pPr>
              <w:jc w:val="center"/>
            </w:pPr>
            <w:r>
              <w:rPr>
                <w:color w:val="000000"/>
                <w:sz w:val="24"/>
                <w:szCs w:val="24"/>
              </w:rPr>
              <w:t>600887</w:t>
            </w:r>
          </w:p>
        </w:tc>
        <w:tc>
          <w:tcPr>
            <w:vAlign w:val="center"/>
          </w:tcPr>
          <w:p>
            <w:pPr>
              <w:jc w:val="center"/>
            </w:pPr>
            <w:r>
              <w:rPr>
                <w:color w:val="000000"/>
                <w:sz w:val="24"/>
                <w:szCs w:val="24"/>
              </w:rPr>
              <w:t>伊利股份</w:t>
            </w:r>
          </w:p>
        </w:tc>
        <w:tc>
          <w:tcPr>
            <w:vAlign w:val="center"/>
          </w:tcPr>
          <w:p>
            <w:pPr>
              <w:jc w:val="right"/>
            </w:pPr>
            <w:r>
              <w:rPr>
                <w:color w:val="000000"/>
                <w:sz w:val="24"/>
                <w:szCs w:val="24"/>
              </w:rPr>
              <w:t>350,000</w:t>
            </w:r>
          </w:p>
        </w:tc>
        <w:tc>
          <w:tcPr>
            <w:vAlign w:val="center"/>
          </w:tcPr>
          <w:p>
            <w:pPr>
              <w:jc w:val="right"/>
            </w:pPr>
            <w:r>
              <w:rPr>
                <w:color w:val="000000"/>
                <w:sz w:val="24"/>
                <w:szCs w:val="24"/>
              </w:rPr>
              <w:t>9,625,000.00</w:t>
            </w:r>
          </w:p>
        </w:tc>
        <w:tc>
          <w:tcPr>
            <w:vAlign w:val="center"/>
          </w:tcPr>
          <w:p>
            <w:pPr>
              <w:jc w:val="right"/>
            </w:pPr>
            <w:r>
              <w:rPr>
                <w:color w:val="000000"/>
                <w:sz w:val="24"/>
                <w:szCs w:val="24"/>
              </w:rPr>
              <w:t>1.56</w:t>
            </w:r>
          </w:p>
        </w:tc>
      </w:tr>
      <w:tr>
        <w:tc>
          <w:tcPr>
            <w:vAlign w:val="center"/>
          </w:tcPr>
          <w:p>
            <w:pPr>
              <w:jc w:val="center"/>
            </w:pPr>
            <w:r>
              <w:rPr>
                <w:color w:val="000000"/>
                <w:sz w:val="24"/>
                <w:szCs w:val="24"/>
              </w:rPr>
              <w:t>7</w:t>
            </w:r>
          </w:p>
        </w:tc>
        <w:tc>
          <w:tcPr>
            <w:vAlign w:val="center"/>
          </w:tcPr>
          <w:p>
            <w:pPr>
              <w:jc w:val="center"/>
            </w:pPr>
            <w:r>
              <w:rPr>
                <w:color w:val="000000"/>
                <w:sz w:val="24"/>
                <w:szCs w:val="24"/>
              </w:rPr>
              <w:t>601988</w:t>
            </w:r>
          </w:p>
        </w:tc>
        <w:tc>
          <w:tcPr>
            <w:vAlign w:val="center"/>
          </w:tcPr>
          <w:p>
            <w:pPr>
              <w:jc w:val="center"/>
            </w:pPr>
            <w:r>
              <w:rPr>
                <w:color w:val="000000"/>
                <w:sz w:val="24"/>
                <w:szCs w:val="24"/>
              </w:rPr>
              <w:t>中国银行</w:t>
            </w:r>
          </w:p>
        </w:tc>
        <w:tc>
          <w:tcPr>
            <w:vAlign w:val="center"/>
          </w:tcPr>
          <w:p>
            <w:pPr>
              <w:jc w:val="right"/>
            </w:pPr>
            <w:r>
              <w:rPr>
                <w:color w:val="000000"/>
                <w:sz w:val="24"/>
                <w:szCs w:val="24"/>
              </w:rPr>
              <w:t>2,100,000</w:t>
            </w:r>
          </w:p>
        </w:tc>
        <w:tc>
          <w:tcPr>
            <w:vAlign w:val="center"/>
          </w:tcPr>
          <w:p>
            <w:pPr>
              <w:jc w:val="right"/>
            </w:pPr>
            <w:r>
              <w:rPr>
                <w:color w:val="000000"/>
                <w:sz w:val="24"/>
                <w:szCs w:val="24"/>
              </w:rPr>
              <w:t>8,652,000.00</w:t>
            </w:r>
          </w:p>
        </w:tc>
        <w:tc>
          <w:tcPr>
            <w:vAlign w:val="center"/>
          </w:tcPr>
          <w:p>
            <w:pPr>
              <w:jc w:val="right"/>
            </w:pPr>
            <w:r>
              <w:rPr>
                <w:color w:val="000000"/>
                <w:sz w:val="24"/>
                <w:szCs w:val="24"/>
              </w:rPr>
              <w:t>1.41</w:t>
            </w:r>
          </w:p>
        </w:tc>
      </w:tr>
      <w:tr>
        <w:tc>
          <w:tcPr>
            <w:vAlign w:val="center"/>
          </w:tcPr>
          <w:p>
            <w:pPr>
              <w:jc w:val="center"/>
            </w:pPr>
            <w:r>
              <w:rPr>
                <w:color w:val="000000"/>
                <w:sz w:val="24"/>
                <w:szCs w:val="24"/>
              </w:rPr>
              <w:t>8</w:t>
            </w:r>
          </w:p>
        </w:tc>
        <w:tc>
          <w:tcPr>
            <w:vAlign w:val="center"/>
          </w:tcPr>
          <w:p>
            <w:pPr>
              <w:jc w:val="center"/>
            </w:pPr>
            <w:r>
              <w:rPr>
                <w:color w:val="000000"/>
                <w:sz w:val="24"/>
                <w:szCs w:val="24"/>
              </w:rPr>
              <w:t>002142</w:t>
            </w:r>
          </w:p>
        </w:tc>
        <w:tc>
          <w:tcPr>
            <w:vAlign w:val="center"/>
          </w:tcPr>
          <w:p>
            <w:pPr>
              <w:jc w:val="center"/>
            </w:pPr>
            <w:r>
              <w:rPr>
                <w:color w:val="000000"/>
                <w:sz w:val="24"/>
                <w:szCs w:val="24"/>
              </w:rPr>
              <w:t>宁波银行</w:t>
            </w:r>
          </w:p>
        </w:tc>
        <w:tc>
          <w:tcPr>
            <w:vAlign w:val="center"/>
          </w:tcPr>
          <w:p>
            <w:pPr>
              <w:jc w:val="right"/>
            </w:pPr>
            <w:r>
              <w:rPr>
                <w:color w:val="000000"/>
                <w:sz w:val="24"/>
                <w:szCs w:val="24"/>
              </w:rPr>
              <w:t>416,000</w:t>
            </w:r>
          </w:p>
        </w:tc>
        <w:tc>
          <w:tcPr>
            <w:vAlign w:val="center"/>
          </w:tcPr>
          <w:p>
            <w:pPr>
              <w:jc w:val="right"/>
            </w:pPr>
            <w:r>
              <w:rPr>
                <w:color w:val="000000"/>
                <w:sz w:val="24"/>
                <w:szCs w:val="24"/>
              </w:rPr>
              <w:t>6,564,480.00</w:t>
            </w:r>
          </w:p>
        </w:tc>
        <w:tc>
          <w:tcPr>
            <w:vAlign w:val="center"/>
          </w:tcPr>
          <w:p>
            <w:pPr>
              <w:jc w:val="right"/>
            </w:pPr>
            <w:r>
              <w:rPr>
                <w:color w:val="000000"/>
                <w:sz w:val="24"/>
                <w:szCs w:val="24"/>
              </w:rPr>
              <w:t>1.07</w:t>
            </w:r>
          </w:p>
        </w:tc>
      </w:tr>
      <w:tr>
        <w:tc>
          <w:tcPr>
            <w:vAlign w:val="center"/>
          </w:tcPr>
          <w:p>
            <w:pPr>
              <w:jc w:val="center"/>
            </w:pPr>
            <w:r>
              <w:rPr>
                <w:color w:val="000000"/>
                <w:sz w:val="24"/>
                <w:szCs w:val="24"/>
              </w:rPr>
              <w:t>9</w:t>
            </w:r>
          </w:p>
        </w:tc>
        <w:tc>
          <w:tcPr>
            <w:vAlign w:val="center"/>
          </w:tcPr>
          <w:p>
            <w:pPr>
              <w:jc w:val="center"/>
            </w:pPr>
            <w:r>
              <w:rPr>
                <w:color w:val="000000"/>
                <w:sz w:val="24"/>
                <w:szCs w:val="24"/>
              </w:rPr>
              <w:t>000921</w:t>
            </w:r>
          </w:p>
        </w:tc>
        <w:tc>
          <w:tcPr>
            <w:vAlign w:val="center"/>
          </w:tcPr>
          <w:p>
            <w:pPr>
              <w:jc w:val="center"/>
            </w:pPr>
            <w:r>
              <w:rPr>
                <w:color w:val="000000"/>
                <w:sz w:val="24"/>
                <w:szCs w:val="24"/>
              </w:rPr>
              <w:t>海信科龙</w:t>
            </w:r>
          </w:p>
        </w:tc>
        <w:tc>
          <w:tcPr>
            <w:vAlign w:val="center"/>
          </w:tcPr>
          <w:p>
            <w:pPr>
              <w:jc w:val="right"/>
            </w:pPr>
            <w:r>
              <w:rPr>
                <w:color w:val="000000"/>
                <w:sz w:val="24"/>
                <w:szCs w:val="24"/>
              </w:rPr>
              <w:t>449,970</w:t>
            </w:r>
          </w:p>
        </w:tc>
        <w:tc>
          <w:tcPr>
            <w:vAlign w:val="center"/>
          </w:tcPr>
          <w:p>
            <w:pPr>
              <w:jc w:val="right"/>
            </w:pPr>
            <w:r>
              <w:rPr>
                <w:color w:val="000000"/>
                <w:sz w:val="24"/>
                <w:szCs w:val="24"/>
              </w:rPr>
              <w:t>5,962,102.50</w:t>
            </w:r>
          </w:p>
        </w:tc>
        <w:tc>
          <w:tcPr>
            <w:vAlign w:val="center"/>
          </w:tcPr>
          <w:p>
            <w:pPr>
              <w:jc w:val="right"/>
            </w:pPr>
            <w:r>
              <w:rPr>
                <w:color w:val="000000"/>
                <w:sz w:val="24"/>
                <w:szCs w:val="24"/>
              </w:rPr>
              <w:t>0.97</w:t>
            </w:r>
          </w:p>
        </w:tc>
      </w:tr>
      <w:tr>
        <w:tc>
          <w:tcPr>
            <w:vAlign w:val="center"/>
          </w:tcPr>
          <w:p>
            <w:pPr>
              <w:jc w:val="center"/>
            </w:pPr>
            <w:r>
              <w:rPr>
                <w:color w:val="000000"/>
                <w:sz w:val="24"/>
                <w:szCs w:val="24"/>
              </w:rPr>
              <w:t>10</w:t>
            </w:r>
          </w:p>
        </w:tc>
        <w:tc>
          <w:tcPr>
            <w:vAlign w:val="center"/>
          </w:tcPr>
          <w:p>
            <w:pPr>
              <w:jc w:val="center"/>
            </w:pPr>
            <w:r>
              <w:rPr>
                <w:color w:val="000000"/>
                <w:sz w:val="24"/>
                <w:szCs w:val="24"/>
              </w:rPr>
              <w:t>600056</w:t>
            </w:r>
          </w:p>
        </w:tc>
        <w:tc>
          <w:tcPr>
            <w:vAlign w:val="center"/>
          </w:tcPr>
          <w:p>
            <w:pPr>
              <w:jc w:val="center"/>
            </w:pPr>
            <w:r>
              <w:rPr>
                <w:color w:val="000000"/>
                <w:sz w:val="24"/>
                <w:szCs w:val="24"/>
              </w:rPr>
              <w:t>中国医药</w:t>
            </w:r>
          </w:p>
        </w:tc>
        <w:tc>
          <w:tcPr>
            <w:vAlign w:val="center"/>
          </w:tcPr>
          <w:p>
            <w:pPr>
              <w:jc w:val="right"/>
            </w:pPr>
            <w:r>
              <w:rPr>
                <w:color w:val="000000"/>
                <w:sz w:val="24"/>
                <w:szCs w:val="24"/>
              </w:rPr>
              <w:t>190,000</w:t>
            </w:r>
          </w:p>
        </w:tc>
        <w:tc>
          <w:tcPr>
            <w:vAlign w:val="center"/>
          </w:tcPr>
          <w:p>
            <w:pPr>
              <w:jc w:val="right"/>
            </w:pPr>
            <w:r>
              <w:rPr>
                <w:color w:val="000000"/>
                <w:sz w:val="24"/>
                <w:szCs w:val="24"/>
              </w:rPr>
              <w:t>4,647,400.00</w:t>
            </w:r>
          </w:p>
        </w:tc>
        <w:tc>
          <w:tcPr>
            <w:vAlign w:val="center"/>
          </w:tcPr>
          <w:p>
            <w:pPr>
              <w:jc w:val="right"/>
            </w:pPr>
            <w:r>
              <w:rPr>
                <w:color w:val="000000"/>
                <w:sz w:val="24"/>
                <w:szCs w:val="24"/>
              </w:rPr>
              <w:t>0.75</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2,284,857.00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0.37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143,717,000.00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23.35</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143,717,000.00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23.35</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14,833,000.00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2.41</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80,285,000.00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13.04</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lastRenderedPageBreak/>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215,678,000.00</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35.03</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456,797,857.00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74.20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170210</w:t>
            </w:r>
          </w:p>
        </w:tc>
        <w:tc>
          <w:tcPr>
            <w:vAlign w:val="center"/>
          </w:tcPr>
          <w:p>
            <w:pPr>
              <w:jc w:val="center"/>
            </w:pPr>
            <w:r>
              <w:rPr>
                <w:color w:val="000000"/>
                <w:sz w:val="24"/>
                <w:szCs w:val="24"/>
              </w:rPr>
              <w:t>17国开10</w:t>
            </w:r>
          </w:p>
        </w:tc>
        <w:tc>
          <w:tcPr>
            <w:vAlign w:val="center"/>
          </w:tcPr>
          <w:p>
            <w:pPr>
              <w:jc w:val="right"/>
            </w:pPr>
            <w:r>
              <w:rPr>
                <w:color w:val="000000"/>
                <w:sz w:val="24"/>
                <w:szCs w:val="24"/>
              </w:rPr>
              <w:t>1,100,000</w:t>
            </w:r>
          </w:p>
        </w:tc>
        <w:tc>
          <w:tcPr>
            <w:vAlign w:val="center"/>
          </w:tcPr>
          <w:p>
            <w:pPr>
              <w:jc w:val="right"/>
            </w:pPr>
            <w:r>
              <w:rPr>
                <w:color w:val="000000"/>
                <w:sz w:val="24"/>
                <w:szCs w:val="24"/>
              </w:rPr>
              <w:t>107,789,000.00</w:t>
            </w:r>
          </w:p>
        </w:tc>
        <w:tc>
          <w:tcPr>
            <w:vAlign w:val="center"/>
          </w:tcPr>
          <w:p>
            <w:pPr>
              <w:jc w:val="right"/>
            </w:pPr>
            <w:r>
              <w:rPr>
                <w:color w:val="000000"/>
                <w:sz w:val="24"/>
                <w:szCs w:val="24"/>
              </w:rPr>
              <w:t>17.51</w:t>
            </w:r>
          </w:p>
        </w:tc>
      </w:tr>
      <w:tr>
        <w:tc>
          <w:tcPr>
            <w:vAlign w:val="center"/>
          </w:tcPr>
          <w:p>
            <w:pPr>
              <w:jc w:val="center"/>
            </w:pPr>
            <w:r>
              <w:rPr>
                <w:color w:val="000000"/>
                <w:sz w:val="24"/>
                <w:szCs w:val="24"/>
              </w:rPr>
              <w:t>2</w:t>
            </w:r>
          </w:p>
        </w:tc>
        <w:tc>
          <w:tcPr>
            <w:vAlign w:val="center"/>
          </w:tcPr>
          <w:p>
            <w:pPr>
              <w:jc w:val="center"/>
            </w:pPr>
            <w:r>
              <w:rPr>
                <w:color w:val="000000"/>
                <w:sz w:val="24"/>
                <w:szCs w:val="24"/>
              </w:rPr>
              <w:t>111709338</w:t>
            </w:r>
          </w:p>
        </w:tc>
        <w:tc>
          <w:tcPr>
            <w:vAlign w:val="center"/>
          </w:tcPr>
          <w:p>
            <w:pPr>
              <w:jc w:val="center"/>
            </w:pPr>
            <w:r>
              <w:rPr>
                <w:color w:val="000000"/>
                <w:sz w:val="24"/>
                <w:szCs w:val="24"/>
              </w:rPr>
              <w:t>17浦发银行CD338</w:t>
            </w:r>
          </w:p>
        </w:tc>
        <w:tc>
          <w:tcPr>
            <w:vAlign w:val="center"/>
          </w:tcPr>
          <w:p>
            <w:pPr>
              <w:jc w:val="right"/>
            </w:pPr>
            <w:r>
              <w:rPr>
                <w:color w:val="000000"/>
                <w:sz w:val="24"/>
                <w:szCs w:val="24"/>
              </w:rPr>
              <w:t>600,000</w:t>
            </w:r>
          </w:p>
        </w:tc>
        <w:tc>
          <w:tcPr>
            <w:vAlign w:val="center"/>
          </w:tcPr>
          <w:p>
            <w:pPr>
              <w:jc w:val="right"/>
            </w:pPr>
            <w:r>
              <w:rPr>
                <w:color w:val="000000"/>
                <w:sz w:val="24"/>
                <w:szCs w:val="24"/>
              </w:rPr>
              <w:t>59,340,000.00</w:t>
            </w:r>
          </w:p>
        </w:tc>
        <w:tc>
          <w:tcPr>
            <w:vAlign w:val="center"/>
          </w:tcPr>
          <w:p>
            <w:pPr>
              <w:jc w:val="right"/>
            </w:pPr>
            <w:r>
              <w:rPr>
                <w:color w:val="000000"/>
                <w:sz w:val="24"/>
                <w:szCs w:val="24"/>
              </w:rPr>
              <w:t>9.64</w:t>
            </w:r>
          </w:p>
        </w:tc>
      </w:tr>
      <w:tr>
        <w:tc>
          <w:tcPr>
            <w:vAlign w:val="center"/>
          </w:tcPr>
          <w:p>
            <w:pPr>
              <w:jc w:val="center"/>
            </w:pPr>
            <w:r>
              <w:rPr>
                <w:color w:val="000000"/>
                <w:sz w:val="24"/>
                <w:szCs w:val="24"/>
              </w:rPr>
              <w:t>3</w:t>
            </w:r>
          </w:p>
        </w:tc>
        <w:tc>
          <w:tcPr>
            <w:vAlign w:val="center"/>
          </w:tcPr>
          <w:p>
            <w:pPr>
              <w:jc w:val="center"/>
            </w:pPr>
            <w:r>
              <w:rPr>
                <w:color w:val="000000"/>
                <w:sz w:val="24"/>
                <w:szCs w:val="24"/>
              </w:rPr>
              <w:t>111717172</w:t>
            </w:r>
          </w:p>
        </w:tc>
        <w:tc>
          <w:tcPr>
            <w:vAlign w:val="center"/>
          </w:tcPr>
          <w:p>
            <w:pPr>
              <w:jc w:val="center"/>
            </w:pPr>
            <w:r>
              <w:rPr>
                <w:color w:val="000000"/>
                <w:sz w:val="24"/>
                <w:szCs w:val="24"/>
              </w:rPr>
              <w:t>17光大银行CD172</w:t>
            </w:r>
          </w:p>
        </w:tc>
        <w:tc>
          <w:tcPr>
            <w:vAlign w:val="center"/>
          </w:tcPr>
          <w:p>
            <w:pPr>
              <w:jc w:val="right"/>
            </w:pPr>
            <w:r>
              <w:rPr>
                <w:color w:val="000000"/>
                <w:sz w:val="24"/>
                <w:szCs w:val="24"/>
              </w:rPr>
              <w:t>400,000</w:t>
            </w:r>
          </w:p>
        </w:tc>
        <w:tc>
          <w:tcPr>
            <w:vAlign w:val="center"/>
          </w:tcPr>
          <w:p>
            <w:pPr>
              <w:jc w:val="right"/>
            </w:pPr>
            <w:r>
              <w:rPr>
                <w:color w:val="000000"/>
                <w:sz w:val="24"/>
                <w:szCs w:val="24"/>
              </w:rPr>
              <w:t>39,560,000.00</w:t>
            </w:r>
          </w:p>
        </w:tc>
        <w:tc>
          <w:tcPr>
            <w:vAlign w:val="center"/>
          </w:tcPr>
          <w:p>
            <w:pPr>
              <w:jc w:val="right"/>
            </w:pPr>
            <w:r>
              <w:rPr>
                <w:color w:val="000000"/>
                <w:sz w:val="24"/>
                <w:szCs w:val="24"/>
              </w:rPr>
              <w:t>6.43</w:t>
            </w:r>
          </w:p>
        </w:tc>
      </w:tr>
      <w:tr>
        <w:tc>
          <w:tcPr>
            <w:vAlign w:val="center"/>
          </w:tcPr>
          <w:p>
            <w:pPr>
              <w:jc w:val="center"/>
            </w:pPr>
            <w:r>
              <w:rPr>
                <w:color w:val="000000"/>
                <w:sz w:val="24"/>
                <w:szCs w:val="24"/>
              </w:rPr>
              <w:t>4</w:t>
            </w:r>
          </w:p>
        </w:tc>
        <w:tc>
          <w:tcPr>
            <w:vAlign w:val="center"/>
          </w:tcPr>
          <w:p>
            <w:pPr>
              <w:jc w:val="center"/>
            </w:pPr>
            <w:r>
              <w:rPr>
                <w:color w:val="000000"/>
                <w:sz w:val="24"/>
                <w:szCs w:val="24"/>
              </w:rPr>
              <w:t>108601</w:t>
            </w:r>
          </w:p>
        </w:tc>
        <w:tc>
          <w:tcPr>
            <w:vAlign w:val="center"/>
          </w:tcPr>
          <w:p>
            <w:pPr>
              <w:jc w:val="center"/>
            </w:pPr>
            <w:r>
              <w:rPr>
                <w:color w:val="000000"/>
                <w:sz w:val="24"/>
                <w:szCs w:val="24"/>
              </w:rPr>
              <w:t>国开1703</w:t>
            </w:r>
          </w:p>
        </w:tc>
        <w:tc>
          <w:tcPr>
            <w:vAlign w:val="center"/>
          </w:tcPr>
          <w:p>
            <w:pPr>
              <w:jc w:val="right"/>
            </w:pPr>
            <w:r>
              <w:rPr>
                <w:color w:val="000000"/>
                <w:sz w:val="24"/>
                <w:szCs w:val="24"/>
              </w:rPr>
              <w:t>360,000</w:t>
            </w:r>
          </w:p>
        </w:tc>
        <w:tc>
          <w:tcPr>
            <w:vAlign w:val="center"/>
          </w:tcPr>
          <w:p>
            <w:pPr>
              <w:jc w:val="right"/>
            </w:pPr>
            <w:r>
              <w:rPr>
                <w:color w:val="000000"/>
                <w:sz w:val="24"/>
                <w:szCs w:val="24"/>
              </w:rPr>
              <w:t>35,928,000.00</w:t>
            </w:r>
          </w:p>
        </w:tc>
        <w:tc>
          <w:tcPr>
            <w:vAlign w:val="center"/>
          </w:tcPr>
          <w:p>
            <w:pPr>
              <w:jc w:val="right"/>
            </w:pPr>
            <w:r>
              <w:rPr>
                <w:color w:val="000000"/>
                <w:sz w:val="24"/>
                <w:szCs w:val="24"/>
              </w:rPr>
              <w:t>5.84</w:t>
            </w:r>
          </w:p>
        </w:tc>
      </w:tr>
      <w:tr>
        <w:tc>
          <w:tcPr>
            <w:vAlign w:val="center"/>
          </w:tcPr>
          <w:p>
            <w:pPr>
              <w:jc w:val="center"/>
            </w:pPr>
            <w:r>
              <w:rPr>
                <w:color w:val="000000"/>
                <w:sz w:val="24"/>
                <w:szCs w:val="24"/>
              </w:rPr>
              <w:t>5</w:t>
            </w:r>
          </w:p>
        </w:tc>
        <w:tc>
          <w:tcPr>
            <w:vAlign w:val="center"/>
          </w:tcPr>
          <w:p>
            <w:pPr>
              <w:jc w:val="center"/>
            </w:pPr>
            <w:r>
              <w:rPr>
                <w:color w:val="000000"/>
                <w:sz w:val="24"/>
                <w:szCs w:val="24"/>
              </w:rPr>
              <w:t>041751006</w:t>
            </w:r>
          </w:p>
        </w:tc>
        <w:tc>
          <w:tcPr>
            <w:vAlign w:val="center"/>
          </w:tcPr>
          <w:p>
            <w:pPr>
              <w:jc w:val="center"/>
            </w:pPr>
            <w:r>
              <w:rPr>
                <w:color w:val="000000"/>
                <w:sz w:val="24"/>
                <w:szCs w:val="24"/>
              </w:rPr>
              <w:t>17青海盐湖CP001</w:t>
            </w:r>
          </w:p>
        </w:tc>
        <w:tc>
          <w:tcPr>
            <w:vAlign w:val="center"/>
          </w:tcPr>
          <w:p>
            <w:pPr>
              <w:jc w:val="right"/>
            </w:pPr>
            <w:r>
              <w:rPr>
                <w:color w:val="000000"/>
                <w:sz w:val="24"/>
                <w:szCs w:val="24"/>
              </w:rPr>
              <w:t>200,000</w:t>
            </w:r>
          </w:p>
        </w:tc>
        <w:tc>
          <w:tcPr>
            <w:vAlign w:val="center"/>
          </w:tcPr>
          <w:p>
            <w:pPr>
              <w:jc w:val="right"/>
            </w:pPr>
            <w:r>
              <w:rPr>
                <w:color w:val="000000"/>
                <w:sz w:val="24"/>
                <w:szCs w:val="24"/>
              </w:rPr>
              <w:t>20,086,000.00</w:t>
            </w:r>
          </w:p>
        </w:tc>
        <w:tc>
          <w:tcPr>
            <w:vAlign w:val="center"/>
          </w:tcPr>
          <w:p>
            <w:pPr>
              <w:jc w:val="right"/>
            </w:pPr>
            <w:r>
              <w:rPr>
                <w:color w:val="000000"/>
                <w:sz w:val="24"/>
                <w:szCs w:val="24"/>
              </w:rPr>
              <w:t>3.26</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F743D4"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F743D4"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CD570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5.11.1报告期内本基金投资的前十名证券的发行主体除17青海盐湖CP001（证券代码: 041751006）外，未出现被监管部门立案调查，或在报告编制日前一年内受到公开谴责、处罚的情形。</w:t>
      </w:r>
    </w:p>
    <w:p>
      <w:pPr>
        <w:autoSpaceDE w:val="0"/>
        <w:autoSpaceDN w:val="0"/>
        <w:adjustRightInd w:val="0"/>
        <w:spacing w:before="29" w:line="288" w:lineRule="auto"/>
        <w:jc w:val="left"/>
        <w:rPr>
          <w:bCs/>
          <w:color w:val="000000"/>
          <w:kern w:val="0"/>
          <w:sz w:val="24"/>
          <w:szCs w:val="24"/>
        </w:rPr>
      </w:pPr>
      <w:r>
        <w:rPr>
          <w:bCs/>
          <w:color w:val="000000"/>
          <w:kern w:val="0"/>
          <w:sz w:val="24"/>
          <w:szCs w:val="24"/>
        </w:rPr>
        <w:t>报告期内本基金投资的前十名证券之一17青海盐湖CP001（证券代码:041751006）的发行主体盐湖股份于2016年12月22日公告，公司控股子公司青海盐湖海纳化工有限公司聚氯乙烯一体化项目日产2500吨水泥生产线电石渣库顶除尘器发生闪爆事故，于近日收到西宁市人民政府出具的《关于青海盐湖海纳化工有限公司2500t/d电石渣水泥生产线“9.18”闪爆较大生产安全事故结案的批复》（宁政[2016]213号）及事故调查组出具的《关于青海盐湖海纳化工有限公司2500t/d电石渣水泥生产线“9.18”闪爆较大生产安全事故调查报告》。据此，西宁市人民政府决定给予盐湖海纳100万元的行政处罚。</w:t>
      </w:r>
    </w:p>
    <w:p>
      <w:pPr>
        <w:autoSpaceDE w:val="0"/>
        <w:autoSpaceDN w:val="0"/>
        <w:adjustRightInd w:val="0"/>
        <w:spacing w:before="29" w:line="288" w:lineRule="auto"/>
        <w:jc w:val="left"/>
        <w:rPr>
          <w:bCs/>
          <w:color w:val="000000"/>
          <w:kern w:val="0"/>
          <w:sz w:val="24"/>
          <w:szCs w:val="24"/>
        </w:rPr>
      </w:pPr>
      <w:r>
        <w:rPr>
          <w:bCs/>
          <w:color w:val="000000"/>
          <w:kern w:val="0"/>
          <w:sz w:val="24"/>
          <w:szCs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21,760.83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283,052.99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6,833,381.85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7,138,195.67</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F743D4"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F743D4"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D02347"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
      </w:r>
      <w:r w:rsidR="003259C8"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8F60F2"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595,064,033.95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80,176.31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25,728,982.68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569,415,227.58</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R="004061AC" w:rsidRPr="00414345" w:rsidRDefault="00F743D4"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ED2620" w:rsidP="00EE49FE">
      <w:pPr>
        <w:pStyle w:val="1"/>
        <w:tabs>
          <w:tab w:val="center" w:pos="4156"/>
          <w:tab w:val="right" w:pos="8312"/>
        </w:tabs>
        <w:spacing w:beforeLines="100" w:after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EE49FE">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tc>
          <w:tcPr>
            <w:vMerge w:val="restart"/>
          </w:tcPr>
          <w:p/>
          <w:p>
            <w:r>
              <w:rPr>
                <w:rFonts w:ascii="宋体" w:hAnsi="宋体" w:hint="eastAsia"/>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2017/7/1-2017/9/30</w:t>
            </w:r>
          </w:p>
        </w:tc>
        <w:tc>
          <w:tcPr>
            <w:vAlign w:val="center"/>
          </w:tcPr>
          <w:p>
            <w:pPr>
              <w:jc w:val="center"/>
            </w:pPr>
            <w:r>
              <w:rPr>
                <w:rFonts w:ascii="宋体" w:hAnsi="宋体"/>
                <w:color w:val="000000"/>
                <w:kern w:val="0"/>
              </w:rPr>
              <w:t>299,816,401.20</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299,816,401.20</w:t>
            </w:r>
          </w:p>
        </w:tc>
        <w:tc>
          <w:tcPr>
            <w:vAlign w:val="center"/>
          </w:tcPr>
          <w:p>
            <w:pPr>
              <w:jc w:val="center"/>
            </w:pPr>
            <w:r>
              <w:rPr>
                <w:rFonts w:ascii="宋体" w:hAnsi="宋体"/>
                <w:color w:val="000000"/>
                <w:kern w:val="0"/>
              </w:rPr>
              <w:t>52.65%</w:t>
            </w:r>
          </w:p>
        </w:tc>
      </w:tr>
      <w:tr>
        <w:tc>
          <w:tcPr>
            <w:vMerge/>
          </w:tcPr>
          <w:p/>
        </w:tc>
        <w:tc>
          <w:tcPr>
            <w:vAlign w:val="center"/>
          </w:tcPr>
          <w:p>
            <w:pPr>
              <w:jc w:val="center"/>
            </w:pPr>
            <w:r>
              <w:rPr>
                <w:rFonts w:ascii="宋体" w:hAnsi="宋体"/>
                <w:color w:val="000000"/>
                <w:kern w:val="0"/>
              </w:rPr>
              <w:t>2</w:t>
            </w:r>
          </w:p>
        </w:tc>
        <w:tc>
          <w:tcPr>
            <w:vAlign w:val="center"/>
          </w:tcPr>
          <w:p>
            <w:pPr>
              <w:jc w:val="center"/>
            </w:pPr>
            <w:r>
              <w:rPr>
                <w:rFonts w:ascii="宋体" w:hAnsi="宋体"/>
                <w:color w:val="000000"/>
                <w:kern w:val="0"/>
              </w:rPr>
              <w:t>2017/7/1-2017/9/30</w:t>
            </w:r>
          </w:p>
        </w:tc>
        <w:tc>
          <w:tcPr>
            <w:vAlign w:val="center"/>
          </w:tcPr>
          <w:p>
            <w:pPr>
              <w:jc w:val="center"/>
            </w:pPr>
            <w:r>
              <w:rPr>
                <w:rFonts w:ascii="宋体" w:hAnsi="宋体"/>
                <w:color w:val="000000"/>
                <w:kern w:val="0"/>
              </w:rPr>
              <w:t>249,500,000.00</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249,500,000.00</w:t>
            </w:r>
          </w:p>
        </w:tc>
        <w:tc>
          <w:tcPr>
            <w:vAlign w:val="center"/>
          </w:tcPr>
          <w:p>
            <w:pPr>
              <w:jc w:val="center"/>
            </w:pPr>
            <w:r>
              <w:rPr>
                <w:rFonts w:ascii="宋体" w:hAnsi="宋体"/>
                <w:color w:val="000000"/>
                <w:kern w:val="0"/>
              </w:rPr>
              <w:t>43.82%</w:t>
            </w:r>
          </w:p>
        </w:tc>
      </w:tr>
    </w:tbl>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3C50AD" w:rsidRPr="004F4D27" w:rsidTr="00424D30">
        <w:tc>
          <w:tcPr>
            <w:tcW w:w="9212" w:type="dxa"/>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r w:rsidRPr="004F4D27">
              <w:rPr>
                <w:rFonts w:ascii="宋体" w:hAnsi="宋体"/>
                <w:kern w:val="0"/>
              </w:rPr>
              <w:t/>
            </w:r>
            <w:r w:rsidRPr="004F4D27">
              <w:rPr>
                <w:rFonts w:ascii="宋体" w:hAnsi="宋体" w:hint="eastAsia"/>
                <w:kern w:val="0"/>
              </w:rPr>
              <w:t/>
            </w:r>
            <w:r w:rsidRPr="004F4D27">
              <w:rPr>
                <w:rFonts w:ascii="宋体" w:hAnsi="宋体"/>
                <w:kern w:val="0"/>
              </w:rPr>
              <w:t/>
            </w:r>
          </w:p>
        </w:tc>
      </w:tr>
      <w:tr w:rsidR="003C50AD" w:rsidRPr="004F4D27" w:rsidTr="00424D30">
        <w:tc>
          <w:tcPr>
            <w:tcW w:w="9212" w:type="dxa"/>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
            </w:r>
            <w:r w:rsidRPr="004F4D27">
              <w:rPr>
                <w:rFonts w:ascii="宋体" w:hAnsi="宋体"/>
                <w:kern w:val="0"/>
              </w:rPr>
              <w:t/>
            </w: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r w:rsidRPr="004F4D27">
              <w:rPr>
                <w:rFonts w:ascii="宋体" w:hAnsi="宋体"/>
                <w:kern w:val="0"/>
              </w:rPr>
              <w:t/>
            </w:r>
          </w:p>
        </w:tc>
      </w:tr>
    </w:tbl>
    <w:p w:rsidR="00B22DEE" w:rsidRPr="00E02660" w:rsidRDefault="004061AC" w:rsidP="00EE49FE">
      <w:pPr>
        <w:pStyle w:val="1"/>
        <w:spacing w:beforeLines="100" w:after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Chars="200" w:firstLine="480"/>
        <w:rPr>
          <w:color w:val="000000"/>
          <w:sz w:val="24"/>
          <w:szCs w:val="24"/>
        </w:rPr>
      </w:pPr>
      <w:r>
        <w:rPr>
          <w:color w:val="000000"/>
          <w:sz w:val="24"/>
          <w:szCs w:val="24"/>
        </w:rPr>
        <w:t xml:space="preserve">1、中国证监会准予交银施罗德领先回报灵活配置混合型证券投资基金募集注册的文件； </w:t>
      </w:r>
    </w:p>
    <w:p>
      <w:pPr>
        <w:spacing w:before="29" w:line="288" w:lineRule="auto"/>
        <w:ind w:firstLineChars="200" w:firstLine="480"/>
        <w:rPr>
          <w:color w:val="000000"/>
          <w:sz w:val="24"/>
          <w:szCs w:val="24"/>
        </w:rPr>
      </w:pPr>
      <w:r>
        <w:rPr>
          <w:color w:val="000000"/>
          <w:sz w:val="24"/>
          <w:szCs w:val="24"/>
        </w:rPr>
        <w:t xml:space="preserve">2、《交银施罗德领先回报灵活配置混合型证券投资基金基金合同》； </w:t>
      </w:r>
    </w:p>
    <w:p>
      <w:pPr>
        <w:spacing w:before="29" w:line="288" w:lineRule="auto"/>
        <w:ind w:firstLineChars="200" w:firstLine="480"/>
        <w:rPr>
          <w:color w:val="000000"/>
          <w:sz w:val="24"/>
          <w:szCs w:val="24"/>
        </w:rPr>
      </w:pPr>
      <w:r>
        <w:rPr>
          <w:color w:val="000000"/>
          <w:sz w:val="24"/>
          <w:szCs w:val="24"/>
        </w:rPr>
        <w:t xml:space="preserve">3、《交银施罗德领先回报灵活配置混合型证券投资基金招募说明书》； </w:t>
      </w:r>
    </w:p>
    <w:p>
      <w:pPr>
        <w:spacing w:before="29" w:line="288" w:lineRule="auto"/>
        <w:ind w:firstLineChars="200" w:firstLine="480"/>
        <w:rPr>
          <w:color w:val="000000"/>
          <w:sz w:val="24"/>
          <w:szCs w:val="24"/>
        </w:rPr>
      </w:pPr>
      <w:r>
        <w:rPr>
          <w:color w:val="000000"/>
          <w:sz w:val="24"/>
          <w:szCs w:val="24"/>
        </w:rPr>
        <w:t xml:space="preserve">4、《交银施罗德领先回报灵活配置混合型证券投资基金托管协议》； </w:t>
      </w:r>
    </w:p>
    <w:p>
      <w:pPr>
        <w:spacing w:before="29" w:line="288" w:lineRule="auto"/>
        <w:ind w:firstLineChars="200" w:firstLine="480"/>
        <w:rPr>
          <w:color w:val="000000"/>
          <w:sz w:val="24"/>
          <w:szCs w:val="24"/>
        </w:rPr>
      </w:pPr>
      <w:r>
        <w:rPr>
          <w:color w:val="000000"/>
          <w:sz w:val="24"/>
          <w:szCs w:val="24"/>
        </w:rPr>
        <w:t xml:space="preserve">5、关于申请募集注册交银施罗德领先回报灵活配置混合型证券投资基金的法律意见书； </w:t>
      </w:r>
    </w:p>
    <w:p>
      <w:pPr>
        <w:spacing w:before="29" w:line="288" w:lineRule="auto"/>
        <w:ind w:firstLineChars="200" w:firstLine="480"/>
        <w:rPr>
          <w:color w:val="000000"/>
          <w:sz w:val="24"/>
          <w:szCs w:val="24"/>
        </w:rPr>
      </w:pPr>
      <w:r>
        <w:rPr>
          <w:color w:val="000000"/>
          <w:sz w:val="24"/>
          <w:szCs w:val="24"/>
        </w:rPr>
        <w:t xml:space="preserve">6、基金管理人业务资格批件、营业执照； </w:t>
      </w:r>
    </w:p>
    <w:p>
      <w:pPr>
        <w:spacing w:before="29" w:line="288" w:lineRule="auto"/>
        <w:ind w:firstLineChars="200" w:firstLine="480"/>
        <w:rPr>
          <w:color w:val="000000"/>
          <w:sz w:val="24"/>
          <w:szCs w:val="24"/>
        </w:rPr>
      </w:pPr>
      <w:r>
        <w:rPr>
          <w:color w:val="000000"/>
          <w:sz w:val="24"/>
          <w:szCs w:val="24"/>
        </w:rPr>
        <w:t xml:space="preserve">7、基金托管人业务资格批件、营业执照；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8、报告期内交银施罗德领先回报灵活配置混合型证券投资基金在指定报刊上各项公告的原稿。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Chars="200" w:firstLine="480"/>
        <w:rPr>
          <w:color w:val="000000"/>
          <w:sz w:val="24"/>
          <w:szCs w:val="24"/>
        </w:rPr>
      </w:pPr>
      <w:r>
        <w:rPr>
          <w:color w:val="000000"/>
          <w:sz w:val="24"/>
          <w:szCs w:val="24"/>
        </w:rPr>
        <w:t xml:space="preserve">投资者可在办公时间内至基金管理人的办公场所免费查阅备查文件，或者登录基金管理人的网站(www.fund001.com，www.bocomschroder.com)查阅。在支付工本费后，投资者可在合理时间内取得上述文件的复制件或复印件。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A33" w:rsidRDefault="005A0A33" w:rsidP="00876D65">
      <w:r>
        <w:separator/>
      </w:r>
    </w:p>
  </w:endnote>
  <w:endnote w:type="continuationSeparator" w:id="1">
    <w:p w:rsidR="005A0A33" w:rsidRDefault="005A0A33"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C" w:rsidRPr="001D0DB0" w:rsidRDefault="004D340C" w:rsidP="004D340C">
    <w:pPr>
      <w:pStyle w:val="a6"/>
      <w:jc w:val="center"/>
    </w:pPr>
    <w:r>
      <w:rPr>
        <w:rFonts w:hint="eastAsia"/>
        <w:kern w:val="0"/>
        <w:szCs w:val="21"/>
      </w:rPr>
      <w:t>第</w:t>
    </w:r>
    <w:r w:rsidR="0052479B">
      <w:rPr>
        <w:kern w:val="0"/>
        <w:szCs w:val="21"/>
      </w:rPr>
      <w:fldChar w:fldCharType="begin"/>
    </w:r>
    <w:r>
      <w:rPr>
        <w:kern w:val="0"/>
        <w:szCs w:val="21"/>
      </w:rPr>
      <w:instrText xml:space="preserve"> PAGE </w:instrText>
    </w:r>
    <w:r w:rsidR="0052479B">
      <w:rPr>
        <w:kern w:val="0"/>
        <w:szCs w:val="21"/>
      </w:rPr>
      <w:fldChar w:fldCharType="separate"/>
    </w:r>
    <w:r w:rsidR="00EE49FE">
      <w:rPr>
        <w:noProof/>
        <w:kern w:val="0"/>
        <w:szCs w:val="21"/>
      </w:rPr>
      <w:t>1</w:t>
    </w:r>
    <w:r w:rsidR="0052479B">
      <w:rPr>
        <w:kern w:val="0"/>
        <w:szCs w:val="21"/>
      </w:rPr>
      <w:fldChar w:fldCharType="end"/>
    </w:r>
    <w:r>
      <w:rPr>
        <w:rFonts w:hint="eastAsia"/>
        <w:kern w:val="0"/>
        <w:szCs w:val="21"/>
      </w:rPr>
      <w:t>页共</w:t>
    </w:r>
    <w:r w:rsidR="0052479B">
      <w:rPr>
        <w:kern w:val="0"/>
        <w:szCs w:val="21"/>
      </w:rPr>
      <w:fldChar w:fldCharType="begin"/>
    </w:r>
    <w:r>
      <w:rPr>
        <w:kern w:val="0"/>
        <w:szCs w:val="21"/>
      </w:rPr>
      <w:instrText xml:space="preserve"> NUMPAGES </w:instrText>
    </w:r>
    <w:r w:rsidR="0052479B">
      <w:rPr>
        <w:kern w:val="0"/>
        <w:szCs w:val="21"/>
      </w:rPr>
      <w:fldChar w:fldCharType="separate"/>
    </w:r>
    <w:r w:rsidR="00EE49FE">
      <w:rPr>
        <w:noProof/>
        <w:kern w:val="0"/>
        <w:szCs w:val="21"/>
      </w:rPr>
      <w:t>15</w:t>
    </w:r>
    <w:r w:rsidR="0052479B">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A33" w:rsidRDefault="005A0A33" w:rsidP="00876D65">
      <w:r>
        <w:separator/>
      </w:r>
    </w:p>
  </w:footnote>
  <w:footnote w:type="continuationSeparator" w:id="1">
    <w:p w:rsidR="005A0A33" w:rsidRDefault="005A0A33"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50A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A33"/>
    <w:rsid w:val="005A0F1F"/>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04BE1"/>
    <w:rsid w:val="00E215BA"/>
    <w:rsid w:val="00E36549"/>
    <w:rsid w:val="00E40D31"/>
    <w:rsid w:val="00E41260"/>
    <w:rsid w:val="00E44E18"/>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2.jpeg" Type="http://schemas.openxmlformats.org/officeDocument/2006/relationships/image"/>
<Relationship Id="rId11" Target="fontTable.xml" Type="http://schemas.openxmlformats.org/officeDocument/2006/relationships/fontTable"/>
<Relationship Id="rId12" Target="theme/theme1.xml" Type="http://schemas.openxmlformats.org/officeDocument/2006/relationships/theme"/>
<Relationship Id="rId13" Target="stylesWithEffects.xml" Type="http://schemas.microsoft.com/office/2007/relationships/stylesWithEffects"/>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AE05-B3B4-4DEC-B1E6-C012F8D9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15</Pages>
  <Words>3756</Words>
  <Characters>21412</Characters>
  <Application>Microsoft Office Word</Application>
  <DocSecurity>0</DocSecurity>
  <Lines>178</Lines>
  <Paragraphs>50</Paragraphs>
  <ScaleCrop>false</ScaleCrop>
  <Company/>
  <LinksUpToDate>false</LinksUpToDate>
  <CharactersWithSpaces>25118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China</cp:lastModifiedBy>
  <dcterms:modified xsi:type="dcterms:W3CDTF">2017-07-10T10:13:00Z</dcterms:modified>
  <cp:revision>565</cp:revision>
</cp:coreProperties>
</file>