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bookmarkStart w:id="0" w:name="_GoBack"/>
      <w:bookmarkEnd w:id="0"/>
    </w:p>
    <w:p w:rsidR="00C638AF" w:rsidRPr="00405493" w:rsidRDefault="00C638AF"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6E30C6" w:rsidRPr="00087F8A" w:rsidRDefault="006E30C6" w:rsidP="009D139A">
      <w:pPr>
        <w:spacing w:before="29" w:line="288" w:lineRule="auto"/>
        <w:jc w:val="center"/>
        <w:rPr>
          <w:rFonts w:eastAsiaTheme="minorEastAsia"/>
          <w:b/>
          <w:sz w:val="36"/>
          <w:szCs w:val="36"/>
        </w:rPr>
      </w:pPr>
      <w:r w:rsidRPr="00087F8A">
        <w:rPr>
          <w:rFonts w:eastAsiaTheme="minorEastAsia"/>
          <w:b/>
          <w:sz w:val="36"/>
          <w:szCs w:val="36"/>
        </w:rPr>
        <w:t>交银施罗德丰硕收益债券型证券投资基金</w:t>
      </w:r>
    </w:p>
    <w:p w:rsidR="006E30C6" w:rsidRPr="00087F8A" w:rsidRDefault="006E30C6" w:rsidP="009D139A">
      <w:pPr>
        <w:spacing w:before="29" w:line="288" w:lineRule="auto"/>
        <w:jc w:val="center"/>
        <w:rPr>
          <w:rFonts w:eastAsiaTheme="minorEastAsia"/>
          <w:b/>
          <w:sz w:val="36"/>
          <w:szCs w:val="36"/>
        </w:rPr>
      </w:pPr>
      <w:r w:rsidRPr="00087F8A">
        <w:rPr>
          <w:rFonts w:eastAsiaTheme="minorEastAsia"/>
          <w:b/>
          <w:sz w:val="36"/>
          <w:szCs w:val="36"/>
        </w:rPr>
        <w:t>2016</w:t>
      </w:r>
      <w:r w:rsidRPr="00087F8A">
        <w:rPr>
          <w:rFonts w:eastAsiaTheme="minorEastAsia"/>
          <w:b/>
          <w:sz w:val="36"/>
          <w:szCs w:val="36"/>
        </w:rPr>
        <w:t>年第</w:t>
      </w:r>
      <w:r w:rsidRPr="00087F8A">
        <w:rPr>
          <w:rFonts w:eastAsiaTheme="minorEastAsia"/>
          <w:b/>
          <w:sz w:val="36"/>
          <w:szCs w:val="36"/>
        </w:rPr>
        <w:t>3</w:t>
      </w:r>
      <w:r w:rsidRPr="00087F8A">
        <w:rPr>
          <w:rFonts w:eastAsiaTheme="minorEastAsia"/>
          <w:b/>
          <w:sz w:val="36"/>
          <w:szCs w:val="36"/>
        </w:rPr>
        <w:t>季度报告</w:t>
      </w:r>
    </w:p>
    <w:p w:rsidR="005516A4" w:rsidRPr="00087F8A" w:rsidRDefault="00B2115D" w:rsidP="009D139A">
      <w:pPr>
        <w:spacing w:before="29" w:line="288" w:lineRule="auto"/>
        <w:jc w:val="center"/>
        <w:rPr>
          <w:rFonts w:eastAsiaTheme="minorEastAsia"/>
          <w:b/>
          <w:sz w:val="36"/>
          <w:szCs w:val="36"/>
        </w:rPr>
      </w:pPr>
      <w:r w:rsidRPr="00087F8A">
        <w:rPr>
          <w:rFonts w:eastAsiaTheme="minorEastAsia"/>
          <w:b/>
          <w:sz w:val="36"/>
          <w:szCs w:val="36"/>
        </w:rPr>
        <w:t>2016</w:t>
      </w:r>
      <w:r w:rsidRPr="00087F8A">
        <w:rPr>
          <w:rFonts w:eastAsiaTheme="minorEastAsia"/>
          <w:b/>
          <w:sz w:val="36"/>
          <w:szCs w:val="36"/>
        </w:rPr>
        <w:t>年</w:t>
      </w:r>
      <w:r w:rsidRPr="00087F8A">
        <w:rPr>
          <w:rFonts w:eastAsiaTheme="minorEastAsia"/>
          <w:b/>
          <w:sz w:val="36"/>
          <w:szCs w:val="36"/>
        </w:rPr>
        <w:t>9</w:t>
      </w:r>
      <w:r w:rsidRPr="00087F8A">
        <w:rPr>
          <w:rFonts w:eastAsiaTheme="minorEastAsia"/>
          <w:b/>
          <w:sz w:val="36"/>
          <w:szCs w:val="36"/>
        </w:rPr>
        <w:t>月</w:t>
      </w:r>
      <w:r w:rsidRPr="00087F8A">
        <w:rPr>
          <w:rFonts w:eastAsiaTheme="minorEastAsia"/>
          <w:b/>
          <w:sz w:val="36"/>
          <w:szCs w:val="36"/>
        </w:rPr>
        <w:t>30</w:t>
      </w:r>
      <w:r w:rsidRPr="00087F8A">
        <w:rPr>
          <w:rFonts w:eastAsiaTheme="minorEastAsia"/>
          <w:b/>
          <w:sz w:val="36"/>
          <w:szCs w:val="36"/>
        </w:rPr>
        <w:t>日</w:t>
      </w: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rPr>
          <w:rFonts w:eastAsiaTheme="minorEastAsia"/>
          <w:b/>
          <w:color w:val="000000"/>
          <w:sz w:val="24"/>
        </w:rPr>
      </w:pPr>
    </w:p>
    <w:p w:rsidR="00662C4E" w:rsidRPr="00087F8A" w:rsidRDefault="005516A4" w:rsidP="009D139A">
      <w:pPr>
        <w:spacing w:before="29" w:line="288" w:lineRule="auto"/>
        <w:ind w:firstLineChars="900" w:firstLine="2168"/>
        <w:rPr>
          <w:rFonts w:eastAsiaTheme="minorEastAsia"/>
          <w:b/>
          <w:color w:val="000000"/>
          <w:sz w:val="24"/>
        </w:rPr>
      </w:pPr>
      <w:r w:rsidRPr="00087F8A">
        <w:rPr>
          <w:b/>
          <w:color w:val="000000"/>
          <w:sz w:val="24"/>
        </w:rPr>
        <w:t>基金管理人：</w:t>
      </w:r>
      <w:r w:rsidR="008327A3" w:rsidRPr="00087F8A">
        <w:rPr>
          <w:rFonts w:eastAsiaTheme="minorEastAsia"/>
          <w:b/>
          <w:color w:val="000000"/>
          <w:sz w:val="24"/>
        </w:rPr>
        <w:t>交银施罗德基金管理有限公司</w:t>
      </w:r>
    </w:p>
    <w:p w:rsidR="00662C4E" w:rsidRPr="00087F8A" w:rsidRDefault="005516A4" w:rsidP="009D139A">
      <w:pPr>
        <w:spacing w:before="29" w:line="288" w:lineRule="auto"/>
        <w:ind w:firstLineChars="900" w:firstLine="2168"/>
        <w:rPr>
          <w:rFonts w:eastAsiaTheme="minorEastAsia"/>
          <w:b/>
          <w:color w:val="000000"/>
          <w:sz w:val="24"/>
        </w:rPr>
      </w:pPr>
      <w:r w:rsidRPr="00087F8A">
        <w:rPr>
          <w:b/>
          <w:color w:val="000000"/>
          <w:sz w:val="24"/>
        </w:rPr>
        <w:t>基金托管人：</w:t>
      </w:r>
      <w:r w:rsidR="008327A3" w:rsidRPr="00087F8A">
        <w:rPr>
          <w:rFonts w:eastAsiaTheme="minorEastAsia"/>
          <w:b/>
          <w:color w:val="000000"/>
          <w:sz w:val="24"/>
        </w:rPr>
        <w:t>中信银行股份有限公司</w:t>
      </w:r>
    </w:p>
    <w:p w:rsidR="005516A4" w:rsidRPr="00087F8A" w:rsidRDefault="005516A4" w:rsidP="009D139A">
      <w:pPr>
        <w:spacing w:before="29" w:line="288" w:lineRule="auto"/>
        <w:ind w:firstLineChars="900" w:firstLine="2168"/>
        <w:rPr>
          <w:rFonts w:eastAsiaTheme="minorEastAsia"/>
          <w:b/>
          <w:color w:val="000000"/>
          <w:sz w:val="24"/>
        </w:rPr>
        <w:sectPr w:rsidR="005516A4" w:rsidRPr="00087F8A" w:rsidSect="001F36EA">
          <w:headerReference w:type="default" r:id="rId7"/>
          <w:footerReference w:type="default" r:id="rId8"/>
          <w:pgSz w:w="11926" w:h="15840"/>
          <w:pgMar w:top="1440" w:right="1440" w:bottom="1440" w:left="1440" w:header="851" w:footer="992" w:gutter="0"/>
          <w:cols w:space="720"/>
          <w:noEndnote/>
        </w:sectPr>
      </w:pPr>
      <w:r w:rsidRPr="00087F8A">
        <w:rPr>
          <w:b/>
          <w:color w:val="000000"/>
          <w:sz w:val="24"/>
        </w:rPr>
        <w:t>报告送出日期：</w:t>
      </w:r>
      <w:r w:rsidR="00CD0F7E" w:rsidRPr="00087F8A">
        <w:rPr>
          <w:rFonts w:eastAsiaTheme="minorEastAsia"/>
          <w:b/>
          <w:color w:val="000000"/>
          <w:sz w:val="24"/>
        </w:rPr>
        <w:t>二〇一六年十月二十五日</w:t>
      </w: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lastRenderedPageBreak/>
        <w:t xml:space="preserve">§1  </w:t>
      </w:r>
      <w:r w:rsidRPr="00405493">
        <w:rPr>
          <w:color w:val="000000"/>
          <w:kern w:val="0"/>
          <w:sz w:val="24"/>
          <w:szCs w:val="24"/>
        </w:rPr>
        <w:t>重要提示</w:t>
      </w:r>
    </w:p>
    <w:p w:rsidR="00A07731" w:rsidRDefault="00E1390B">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A07731" w:rsidRDefault="00E1390B">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2016</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A07731" w:rsidRDefault="00E1390B">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A07731" w:rsidRDefault="00E1390B">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A07731" w:rsidRDefault="00E1390B">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220542" w:rsidRPr="00405493" w:rsidRDefault="008327A3" w:rsidP="009D139A">
      <w:pPr>
        <w:spacing w:before="29" w:line="288" w:lineRule="auto"/>
        <w:ind w:firstLineChars="200" w:firstLine="480"/>
        <w:rPr>
          <w:rFonts w:eastAsiaTheme="minorEastAsia"/>
          <w:color w:val="000000"/>
          <w:sz w:val="24"/>
        </w:rPr>
      </w:pPr>
      <w:r w:rsidRPr="00405493">
        <w:rPr>
          <w:rFonts w:eastAsiaTheme="minorEastAsia"/>
          <w:color w:val="000000"/>
          <w:sz w:val="24"/>
        </w:rPr>
        <w:t>本报告期自</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7</w:t>
      </w:r>
      <w:r w:rsidRPr="00405493">
        <w:rPr>
          <w:rFonts w:eastAsiaTheme="minorEastAsia"/>
          <w:color w:val="000000"/>
          <w:sz w:val="24"/>
        </w:rPr>
        <w:t>月</w:t>
      </w:r>
      <w:r w:rsidRPr="00405493">
        <w:rPr>
          <w:rFonts w:eastAsiaTheme="minorEastAsia"/>
          <w:color w:val="000000"/>
          <w:sz w:val="24"/>
        </w:rPr>
        <w:t>1</w:t>
      </w:r>
      <w:r w:rsidRPr="00405493">
        <w:rPr>
          <w:rFonts w:eastAsiaTheme="minorEastAsia"/>
          <w:color w:val="000000"/>
          <w:sz w:val="24"/>
        </w:rPr>
        <w:t>日起至</w:t>
      </w:r>
      <w:r w:rsidRPr="00405493">
        <w:rPr>
          <w:rFonts w:eastAsiaTheme="minorEastAsia"/>
          <w:color w:val="000000"/>
          <w:sz w:val="24"/>
        </w:rPr>
        <w:t>9</w:t>
      </w:r>
      <w:r w:rsidRPr="00405493">
        <w:rPr>
          <w:rFonts w:eastAsiaTheme="minorEastAsia"/>
          <w:color w:val="000000"/>
          <w:sz w:val="24"/>
        </w:rPr>
        <w:t>月</w:t>
      </w:r>
      <w:r w:rsidRPr="00405493">
        <w:rPr>
          <w:rFonts w:eastAsiaTheme="minorEastAsia"/>
          <w:color w:val="000000"/>
          <w:sz w:val="24"/>
        </w:rPr>
        <w:t>30</w:t>
      </w:r>
      <w:r w:rsidRPr="00405493">
        <w:rPr>
          <w:rFonts w:eastAsiaTheme="minorEastAsia"/>
          <w:color w:val="000000"/>
          <w:sz w:val="24"/>
        </w:rPr>
        <w:t>日止。</w:t>
      </w:r>
    </w:p>
    <w:p w:rsidR="00D24178" w:rsidRPr="00405493" w:rsidRDefault="00D24178" w:rsidP="009D139A">
      <w:pPr>
        <w:spacing w:before="29" w:line="288" w:lineRule="auto"/>
        <w:ind w:firstLineChars="200" w:firstLine="480"/>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§2  </w:t>
      </w:r>
      <w:r w:rsidRPr="00405493">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kern w:val="0"/>
                <w:sz w:val="24"/>
              </w:rPr>
            </w:pPr>
            <w:r w:rsidRPr="00405493">
              <w:rPr>
                <w:kern w:val="0"/>
                <w:sz w:val="24"/>
              </w:rPr>
              <w:t>基金简称</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kern w:val="0"/>
                <w:sz w:val="24"/>
              </w:rPr>
            </w:pPr>
            <w:r w:rsidRPr="00405493">
              <w:rPr>
                <w:rFonts w:eastAsiaTheme="minorEastAsia"/>
                <w:color w:val="000000"/>
                <w:kern w:val="0"/>
                <w:sz w:val="24"/>
              </w:rPr>
              <w:t>交银丰硕收益债券</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kern w:val="0"/>
                <w:sz w:val="24"/>
              </w:rPr>
            </w:pPr>
            <w:r w:rsidRPr="00405493">
              <w:rPr>
                <w:kern w:val="0"/>
                <w:sz w:val="24"/>
              </w:rPr>
              <w:t>基金主代码</w:t>
            </w:r>
          </w:p>
        </w:tc>
        <w:tc>
          <w:tcPr>
            <w:tcW w:w="5845" w:type="dxa"/>
            <w:vAlign w:val="center"/>
          </w:tcPr>
          <w:p w:rsidR="00763A67" w:rsidRPr="00405493" w:rsidRDefault="002400C2" w:rsidP="009D139A">
            <w:pPr>
              <w:adjustRightInd w:val="0"/>
              <w:spacing w:before="29" w:line="288" w:lineRule="auto"/>
              <w:ind w:left="17"/>
              <w:jc w:val="left"/>
              <w:rPr>
                <w:rFonts w:eastAsiaTheme="minorEastAsia"/>
                <w:color w:val="000000"/>
                <w:kern w:val="0"/>
                <w:sz w:val="24"/>
              </w:rPr>
            </w:pPr>
            <w:r w:rsidRPr="00405493">
              <w:rPr>
                <w:rFonts w:eastAsiaTheme="minorEastAsia"/>
                <w:color w:val="000000"/>
                <w:kern w:val="0"/>
                <w:sz w:val="24"/>
              </w:rPr>
              <w:t>519758</w:t>
            </w:r>
          </w:p>
        </w:tc>
      </w:tr>
      <w:tr w:rsidR="00C866C7" w:rsidRPr="00405493" w:rsidTr="00BA1CD5">
        <w:trPr>
          <w:jc w:val="center"/>
        </w:trPr>
        <w:tc>
          <w:tcPr>
            <w:tcW w:w="3023" w:type="dxa"/>
            <w:vAlign w:val="center"/>
          </w:tcPr>
          <w:p w:rsidR="00C866C7" w:rsidRPr="00405493" w:rsidRDefault="00C866C7" w:rsidP="009D139A">
            <w:pPr>
              <w:adjustRightInd w:val="0"/>
              <w:spacing w:before="29" w:line="288" w:lineRule="auto"/>
              <w:ind w:left="17"/>
              <w:jc w:val="left"/>
              <w:rPr>
                <w:kern w:val="0"/>
                <w:sz w:val="24"/>
              </w:rPr>
            </w:pPr>
            <w:r w:rsidRPr="00405493">
              <w:rPr>
                <w:kern w:val="0"/>
                <w:sz w:val="24"/>
              </w:rPr>
              <w:t>交易代码</w:t>
            </w:r>
          </w:p>
        </w:tc>
        <w:tc>
          <w:tcPr>
            <w:tcW w:w="5845" w:type="dxa"/>
            <w:vAlign w:val="center"/>
          </w:tcPr>
          <w:p w:rsidR="00C866C7" w:rsidRPr="00405493" w:rsidRDefault="00D10743" w:rsidP="009D139A">
            <w:pPr>
              <w:adjustRightInd w:val="0"/>
              <w:spacing w:before="29" w:line="288" w:lineRule="auto"/>
              <w:ind w:left="17"/>
              <w:jc w:val="left"/>
              <w:rPr>
                <w:rFonts w:eastAsiaTheme="minorEastAsia"/>
                <w:color w:val="000000"/>
                <w:kern w:val="0"/>
                <w:sz w:val="24"/>
              </w:rPr>
            </w:pPr>
            <w:r w:rsidRPr="00405493">
              <w:rPr>
                <w:rFonts w:eastAsiaTheme="minorEastAsia"/>
                <w:kern w:val="0"/>
                <w:sz w:val="24"/>
              </w:rPr>
              <w:t>519758</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基金运作方式</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契约型</w:t>
            </w:r>
            <w:r w:rsidRPr="00405493">
              <w:rPr>
                <w:rFonts w:eastAsiaTheme="minorEastAsia"/>
                <w:color w:val="000000"/>
                <w:kern w:val="0"/>
                <w:sz w:val="24"/>
              </w:rPr>
              <w:t>,</w:t>
            </w:r>
            <w:r w:rsidRPr="00405493">
              <w:rPr>
                <w:rFonts w:eastAsiaTheme="minorEastAsia"/>
                <w:color w:val="000000"/>
                <w:kern w:val="0"/>
                <w:sz w:val="24"/>
              </w:rPr>
              <w:t>本基金在基金合同生效之日起两年（含两年）的期间内封闭式运作（按照基金合同的约定提前转换基金运作方式的除外），封闭期结束后转为开放式运作。</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基金合同生效日</w:t>
            </w:r>
          </w:p>
        </w:tc>
        <w:tc>
          <w:tcPr>
            <w:tcW w:w="5845" w:type="dxa"/>
            <w:vAlign w:val="center"/>
          </w:tcPr>
          <w:p w:rsidR="00763A67" w:rsidRPr="00405493" w:rsidRDefault="00DF5C3F"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2015</w:t>
            </w:r>
            <w:r w:rsidRPr="00405493">
              <w:rPr>
                <w:rFonts w:eastAsiaTheme="minorEastAsia"/>
                <w:color w:val="000000"/>
                <w:kern w:val="0"/>
                <w:sz w:val="24"/>
              </w:rPr>
              <w:t>年</w:t>
            </w:r>
            <w:r w:rsidRPr="00405493">
              <w:rPr>
                <w:rFonts w:eastAsiaTheme="minorEastAsia"/>
                <w:color w:val="000000"/>
                <w:kern w:val="0"/>
                <w:sz w:val="24"/>
              </w:rPr>
              <w:t>11</w:t>
            </w:r>
            <w:r w:rsidRPr="00405493">
              <w:rPr>
                <w:rFonts w:eastAsiaTheme="minorEastAsia"/>
                <w:color w:val="000000"/>
                <w:kern w:val="0"/>
                <w:sz w:val="24"/>
              </w:rPr>
              <w:t>月</w:t>
            </w:r>
            <w:r w:rsidRPr="00405493">
              <w:rPr>
                <w:rFonts w:eastAsiaTheme="minorEastAsia"/>
                <w:color w:val="000000"/>
                <w:kern w:val="0"/>
                <w:sz w:val="24"/>
              </w:rPr>
              <w:t>9</w:t>
            </w:r>
            <w:r w:rsidRPr="00405493">
              <w:rPr>
                <w:rFonts w:eastAsiaTheme="minorEastAsia"/>
                <w:color w:val="000000"/>
                <w:kern w:val="0"/>
                <w:sz w:val="24"/>
              </w:rPr>
              <w:t>日</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报告期末基金份额总额</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438,630,665.79</w:t>
            </w:r>
            <w:r w:rsidR="00904C53" w:rsidRPr="00405493">
              <w:rPr>
                <w:rFonts w:eastAsiaTheme="minorEastAsia"/>
                <w:color w:val="000000"/>
                <w:kern w:val="0"/>
                <w:sz w:val="24"/>
              </w:rPr>
              <w:t>份</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投资目标</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在有效控制风险的前提下</w:t>
            </w:r>
            <w:r w:rsidRPr="00405493">
              <w:rPr>
                <w:rFonts w:eastAsiaTheme="minorEastAsia"/>
                <w:color w:val="000000"/>
                <w:kern w:val="0"/>
                <w:sz w:val="24"/>
              </w:rPr>
              <w:t>,</w:t>
            </w:r>
            <w:r w:rsidRPr="00405493">
              <w:rPr>
                <w:rFonts w:eastAsiaTheme="minorEastAsia"/>
                <w:color w:val="000000"/>
                <w:kern w:val="0"/>
                <w:sz w:val="24"/>
              </w:rPr>
              <w:t>力求获得高于业绩基准的投资收益。</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投资策略</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w:t>
            </w:r>
            <w:r w:rsidRPr="00405493">
              <w:rPr>
                <w:rFonts w:eastAsiaTheme="minorEastAsia"/>
                <w:color w:val="000000"/>
                <w:kern w:val="0"/>
                <w:sz w:val="24"/>
              </w:rPr>
              <w:lastRenderedPageBreak/>
              <w:t>关系和收益率水平等，自下而上精选投资标的。</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lastRenderedPageBreak/>
              <w:t>业绩比较基准</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两年期银行定期存款税后收益率</w:t>
            </w:r>
            <w:r w:rsidRPr="00405493">
              <w:rPr>
                <w:rFonts w:eastAsiaTheme="minorEastAsia"/>
                <w:color w:val="000000"/>
                <w:kern w:val="0"/>
                <w:sz w:val="24"/>
              </w:rPr>
              <w:t>+1.25%</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风险收益特征</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本基金是一只债券型基金，其风险与预期收益高于货币市场基金，低于混合型基金和股票型基金，属于证券投资基金中中等风险的品种。</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基金管理人</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交银施罗德基金管理有限公司</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基金托管人</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中信银行股份有限公司</w:t>
            </w:r>
          </w:p>
        </w:tc>
      </w:tr>
    </w:tbl>
    <w:p w:rsidR="00763A67"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注：本基金在基金合同生效之日起两年（含两年）的期间内封闭式运作（按照基金合同的约定提前转换基金运作方式的除外）。封闭期内，基金投资者不能申购、赎回本基金基金份额，即</w:t>
      </w:r>
      <w:r w:rsidRPr="00405493">
        <w:rPr>
          <w:rFonts w:eastAsiaTheme="minorEastAsia"/>
          <w:color w:val="000000"/>
          <w:sz w:val="24"/>
        </w:rPr>
        <w:t>C</w:t>
      </w:r>
      <w:r w:rsidRPr="00405493">
        <w:rPr>
          <w:rFonts w:eastAsiaTheme="minorEastAsia"/>
          <w:color w:val="000000"/>
          <w:sz w:val="24"/>
        </w:rPr>
        <w:t>类基金份额。</w:t>
      </w:r>
    </w:p>
    <w:p w:rsidR="00D24178" w:rsidRPr="00405493" w:rsidRDefault="00D24178"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§3  </w:t>
      </w:r>
      <w:r w:rsidRPr="00405493">
        <w:rPr>
          <w:color w:val="000000"/>
          <w:kern w:val="0"/>
          <w:sz w:val="24"/>
          <w:szCs w:val="24"/>
        </w:rPr>
        <w:t>主要财务指标和基金净值表现</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3.1 </w:t>
      </w:r>
      <w:r w:rsidRPr="00405493">
        <w:rPr>
          <w:b/>
          <w:color w:val="000000"/>
          <w:kern w:val="0"/>
          <w:sz w:val="24"/>
        </w:rPr>
        <w:t>主要财务指标</w:t>
      </w:r>
    </w:p>
    <w:p w:rsidR="00220542" w:rsidRPr="00405493" w:rsidRDefault="00220542" w:rsidP="009D139A">
      <w:pPr>
        <w:autoSpaceDE w:val="0"/>
        <w:autoSpaceDN w:val="0"/>
        <w:adjustRightInd w:val="0"/>
        <w:spacing w:before="29" w:line="288" w:lineRule="auto"/>
        <w:ind w:left="15"/>
        <w:jc w:val="right"/>
        <w:rPr>
          <w:color w:val="000000"/>
          <w:kern w:val="0"/>
          <w:sz w:val="24"/>
        </w:rPr>
      </w:pPr>
      <w:r w:rsidRPr="00405493">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5859"/>
      </w:tblGrid>
      <w:tr w:rsidR="00A354C9" w:rsidRPr="00405493" w:rsidTr="00A354C9">
        <w:trPr>
          <w:jc w:val="center"/>
        </w:trPr>
        <w:tc>
          <w:tcPr>
            <w:tcW w:w="8868" w:type="dxa"/>
            <w:vAlign w:val="center"/>
          </w:tcPr>
          <w:p w:rsidR="00E80567" w:rsidRPr="00405493" w:rsidRDefault="00DB3895" w:rsidP="009D139A">
            <w:pPr>
              <w:adjustRightInd w:val="0"/>
              <w:spacing w:before="29" w:line="288" w:lineRule="auto"/>
              <w:ind w:left="17"/>
              <w:jc w:val="center"/>
              <w:rPr>
                <w:rFonts w:eastAsiaTheme="minorEastAsia"/>
                <w:kern w:val="0"/>
                <w:sz w:val="24"/>
              </w:rPr>
            </w:pPr>
            <w:r w:rsidRPr="00405493">
              <w:rPr>
                <w:kern w:val="0"/>
                <w:sz w:val="24"/>
              </w:rPr>
              <w:t>主要财务指标</w:t>
            </w:r>
          </w:p>
        </w:tc>
        <w:tc>
          <w:tcPr>
            <w:tcW w:w="17736" w:type="dxa"/>
            <w:vAlign w:val="center"/>
          </w:tcPr>
          <w:p w:rsidR="00E80567" w:rsidRPr="00405493" w:rsidRDefault="00DB3895" w:rsidP="009D139A">
            <w:pPr>
              <w:adjustRightInd w:val="0"/>
              <w:spacing w:before="29" w:line="288" w:lineRule="auto"/>
              <w:ind w:left="17"/>
              <w:jc w:val="center"/>
              <w:rPr>
                <w:rFonts w:eastAsiaTheme="minorEastAsia"/>
                <w:color w:val="000000"/>
                <w:sz w:val="24"/>
              </w:rPr>
            </w:pPr>
            <w:r w:rsidRPr="00405493">
              <w:rPr>
                <w:color w:val="000000"/>
                <w:sz w:val="24"/>
              </w:rPr>
              <w:t>报告期</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7</w:t>
            </w:r>
            <w:r w:rsidRPr="00405493">
              <w:rPr>
                <w:rFonts w:eastAsiaTheme="minorEastAsia"/>
                <w:color w:val="000000"/>
                <w:sz w:val="24"/>
              </w:rPr>
              <w:t>月</w:t>
            </w:r>
            <w:r w:rsidRPr="00405493">
              <w:rPr>
                <w:rFonts w:eastAsiaTheme="minorEastAsia"/>
                <w:color w:val="000000"/>
                <w:sz w:val="24"/>
              </w:rPr>
              <w:t>1</w:t>
            </w:r>
            <w:r w:rsidRPr="00405493">
              <w:rPr>
                <w:rFonts w:eastAsiaTheme="minorEastAsia"/>
                <w:color w:val="000000"/>
                <w:sz w:val="24"/>
              </w:rPr>
              <w:t>日</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9</w:t>
            </w:r>
            <w:r w:rsidRPr="00405493">
              <w:rPr>
                <w:rFonts w:eastAsiaTheme="minorEastAsia"/>
                <w:color w:val="000000"/>
                <w:sz w:val="24"/>
              </w:rPr>
              <w:t>月</w:t>
            </w:r>
            <w:r w:rsidRPr="00405493">
              <w:rPr>
                <w:rFonts w:eastAsiaTheme="minorEastAsia"/>
                <w:color w:val="000000"/>
                <w:sz w:val="24"/>
              </w:rPr>
              <w:t>30</w:t>
            </w:r>
            <w:r w:rsidRPr="00405493">
              <w:rPr>
                <w:rFonts w:eastAsiaTheme="minorEastAsia"/>
                <w:color w:val="000000"/>
                <w:sz w:val="24"/>
              </w:rPr>
              <w:t>日</w:t>
            </w:r>
            <w:r w:rsidRPr="00405493">
              <w:rPr>
                <w:rFonts w:eastAsiaTheme="minorEastAsia"/>
                <w:color w:val="000000"/>
                <w:sz w:val="24"/>
              </w:rPr>
              <w:t>)</w:t>
            </w:r>
          </w:p>
        </w:tc>
      </w:tr>
      <w:tr w:rsidR="00A354C9" w:rsidRPr="00405493" w:rsidTr="00A354C9">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1</w:t>
            </w:r>
            <w:r w:rsidRPr="00785CDF">
              <w:rPr>
                <w:color w:val="000000"/>
                <w:kern w:val="0"/>
                <w:sz w:val="24"/>
              </w:rPr>
              <w:t>．本期已实现收益</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5,804,174.27</w:t>
            </w:r>
          </w:p>
        </w:tc>
      </w:tr>
      <w:tr w:rsidR="00A354C9" w:rsidRPr="00405493" w:rsidTr="00A354C9">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2</w:t>
            </w:r>
            <w:r w:rsidRPr="00785CDF">
              <w:rPr>
                <w:color w:val="000000"/>
                <w:kern w:val="0"/>
                <w:sz w:val="24"/>
              </w:rPr>
              <w:t>．本期利润</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11,325,747.28</w:t>
            </w:r>
          </w:p>
        </w:tc>
      </w:tr>
      <w:tr w:rsidR="00A354C9" w:rsidRPr="00405493" w:rsidTr="00A354C9">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3</w:t>
            </w:r>
            <w:r w:rsidRPr="00785CDF">
              <w:rPr>
                <w:color w:val="000000"/>
                <w:kern w:val="0"/>
                <w:sz w:val="24"/>
              </w:rPr>
              <w:t>．加权平均基金份额本期利润</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0.0258</w:t>
            </w:r>
          </w:p>
        </w:tc>
      </w:tr>
      <w:tr w:rsidR="00A354C9" w:rsidRPr="00405493" w:rsidTr="00A354C9">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4</w:t>
            </w:r>
            <w:r w:rsidRPr="00785CDF">
              <w:rPr>
                <w:color w:val="000000"/>
                <w:kern w:val="0"/>
                <w:sz w:val="24"/>
              </w:rPr>
              <w:t>．期末基金资产净值</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456,209,803.78</w:t>
            </w:r>
          </w:p>
        </w:tc>
      </w:tr>
      <w:tr w:rsidR="00A354C9" w:rsidRPr="00405493" w:rsidTr="00A354C9">
        <w:trPr>
          <w:trHeight w:val="158"/>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5</w:t>
            </w:r>
            <w:r w:rsidRPr="00785CDF">
              <w:rPr>
                <w:color w:val="000000"/>
                <w:kern w:val="0"/>
                <w:sz w:val="24"/>
              </w:rPr>
              <w:t>．期末基金份额净值</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1.040</w:t>
            </w:r>
          </w:p>
        </w:tc>
      </w:tr>
    </w:tbl>
    <w:p w:rsidR="00A07731" w:rsidRDefault="00E1390B">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 xml:space="preserve">    2</w:t>
      </w:r>
      <w:r w:rsidRPr="00405493">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r w:rsidRPr="00405493">
        <w:rPr>
          <w:rFonts w:eastAsiaTheme="minorEastAsia"/>
          <w:color w:val="000000"/>
          <w:sz w:val="24"/>
        </w:rPr>
        <w:t xml:space="preserve">   </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9B3AC4"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3.2 </w:t>
      </w:r>
      <w:r w:rsidR="00220542" w:rsidRPr="00405493">
        <w:rPr>
          <w:b/>
          <w:color w:val="000000"/>
          <w:kern w:val="0"/>
          <w:sz w:val="24"/>
        </w:rPr>
        <w:t>基金净值表现</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405493">
          <w:rPr>
            <w:rFonts w:eastAsiaTheme="minorEastAsia"/>
            <w:b/>
            <w:color w:val="000000"/>
            <w:kern w:val="0"/>
            <w:sz w:val="24"/>
          </w:rPr>
          <w:t>3.2.1</w:t>
        </w:r>
        <w:r w:rsidR="009B3AC4" w:rsidRPr="00405493">
          <w:rPr>
            <w:rFonts w:eastAsiaTheme="minorEastAsia"/>
            <w:b/>
            <w:color w:val="000000"/>
            <w:kern w:val="0"/>
            <w:sz w:val="24"/>
          </w:rPr>
          <w:t xml:space="preserve"> </w:t>
        </w:r>
      </w:smartTag>
      <w:r w:rsidRPr="00405493">
        <w:rPr>
          <w:b/>
          <w:color w:val="000000"/>
          <w:kern w:val="0"/>
          <w:sz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448"/>
        <w:gridCol w:w="1134"/>
        <w:gridCol w:w="1206"/>
        <w:gridCol w:w="1227"/>
        <w:gridCol w:w="1234"/>
        <w:gridCol w:w="1246"/>
        <w:gridCol w:w="1373"/>
      </w:tblGrid>
      <w:tr w:rsidR="00763A67" w:rsidRPr="00405493" w:rsidTr="00B67AA2">
        <w:trPr>
          <w:jc w:val="center"/>
        </w:trPr>
        <w:tc>
          <w:tcPr>
            <w:tcW w:w="1469"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阶段</w:t>
            </w:r>
          </w:p>
        </w:tc>
        <w:tc>
          <w:tcPr>
            <w:tcW w:w="1150"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净值增长率</w:t>
            </w:r>
            <w:r w:rsidRPr="00405493">
              <w:rPr>
                <w:rFonts w:hAnsi="宋体"/>
                <w:color w:val="000000"/>
                <w:sz w:val="24"/>
              </w:rPr>
              <w:t>①</w:t>
            </w:r>
          </w:p>
        </w:tc>
        <w:tc>
          <w:tcPr>
            <w:tcW w:w="122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净值增长率标准差</w:t>
            </w:r>
            <w:r w:rsidRPr="00405493">
              <w:rPr>
                <w:rFonts w:hAnsi="宋体"/>
                <w:color w:val="000000"/>
                <w:sz w:val="24"/>
              </w:rPr>
              <w:t>②</w:t>
            </w:r>
          </w:p>
        </w:tc>
        <w:tc>
          <w:tcPr>
            <w:tcW w:w="1244"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业绩比较基准收益率</w:t>
            </w:r>
            <w:r w:rsidRPr="00405493">
              <w:rPr>
                <w:rFonts w:hAnsi="宋体"/>
                <w:color w:val="000000"/>
                <w:sz w:val="24"/>
              </w:rPr>
              <w:t>③</w:t>
            </w:r>
          </w:p>
        </w:tc>
        <w:tc>
          <w:tcPr>
            <w:tcW w:w="1251"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业绩比较基准收益率标准差</w:t>
            </w:r>
            <w:r w:rsidRPr="00405493">
              <w:rPr>
                <w:rFonts w:hAnsi="宋体"/>
                <w:color w:val="000000"/>
                <w:sz w:val="24"/>
              </w:rPr>
              <w:t>④</w:t>
            </w:r>
          </w:p>
        </w:tc>
        <w:tc>
          <w:tcPr>
            <w:tcW w:w="126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rFonts w:hAnsi="宋体"/>
                <w:color w:val="000000"/>
                <w:sz w:val="24"/>
              </w:rPr>
              <w:t>①</w:t>
            </w:r>
            <w:r w:rsidRPr="00405493">
              <w:rPr>
                <w:rFonts w:eastAsiaTheme="minorEastAsia"/>
                <w:color w:val="000000"/>
                <w:sz w:val="24"/>
              </w:rPr>
              <w:t>-</w:t>
            </w:r>
            <w:r w:rsidRPr="00405493">
              <w:rPr>
                <w:rFonts w:hAnsi="宋体"/>
                <w:color w:val="000000"/>
                <w:sz w:val="24"/>
              </w:rPr>
              <w:t>③</w:t>
            </w:r>
          </w:p>
        </w:tc>
        <w:tc>
          <w:tcPr>
            <w:tcW w:w="139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rFonts w:hAnsi="宋体"/>
                <w:color w:val="000000"/>
                <w:sz w:val="24"/>
              </w:rPr>
              <w:t>②</w:t>
            </w:r>
            <w:r w:rsidRPr="00405493">
              <w:rPr>
                <w:rFonts w:eastAsiaTheme="minorEastAsia"/>
                <w:color w:val="000000"/>
                <w:sz w:val="24"/>
              </w:rPr>
              <w:t>-</w:t>
            </w:r>
            <w:r w:rsidRPr="00405493">
              <w:rPr>
                <w:rFonts w:hAnsi="宋体"/>
                <w:color w:val="000000"/>
                <w:sz w:val="24"/>
              </w:rPr>
              <w:t>④</w:t>
            </w:r>
          </w:p>
        </w:tc>
      </w:tr>
      <w:tr w:rsidR="00A07731">
        <w:trPr>
          <w:jc w:val="center"/>
        </w:trPr>
        <w:tc>
          <w:tcPr>
            <w:tcW w:w="1448" w:type="dxa"/>
            <w:vAlign w:val="center"/>
          </w:tcPr>
          <w:p w:rsidR="00A07731" w:rsidRDefault="00E1390B">
            <w:pPr>
              <w:jc w:val="left"/>
            </w:pPr>
            <w:r>
              <w:rPr>
                <w:rFonts w:eastAsiaTheme="minorEastAsia"/>
                <w:color w:val="000000"/>
                <w:sz w:val="24"/>
              </w:rPr>
              <w:lastRenderedPageBreak/>
              <w:t>过去三个月</w:t>
            </w:r>
          </w:p>
        </w:tc>
        <w:tc>
          <w:tcPr>
            <w:tcW w:w="1134" w:type="dxa"/>
            <w:vAlign w:val="center"/>
          </w:tcPr>
          <w:p w:rsidR="00A07731" w:rsidRDefault="00E1390B">
            <w:pPr>
              <w:jc w:val="center"/>
            </w:pPr>
            <w:r>
              <w:rPr>
                <w:rFonts w:eastAsiaTheme="minorEastAsia"/>
                <w:color w:val="000000"/>
                <w:sz w:val="24"/>
              </w:rPr>
              <w:t>2.56%</w:t>
            </w:r>
          </w:p>
        </w:tc>
        <w:tc>
          <w:tcPr>
            <w:tcW w:w="1206" w:type="dxa"/>
            <w:vAlign w:val="center"/>
          </w:tcPr>
          <w:p w:rsidR="00A07731" w:rsidRDefault="00E1390B">
            <w:pPr>
              <w:jc w:val="center"/>
            </w:pPr>
            <w:r>
              <w:rPr>
                <w:rFonts w:eastAsiaTheme="minorEastAsia"/>
                <w:color w:val="000000"/>
                <w:sz w:val="24"/>
              </w:rPr>
              <w:t>0.05%</w:t>
            </w:r>
          </w:p>
        </w:tc>
        <w:tc>
          <w:tcPr>
            <w:tcW w:w="1227" w:type="dxa"/>
            <w:vAlign w:val="center"/>
          </w:tcPr>
          <w:p w:rsidR="00A07731" w:rsidRDefault="00E1390B">
            <w:pPr>
              <w:jc w:val="center"/>
            </w:pPr>
            <w:r>
              <w:rPr>
                <w:rFonts w:eastAsiaTheme="minorEastAsia"/>
                <w:color w:val="000000"/>
                <w:sz w:val="24"/>
              </w:rPr>
              <w:t>0.86%</w:t>
            </w:r>
          </w:p>
        </w:tc>
        <w:tc>
          <w:tcPr>
            <w:tcW w:w="1234" w:type="dxa"/>
            <w:vAlign w:val="center"/>
          </w:tcPr>
          <w:p w:rsidR="00A07731" w:rsidRDefault="00E1390B">
            <w:pPr>
              <w:jc w:val="center"/>
            </w:pPr>
            <w:r>
              <w:rPr>
                <w:rFonts w:eastAsiaTheme="minorEastAsia"/>
                <w:color w:val="000000"/>
                <w:sz w:val="24"/>
              </w:rPr>
              <w:t>0.01%</w:t>
            </w:r>
          </w:p>
        </w:tc>
        <w:tc>
          <w:tcPr>
            <w:tcW w:w="1246" w:type="dxa"/>
            <w:vAlign w:val="center"/>
          </w:tcPr>
          <w:p w:rsidR="00A07731" w:rsidRDefault="00E1390B">
            <w:pPr>
              <w:jc w:val="center"/>
            </w:pPr>
            <w:r>
              <w:rPr>
                <w:rFonts w:eastAsiaTheme="minorEastAsia"/>
                <w:color w:val="000000"/>
                <w:sz w:val="24"/>
              </w:rPr>
              <w:t>1.70%</w:t>
            </w:r>
          </w:p>
        </w:tc>
        <w:tc>
          <w:tcPr>
            <w:tcW w:w="1373" w:type="dxa"/>
            <w:vAlign w:val="center"/>
          </w:tcPr>
          <w:p w:rsidR="00A07731" w:rsidRDefault="00E1390B">
            <w:pPr>
              <w:jc w:val="center"/>
            </w:pPr>
            <w:r>
              <w:rPr>
                <w:rFonts w:eastAsiaTheme="minorEastAsia"/>
                <w:color w:val="000000"/>
                <w:sz w:val="24"/>
              </w:rPr>
              <w:t>0.04%</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spacing w:before="29" w:line="288" w:lineRule="auto"/>
        <w:rPr>
          <w:rFonts w:eastAsiaTheme="minorEastAsia"/>
          <w:b/>
          <w:color w:val="000000"/>
          <w:kern w:val="0"/>
          <w:sz w:val="24"/>
        </w:rPr>
      </w:pPr>
      <w:r w:rsidRPr="00405493">
        <w:rPr>
          <w:rFonts w:eastAsiaTheme="minorEastAsia"/>
          <w:b/>
          <w:color w:val="000000"/>
          <w:kern w:val="0"/>
          <w:sz w:val="24"/>
        </w:rPr>
        <w:t>3.2.</w:t>
      </w:r>
      <w:r w:rsidR="00277A9B" w:rsidRPr="00405493">
        <w:rPr>
          <w:rFonts w:eastAsiaTheme="minorEastAsia"/>
          <w:b/>
          <w:color w:val="000000"/>
          <w:kern w:val="0"/>
          <w:sz w:val="24"/>
        </w:rPr>
        <w:t xml:space="preserve">2  </w:t>
      </w:r>
      <w:r w:rsidR="00F925D2" w:rsidRPr="00007F38">
        <w:rPr>
          <w:rFonts w:eastAsiaTheme="minorEastAsia" w:hint="eastAsia"/>
          <w:b/>
          <w:color w:val="000000"/>
          <w:kern w:val="0"/>
          <w:sz w:val="24"/>
        </w:rPr>
        <w:t>自基金合同生效以来</w:t>
      </w:r>
      <w:r w:rsidR="0064612A" w:rsidRPr="00405493">
        <w:rPr>
          <w:b/>
          <w:bCs/>
          <w:color w:val="000000"/>
          <w:sz w:val="24"/>
        </w:rPr>
        <w:t>基金份额累计净值增长率变动及其与同期业绩比较基准收益率变动的比较</w:t>
      </w:r>
    </w:p>
    <w:p w:rsidR="00A45006" w:rsidRPr="00405493" w:rsidRDefault="00A45006" w:rsidP="009D139A">
      <w:pPr>
        <w:spacing w:before="29" w:line="288" w:lineRule="auto"/>
        <w:jc w:val="center"/>
        <w:rPr>
          <w:rFonts w:eastAsiaTheme="minorEastAsia"/>
          <w:color w:val="000000"/>
          <w:sz w:val="24"/>
        </w:rPr>
      </w:pPr>
      <w:r w:rsidRPr="00405493">
        <w:rPr>
          <w:rFonts w:eastAsiaTheme="minorEastAsia"/>
          <w:color w:val="000000"/>
          <w:sz w:val="24"/>
        </w:rPr>
        <w:t>交银施罗德丰硕收益债券型证券投资基金</w:t>
      </w:r>
    </w:p>
    <w:p w:rsidR="00220542" w:rsidRPr="00405493" w:rsidRDefault="00220542" w:rsidP="009D139A">
      <w:pPr>
        <w:pStyle w:val="a5"/>
        <w:snapToGrid w:val="0"/>
        <w:spacing w:before="29" w:line="288" w:lineRule="auto"/>
        <w:jc w:val="center"/>
        <w:rPr>
          <w:rFonts w:ascii="Times New Roman" w:hAnsi="Times New Roman"/>
          <w:color w:val="000000"/>
          <w:sz w:val="24"/>
          <w:szCs w:val="24"/>
        </w:rPr>
      </w:pPr>
      <w:r w:rsidRPr="00405493">
        <w:rPr>
          <w:rFonts w:ascii="Times New Roman" w:hAnsi="Times New Roman"/>
          <w:color w:val="000000"/>
          <w:sz w:val="24"/>
          <w:szCs w:val="24"/>
        </w:rPr>
        <w:t>累计</w:t>
      </w:r>
      <w:r w:rsidR="0064612A" w:rsidRPr="00405493">
        <w:rPr>
          <w:rFonts w:ascii="Times New Roman" w:hAnsi="Times New Roman"/>
          <w:color w:val="000000"/>
          <w:sz w:val="24"/>
          <w:szCs w:val="24"/>
        </w:rPr>
        <w:t>份额</w:t>
      </w:r>
      <w:r w:rsidRPr="00405493">
        <w:rPr>
          <w:rFonts w:ascii="Times New Roman" w:hAnsi="Times New Roman"/>
          <w:color w:val="000000"/>
          <w:sz w:val="24"/>
          <w:szCs w:val="24"/>
        </w:rPr>
        <w:t>净值增长率与业绩比较基准收益率</w:t>
      </w:r>
      <w:r w:rsidR="0064612A" w:rsidRPr="00405493">
        <w:rPr>
          <w:rFonts w:ascii="Times New Roman" w:hAnsi="Times New Roman"/>
          <w:color w:val="000000"/>
          <w:sz w:val="24"/>
          <w:szCs w:val="24"/>
        </w:rPr>
        <w:t>的</w:t>
      </w:r>
      <w:r w:rsidRPr="00405493">
        <w:rPr>
          <w:rFonts w:ascii="Times New Roman" w:hAnsi="Times New Roman"/>
          <w:color w:val="000000"/>
          <w:sz w:val="24"/>
          <w:szCs w:val="24"/>
        </w:rPr>
        <w:t>历史走势对比图</w:t>
      </w:r>
    </w:p>
    <w:p w:rsidR="0008426A" w:rsidRPr="00405493" w:rsidRDefault="00A05CC8" w:rsidP="009D139A">
      <w:pPr>
        <w:pStyle w:val="a5"/>
        <w:snapToGrid w:val="0"/>
        <w:spacing w:before="29" w:line="288" w:lineRule="auto"/>
        <w:ind w:firstLine="480"/>
        <w:jc w:val="center"/>
        <w:rPr>
          <w:rFonts w:ascii="Times New Roman" w:eastAsiaTheme="minorEastAsia" w:hAnsi="Times New Roman"/>
          <w:sz w:val="24"/>
          <w:szCs w:val="24"/>
        </w:rPr>
      </w:pPr>
      <w:r w:rsidRPr="00405493">
        <w:rPr>
          <w:rFonts w:ascii="Times New Roman" w:hAnsi="Times New Roman"/>
          <w:color w:val="000000"/>
          <w:sz w:val="24"/>
          <w:szCs w:val="24"/>
        </w:rPr>
        <w:t>（</w:t>
      </w:r>
      <w:r w:rsidR="00657453" w:rsidRPr="00405493">
        <w:rPr>
          <w:rFonts w:ascii="Times New Roman" w:eastAsiaTheme="minorEastAsia" w:hAnsi="Times New Roman"/>
          <w:sz w:val="24"/>
          <w:szCs w:val="24"/>
        </w:rPr>
        <w:t>2015</w:t>
      </w:r>
      <w:r w:rsidR="00657453" w:rsidRPr="00405493">
        <w:rPr>
          <w:rFonts w:ascii="Times New Roman" w:eastAsiaTheme="minorEastAsia" w:hAnsi="Times New Roman"/>
          <w:sz w:val="24"/>
          <w:szCs w:val="24"/>
        </w:rPr>
        <w:t>年</w:t>
      </w:r>
      <w:r w:rsidR="00657453" w:rsidRPr="00405493">
        <w:rPr>
          <w:rFonts w:ascii="Times New Roman" w:eastAsiaTheme="minorEastAsia" w:hAnsi="Times New Roman"/>
          <w:sz w:val="24"/>
          <w:szCs w:val="24"/>
        </w:rPr>
        <w:t>11</w:t>
      </w:r>
      <w:r w:rsidR="00657453" w:rsidRPr="00405493">
        <w:rPr>
          <w:rFonts w:ascii="Times New Roman" w:eastAsiaTheme="minorEastAsia" w:hAnsi="Times New Roman"/>
          <w:sz w:val="24"/>
          <w:szCs w:val="24"/>
        </w:rPr>
        <w:t>月</w:t>
      </w:r>
      <w:r w:rsidR="00657453" w:rsidRPr="00405493">
        <w:rPr>
          <w:rFonts w:ascii="Times New Roman" w:eastAsiaTheme="minorEastAsia" w:hAnsi="Times New Roman"/>
          <w:sz w:val="24"/>
          <w:szCs w:val="24"/>
        </w:rPr>
        <w:t>9</w:t>
      </w:r>
      <w:r w:rsidR="00657453" w:rsidRPr="00405493">
        <w:rPr>
          <w:rFonts w:ascii="Times New Roman" w:eastAsiaTheme="minorEastAsia" w:hAnsi="Times New Roman"/>
          <w:sz w:val="24"/>
          <w:szCs w:val="24"/>
        </w:rPr>
        <w:t>日</w:t>
      </w:r>
      <w:r w:rsidR="0008426A" w:rsidRPr="00405493">
        <w:rPr>
          <w:rFonts w:ascii="Times New Roman" w:hAnsi="Times New Roman"/>
          <w:sz w:val="24"/>
          <w:szCs w:val="24"/>
        </w:rPr>
        <w:t>至</w:t>
      </w:r>
      <w:r w:rsidR="0008426A" w:rsidRPr="00405493">
        <w:rPr>
          <w:rFonts w:ascii="Times New Roman" w:eastAsiaTheme="minorEastAsia" w:hAnsi="Times New Roman"/>
          <w:sz w:val="24"/>
          <w:szCs w:val="24"/>
        </w:rPr>
        <w:t>2016</w:t>
      </w:r>
      <w:r w:rsidR="0008426A" w:rsidRPr="00405493">
        <w:rPr>
          <w:rFonts w:ascii="Times New Roman" w:eastAsiaTheme="minorEastAsia" w:hAnsi="Times New Roman"/>
          <w:sz w:val="24"/>
          <w:szCs w:val="24"/>
        </w:rPr>
        <w:t>年</w:t>
      </w:r>
      <w:r w:rsidR="0008426A" w:rsidRPr="00405493">
        <w:rPr>
          <w:rFonts w:ascii="Times New Roman" w:eastAsiaTheme="minorEastAsia" w:hAnsi="Times New Roman"/>
          <w:sz w:val="24"/>
          <w:szCs w:val="24"/>
        </w:rPr>
        <w:t>9</w:t>
      </w:r>
      <w:r w:rsidR="0008426A" w:rsidRPr="00405493">
        <w:rPr>
          <w:rFonts w:ascii="Times New Roman" w:eastAsiaTheme="minorEastAsia" w:hAnsi="Times New Roman"/>
          <w:sz w:val="24"/>
          <w:szCs w:val="24"/>
        </w:rPr>
        <w:t>月</w:t>
      </w:r>
      <w:r w:rsidR="0008426A" w:rsidRPr="00405493">
        <w:rPr>
          <w:rFonts w:ascii="Times New Roman" w:eastAsiaTheme="minorEastAsia" w:hAnsi="Times New Roman"/>
          <w:sz w:val="24"/>
          <w:szCs w:val="24"/>
        </w:rPr>
        <w:t>30</w:t>
      </w:r>
      <w:r w:rsidR="0008426A" w:rsidRPr="00405493">
        <w:rPr>
          <w:rFonts w:ascii="Times New Roman" w:eastAsiaTheme="minorEastAsia" w:hAnsi="Times New Roman"/>
          <w:sz w:val="24"/>
          <w:szCs w:val="24"/>
        </w:rPr>
        <w:t>日</w:t>
      </w:r>
      <w:r w:rsidRPr="00405493">
        <w:rPr>
          <w:rFonts w:ascii="Times New Roman" w:hAnsi="Times New Roman"/>
          <w:color w:val="000000"/>
          <w:sz w:val="24"/>
          <w:szCs w:val="24"/>
        </w:rPr>
        <w:t>）</w:t>
      </w:r>
    </w:p>
    <w:p w:rsidR="00A45006" w:rsidRPr="00405493" w:rsidRDefault="001F49E6" w:rsidP="009D139A">
      <w:pPr>
        <w:tabs>
          <w:tab w:val="left" w:pos="1800"/>
        </w:tabs>
        <w:spacing w:before="29" w:line="288" w:lineRule="auto"/>
        <w:jc w:val="center"/>
        <w:rPr>
          <w:rFonts w:eastAsiaTheme="minorEastAsia"/>
          <w:color w:val="000000"/>
          <w:sz w:val="24"/>
        </w:rPr>
      </w:pPr>
      <w:r w:rsidRPr="00405493">
        <w:rPr>
          <w:rFonts w:eastAsiaTheme="minorEastAsia"/>
          <w:noProof/>
          <w:color w:val="000000"/>
          <w:sz w:val="24"/>
        </w:rPr>
        <w:drawing>
          <wp:inline distT="0" distB="0" distL="0" distR="0">
            <wp:extent cx="5731510" cy="3356610"/>
            <wp:effectExtent l="19050" t="0" r="2540" b="0"/>
            <wp:docPr id="2" name="图片 1"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cstate="print"/>
                    <a:stretch>
                      <a:fillRect/>
                    </a:stretch>
                  </pic:blipFill>
                  <pic:spPr>
                    <a:xfrm>
                      <a:off x="0" y="0"/>
                      <a:ext cx="5731510" cy="3356610"/>
                    </a:xfrm>
                    <a:prstGeom prst="rect">
                      <a:avLst/>
                    </a:prstGeom>
                  </pic:spPr>
                </pic:pic>
              </a:graphicData>
            </a:graphic>
          </wp:inline>
        </w:drawing>
      </w:r>
    </w:p>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注：本基金基金合同生效日为</w:t>
      </w:r>
      <w:r w:rsidRPr="00405493">
        <w:rPr>
          <w:rFonts w:eastAsiaTheme="minorEastAsia"/>
          <w:color w:val="000000"/>
          <w:sz w:val="24"/>
        </w:rPr>
        <w:t>2015</w:t>
      </w:r>
      <w:r w:rsidRPr="00405493">
        <w:rPr>
          <w:rFonts w:eastAsiaTheme="minorEastAsia"/>
          <w:color w:val="000000"/>
          <w:sz w:val="24"/>
        </w:rPr>
        <w:t>年</w:t>
      </w:r>
      <w:r w:rsidRPr="00405493">
        <w:rPr>
          <w:rFonts w:eastAsiaTheme="minorEastAsia"/>
          <w:color w:val="000000"/>
          <w:sz w:val="24"/>
        </w:rPr>
        <w:t>11</w:t>
      </w:r>
      <w:r w:rsidRPr="00405493">
        <w:rPr>
          <w:rFonts w:eastAsiaTheme="minorEastAsia"/>
          <w:color w:val="000000"/>
          <w:sz w:val="24"/>
        </w:rPr>
        <w:t>月</w:t>
      </w:r>
      <w:r w:rsidRPr="00405493">
        <w:rPr>
          <w:rFonts w:eastAsiaTheme="minorEastAsia"/>
          <w:color w:val="000000"/>
          <w:sz w:val="24"/>
        </w:rPr>
        <w:t>9</w:t>
      </w:r>
      <w:r w:rsidRPr="00405493">
        <w:rPr>
          <w:rFonts w:eastAsiaTheme="minorEastAsia"/>
          <w:color w:val="000000"/>
          <w:sz w:val="24"/>
        </w:rPr>
        <w:t>日，基金合同生效日至报告期期末，本基金运作时间未满一年。本基金建仓期为自基金合同生效日起的</w:t>
      </w:r>
      <w:r w:rsidRPr="00405493">
        <w:rPr>
          <w:rFonts w:eastAsiaTheme="minorEastAsia"/>
          <w:color w:val="000000"/>
          <w:sz w:val="24"/>
        </w:rPr>
        <w:t>6</w:t>
      </w:r>
      <w:r w:rsidRPr="00405493">
        <w:rPr>
          <w:rFonts w:eastAsiaTheme="minorEastAsia"/>
          <w:color w:val="000000"/>
          <w:sz w:val="24"/>
        </w:rPr>
        <w:t>个月。截至建仓期结束，本基金各项资产配置比例符合基金合同及招募说明书有关投资比例的约定。</w:t>
      </w:r>
    </w:p>
    <w:p w:rsidR="00A45006" w:rsidRPr="00405493" w:rsidRDefault="00A45006" w:rsidP="009D139A">
      <w:pPr>
        <w:tabs>
          <w:tab w:val="left" w:pos="1800"/>
        </w:tabs>
        <w:spacing w:before="29" w:line="288" w:lineRule="auto"/>
        <w:jc w:val="left"/>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§4  </w:t>
      </w:r>
      <w:r w:rsidRPr="00405493">
        <w:rPr>
          <w:color w:val="000000"/>
          <w:kern w:val="0"/>
          <w:sz w:val="24"/>
          <w:szCs w:val="24"/>
        </w:rPr>
        <w:t>管理人报告</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4.1</w:t>
      </w:r>
      <w:r w:rsidRPr="00405493">
        <w:rPr>
          <w:b/>
          <w:color w:val="000000"/>
          <w:kern w:val="0"/>
          <w:sz w:val="24"/>
        </w:rPr>
        <w:t xml:space="preserve"> </w:t>
      </w:r>
      <w:r w:rsidRPr="00405493">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0A0" w:firstRow="1" w:lastRow="0" w:firstColumn="1" w:lastColumn="0" w:noHBand="0" w:noVBand="0"/>
      </w:tblPr>
      <w:tblGrid>
        <w:gridCol w:w="846"/>
        <w:gridCol w:w="845"/>
        <w:gridCol w:w="1549"/>
        <w:gridCol w:w="1548"/>
        <w:gridCol w:w="1407"/>
        <w:gridCol w:w="2673"/>
      </w:tblGrid>
      <w:tr w:rsidR="00763A67" w:rsidRPr="00405493" w:rsidTr="008C2902">
        <w:trPr>
          <w:trHeight w:val="292"/>
          <w:jc w:val="center"/>
        </w:trPr>
        <w:tc>
          <w:tcPr>
            <w:tcW w:w="851"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姓名</w:t>
            </w:r>
          </w:p>
        </w:tc>
        <w:tc>
          <w:tcPr>
            <w:tcW w:w="850"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职务</w:t>
            </w:r>
          </w:p>
        </w:tc>
        <w:tc>
          <w:tcPr>
            <w:tcW w:w="3119" w:type="dxa"/>
            <w:gridSpan w:val="2"/>
            <w:vAlign w:val="center"/>
          </w:tcPr>
          <w:p w:rsidR="00763A67" w:rsidRPr="00405493" w:rsidRDefault="00763A67" w:rsidP="009D139A">
            <w:pPr>
              <w:autoSpaceDE w:val="0"/>
              <w:autoSpaceDN w:val="0"/>
              <w:adjustRightInd w:val="0"/>
              <w:spacing w:before="29" w:line="288" w:lineRule="auto"/>
              <w:ind w:left="17"/>
              <w:jc w:val="center"/>
              <w:rPr>
                <w:color w:val="000000"/>
                <w:kern w:val="0"/>
                <w:sz w:val="24"/>
              </w:rPr>
            </w:pPr>
            <w:r w:rsidRPr="00405493">
              <w:rPr>
                <w:color w:val="000000"/>
                <w:kern w:val="0"/>
                <w:sz w:val="24"/>
              </w:rPr>
              <w:t>任本基金的基金经理期限</w:t>
            </w:r>
          </w:p>
        </w:tc>
        <w:tc>
          <w:tcPr>
            <w:tcW w:w="1417" w:type="dxa"/>
            <w:vMerge w:val="restart"/>
            <w:vAlign w:val="center"/>
          </w:tcPr>
          <w:p w:rsidR="00763A67" w:rsidRPr="00405493" w:rsidRDefault="00763A67" w:rsidP="009D139A">
            <w:pPr>
              <w:autoSpaceDE w:val="0"/>
              <w:autoSpaceDN w:val="0"/>
              <w:adjustRightInd w:val="0"/>
              <w:spacing w:before="29" w:line="288" w:lineRule="auto"/>
              <w:ind w:left="17"/>
              <w:jc w:val="center"/>
              <w:rPr>
                <w:color w:val="000000"/>
                <w:kern w:val="0"/>
                <w:sz w:val="24"/>
              </w:rPr>
            </w:pPr>
            <w:r w:rsidRPr="00405493">
              <w:rPr>
                <w:color w:val="000000"/>
                <w:kern w:val="0"/>
                <w:sz w:val="24"/>
              </w:rPr>
              <w:t>证券从业年限</w:t>
            </w:r>
          </w:p>
        </w:tc>
        <w:tc>
          <w:tcPr>
            <w:tcW w:w="2694"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说明</w:t>
            </w:r>
          </w:p>
        </w:tc>
      </w:tr>
      <w:tr w:rsidR="00763A67" w:rsidRPr="00405493" w:rsidTr="008C2902">
        <w:trPr>
          <w:jc w:val="center"/>
        </w:trPr>
        <w:tc>
          <w:tcPr>
            <w:tcW w:w="851"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850"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1560"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任职日期</w:t>
            </w:r>
          </w:p>
        </w:tc>
        <w:tc>
          <w:tcPr>
            <w:tcW w:w="1559"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离任日期</w:t>
            </w:r>
          </w:p>
        </w:tc>
        <w:tc>
          <w:tcPr>
            <w:tcW w:w="1417"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2694"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r>
      <w:tr w:rsidR="00A07731">
        <w:trPr>
          <w:jc w:val="center"/>
        </w:trPr>
        <w:tc>
          <w:tcPr>
            <w:tcW w:w="846" w:type="dxa"/>
            <w:vAlign w:val="center"/>
          </w:tcPr>
          <w:p w:rsidR="00A07731" w:rsidRDefault="00E1390B">
            <w:pPr>
              <w:jc w:val="center"/>
            </w:pPr>
            <w:r>
              <w:rPr>
                <w:rFonts w:eastAsiaTheme="minorEastAsia"/>
                <w:color w:val="000000"/>
                <w:sz w:val="24"/>
              </w:rPr>
              <w:t>孙超</w:t>
            </w:r>
          </w:p>
        </w:tc>
        <w:tc>
          <w:tcPr>
            <w:tcW w:w="845" w:type="dxa"/>
            <w:vAlign w:val="center"/>
          </w:tcPr>
          <w:p w:rsidR="00A07731" w:rsidRDefault="00A354C9">
            <w:pPr>
              <w:jc w:val="center"/>
            </w:pPr>
            <w:r w:rsidRPr="00A354C9">
              <w:rPr>
                <w:rFonts w:eastAsiaTheme="minorEastAsia" w:hint="eastAsia"/>
                <w:color w:val="000000"/>
                <w:sz w:val="24"/>
              </w:rPr>
              <w:t>交银增利债券、交银纯债债券发起、交银荣祥保本混合、交银荣泰保本混合、交银定期支付月月丰债券、交银强化回报债券、交银丰润收益债券、交银丰享收益债券、交银丰泽收益债券、交银丰硕收益债券、交银荣鑫保本混合的基金经理，公司固定收益部助理总经理</w:t>
            </w:r>
          </w:p>
        </w:tc>
        <w:tc>
          <w:tcPr>
            <w:tcW w:w="1549" w:type="dxa"/>
            <w:vAlign w:val="center"/>
          </w:tcPr>
          <w:p w:rsidR="00A07731" w:rsidRDefault="00E1390B">
            <w:pPr>
              <w:jc w:val="center"/>
            </w:pPr>
            <w:r>
              <w:rPr>
                <w:rFonts w:eastAsiaTheme="minorEastAsia"/>
                <w:color w:val="000000"/>
                <w:sz w:val="24"/>
              </w:rPr>
              <w:t>2015-11-09</w:t>
            </w:r>
          </w:p>
        </w:tc>
        <w:tc>
          <w:tcPr>
            <w:tcW w:w="1548" w:type="dxa"/>
            <w:vAlign w:val="center"/>
          </w:tcPr>
          <w:p w:rsidR="00A07731" w:rsidRDefault="00E1390B">
            <w:pPr>
              <w:jc w:val="center"/>
            </w:pPr>
            <w:r>
              <w:rPr>
                <w:rFonts w:eastAsiaTheme="minorEastAsia"/>
                <w:color w:val="000000"/>
                <w:sz w:val="24"/>
              </w:rPr>
              <w:t>-</w:t>
            </w:r>
          </w:p>
        </w:tc>
        <w:tc>
          <w:tcPr>
            <w:tcW w:w="1407" w:type="dxa"/>
            <w:vAlign w:val="center"/>
          </w:tcPr>
          <w:p w:rsidR="00A07731" w:rsidRDefault="00E1390B">
            <w:pPr>
              <w:jc w:val="center"/>
            </w:pPr>
            <w:r>
              <w:rPr>
                <w:rFonts w:eastAsiaTheme="minorEastAsia"/>
                <w:color w:val="000000"/>
                <w:sz w:val="24"/>
              </w:rPr>
              <w:t>5</w:t>
            </w:r>
            <w:r>
              <w:rPr>
                <w:rFonts w:eastAsiaTheme="minorEastAsia"/>
                <w:color w:val="000000"/>
                <w:sz w:val="24"/>
              </w:rPr>
              <w:t>年</w:t>
            </w:r>
          </w:p>
        </w:tc>
        <w:tc>
          <w:tcPr>
            <w:tcW w:w="2673" w:type="dxa"/>
            <w:vAlign w:val="center"/>
          </w:tcPr>
          <w:p w:rsidR="00A07731" w:rsidRDefault="00E1390B">
            <w:r>
              <w:rPr>
                <w:rFonts w:eastAsiaTheme="minorEastAsia"/>
                <w:color w:val="000000"/>
                <w:sz w:val="24"/>
              </w:rPr>
              <w:t>孙超先生，美国哥伦比亚大学经济学硕士。历任中信建投证券股份有限公司资产管理部经理、高级经理。</w:t>
            </w:r>
            <w:r>
              <w:rPr>
                <w:rFonts w:eastAsiaTheme="minorEastAsia"/>
                <w:color w:val="000000"/>
                <w:sz w:val="24"/>
              </w:rPr>
              <w:t>2013</w:t>
            </w:r>
            <w:r>
              <w:rPr>
                <w:rFonts w:eastAsiaTheme="minorEastAsia"/>
                <w:color w:val="000000"/>
                <w:sz w:val="24"/>
              </w:rPr>
              <w:t>年加入交银施罗德基金管理有限公司，历任基金经理助理。</w:t>
            </w:r>
            <w:r>
              <w:rPr>
                <w:rFonts w:eastAsiaTheme="minorEastAsia"/>
                <w:color w:val="000000"/>
                <w:sz w:val="24"/>
              </w:rPr>
              <w:t>2014</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26</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日担任交银施罗德理财</w:t>
            </w:r>
            <w:r>
              <w:rPr>
                <w:rFonts w:eastAsiaTheme="minorEastAsia"/>
                <w:color w:val="000000"/>
                <w:sz w:val="24"/>
              </w:rPr>
              <w:t>60</w:t>
            </w:r>
            <w:r>
              <w:rPr>
                <w:rFonts w:eastAsiaTheme="minorEastAsia"/>
                <w:color w:val="000000"/>
                <w:sz w:val="24"/>
              </w:rPr>
              <w:t>天债券型证券投资基金基金经理，</w:t>
            </w:r>
            <w:r>
              <w:rPr>
                <w:rFonts w:eastAsiaTheme="minorEastAsia"/>
                <w:color w:val="000000"/>
                <w:sz w:val="24"/>
              </w:rPr>
              <w:t>2014</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26</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日担任交银施罗德双轮动债券型证券投资基金基金经理。</w:t>
            </w:r>
          </w:p>
        </w:tc>
      </w:tr>
    </w:tbl>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注：基金经理（或基金经理小组）期后变动（如有）敬请关注基金管理人发布的相关公告。</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bCs/>
          <w:color w:val="000000"/>
          <w:sz w:val="24"/>
        </w:rPr>
      </w:pPr>
      <w:r w:rsidRPr="00405493">
        <w:rPr>
          <w:rFonts w:eastAsiaTheme="minorEastAsia"/>
          <w:b/>
          <w:color w:val="000000"/>
          <w:kern w:val="0"/>
          <w:sz w:val="24"/>
        </w:rPr>
        <w:t>4.2</w:t>
      </w:r>
      <w:r w:rsidR="009B3AC4" w:rsidRPr="00405493">
        <w:rPr>
          <w:rFonts w:eastAsiaTheme="minorEastAsia"/>
          <w:b/>
          <w:color w:val="000000"/>
          <w:kern w:val="0"/>
          <w:sz w:val="24"/>
        </w:rPr>
        <w:t xml:space="preserve"> </w:t>
      </w:r>
      <w:r w:rsidR="00BB49E0" w:rsidRPr="00405493">
        <w:rPr>
          <w:b/>
          <w:color w:val="000000"/>
          <w:kern w:val="0"/>
          <w:sz w:val="24"/>
        </w:rPr>
        <w:t>管理人对报告期内本基金运作遵规守信情况的说明</w:t>
      </w:r>
    </w:p>
    <w:p w:rsidR="00220542"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 xml:space="preserve">4.3 </w:t>
      </w:r>
      <w:r w:rsidRPr="00405493">
        <w:rPr>
          <w:b/>
          <w:color w:val="000000"/>
          <w:kern w:val="0"/>
          <w:sz w:val="24"/>
        </w:rPr>
        <w:t>公平交易专项说明</w:t>
      </w:r>
    </w:p>
    <w:p w:rsidR="00540865" w:rsidRPr="00405493" w:rsidRDefault="00540865" w:rsidP="009D139A">
      <w:pPr>
        <w:spacing w:before="29" w:line="288" w:lineRule="auto"/>
        <w:rPr>
          <w:rFonts w:eastAsia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405493">
          <w:rPr>
            <w:rFonts w:eastAsiaTheme="minorEastAsia"/>
            <w:sz w:val="24"/>
          </w:rPr>
          <w:t>4.3.1</w:t>
        </w:r>
      </w:smartTag>
      <w:r w:rsidRPr="00405493">
        <w:rPr>
          <w:sz w:val="24"/>
        </w:rPr>
        <w:t>公平交易制度的执行情况</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sz w:val="24"/>
        </w:rPr>
        <w:t>“</w:t>
      </w:r>
      <w:r>
        <w:rPr>
          <w:rFonts w:eastAsiaTheme="minorEastAsia"/>
          <w:color w:val="000000"/>
          <w:sz w:val="24"/>
        </w:rPr>
        <w:t>时间优先、价格优先、比例分配</w:t>
      </w:r>
      <w:r>
        <w:rPr>
          <w:rFonts w:eastAsiaTheme="minorEastAsia"/>
          <w:color w:val="000000"/>
          <w:sz w:val="24"/>
        </w:rPr>
        <w:t>”</w:t>
      </w:r>
      <w:r>
        <w:rPr>
          <w:rFonts w:eastAsiaTheme="minorEastAsia"/>
          <w:color w:val="000000"/>
          <w:sz w:val="24"/>
        </w:rPr>
        <w:t>的原则，全部通过交易系统进行比例分配；对于非集中竞价交易、以公司名义进行的场外交易，遵循</w:t>
      </w:r>
      <w:r>
        <w:rPr>
          <w:rFonts w:eastAsiaTheme="minorEastAsia"/>
          <w:color w:val="000000"/>
          <w:sz w:val="24"/>
        </w:rPr>
        <w:t>“</w:t>
      </w:r>
      <w:r>
        <w:rPr>
          <w:rFonts w:eastAsiaTheme="minorEastAsia"/>
          <w:color w:val="000000"/>
          <w:sz w:val="24"/>
        </w:rPr>
        <w:t>价格优先、比例分配</w:t>
      </w:r>
      <w:r>
        <w:rPr>
          <w:rFonts w:eastAsiaTheme="minorEastAsia"/>
          <w:color w:val="000000"/>
          <w:sz w:val="24"/>
        </w:rPr>
        <w:t>”</w:t>
      </w:r>
      <w:r>
        <w:rPr>
          <w:rFonts w:eastAsiaTheme="minorEastAsia"/>
          <w:color w:val="000000"/>
          <w:sz w:val="24"/>
        </w:rPr>
        <w:t>的原则按事前独立确定的投资方案对交易结果进行分配。</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40865"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报告期内本公司严格执行公平交易制度，公平对待旗下各投资组合，未发现任何违反公平交易的行为。</w:t>
      </w:r>
    </w:p>
    <w:p w:rsidR="00540865" w:rsidRPr="00405493" w:rsidRDefault="00540865" w:rsidP="009D139A">
      <w:pPr>
        <w:spacing w:before="29" w:line="288" w:lineRule="auto"/>
        <w:rPr>
          <w:rFonts w:eastAsiaTheme="minorEastAsia"/>
          <w:sz w:val="24"/>
        </w:rPr>
      </w:pPr>
      <w:r w:rsidRPr="00405493">
        <w:rPr>
          <w:rFonts w:eastAsiaTheme="minorEastAsia"/>
          <w:sz w:val="24"/>
        </w:rPr>
        <w:t>4.3.</w:t>
      </w:r>
      <w:r w:rsidR="000F3E6A" w:rsidRPr="00405493">
        <w:rPr>
          <w:rFonts w:eastAsiaTheme="minorEastAsia"/>
          <w:sz w:val="24"/>
        </w:rPr>
        <w:t>2</w:t>
      </w:r>
      <w:r w:rsidRPr="00405493">
        <w:rPr>
          <w:sz w:val="24"/>
        </w:rPr>
        <w:t>异常交易行为的专项说明</w:t>
      </w:r>
    </w:p>
    <w:p w:rsidR="00540865"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本基金于本报告期内不存在异常交易行为。本报告期内，本公司管理的所有投资组合参与的交易所公开竞价同日反向交易成交较少的单边交易量没有超过该证券当日总成交量</w:t>
      </w:r>
      <w:r w:rsidRPr="00405493">
        <w:rPr>
          <w:rFonts w:eastAsiaTheme="minorEastAsia"/>
          <w:color w:val="000000"/>
          <w:sz w:val="24"/>
        </w:rPr>
        <w:t>5%</w:t>
      </w:r>
      <w:r w:rsidRPr="00405493">
        <w:rPr>
          <w:rFonts w:eastAsiaTheme="minorEastAsia"/>
          <w:color w:val="000000"/>
          <w:sz w:val="24"/>
        </w:rPr>
        <w:t>的情形，本基金与本公司管理的其他投资组合在不同时间窗下（如日内、</w:t>
      </w:r>
      <w:r w:rsidRPr="00405493">
        <w:rPr>
          <w:rFonts w:eastAsiaTheme="minorEastAsia"/>
          <w:color w:val="000000"/>
          <w:sz w:val="24"/>
        </w:rPr>
        <w:t>3</w:t>
      </w:r>
      <w:r w:rsidRPr="00405493">
        <w:rPr>
          <w:rFonts w:eastAsiaTheme="minorEastAsia"/>
          <w:color w:val="000000"/>
          <w:sz w:val="24"/>
        </w:rPr>
        <w:t>日内、</w:t>
      </w:r>
      <w:r w:rsidRPr="00405493">
        <w:rPr>
          <w:rFonts w:eastAsiaTheme="minorEastAsia"/>
          <w:color w:val="000000"/>
          <w:sz w:val="24"/>
        </w:rPr>
        <w:t>5</w:t>
      </w:r>
      <w:r w:rsidRPr="00405493">
        <w:rPr>
          <w:rFonts w:eastAsiaTheme="minorEastAsia"/>
          <w:color w:val="000000"/>
          <w:sz w:val="24"/>
        </w:rPr>
        <w:t>日内）同向交易的交易价差未出现异常。</w:t>
      </w:r>
    </w:p>
    <w:p w:rsidR="00220542" w:rsidRPr="00405493" w:rsidRDefault="00220542" w:rsidP="009D139A">
      <w:pPr>
        <w:spacing w:before="29" w:line="288" w:lineRule="auto"/>
        <w:ind w:firstLineChars="200" w:firstLine="480"/>
        <w:rPr>
          <w:rFonts w:eastAsiaTheme="minorEastAsia"/>
          <w:color w:val="000000"/>
          <w:sz w:val="24"/>
        </w:rPr>
      </w:pPr>
    </w:p>
    <w:p w:rsidR="0097689C" w:rsidRPr="00405493" w:rsidRDefault="009D2E53" w:rsidP="009D139A">
      <w:pPr>
        <w:spacing w:before="29" w:line="288" w:lineRule="auto"/>
        <w:rPr>
          <w:rFonts w:eastAsiaTheme="minorEastAsia"/>
          <w:sz w:val="24"/>
        </w:rPr>
      </w:pPr>
      <w:r w:rsidRPr="00405493">
        <w:rPr>
          <w:b/>
          <w:color w:val="000000"/>
          <w:kern w:val="0"/>
          <w:sz w:val="24"/>
        </w:rPr>
        <w:t>4.4</w:t>
      </w:r>
      <w:r w:rsidR="009B3AC4" w:rsidRPr="00405493">
        <w:rPr>
          <w:b/>
          <w:color w:val="000000"/>
          <w:kern w:val="0"/>
          <w:sz w:val="24"/>
        </w:rPr>
        <w:t xml:space="preserve"> </w:t>
      </w:r>
      <w:r w:rsidRPr="00405493">
        <w:rPr>
          <w:b/>
          <w:color w:val="000000"/>
          <w:kern w:val="0"/>
          <w:sz w:val="24"/>
        </w:rPr>
        <w:t>报告期内基金的投资策略和运作分析</w:t>
      </w:r>
    </w:p>
    <w:p w:rsidR="007970BD" w:rsidRPr="007970BD" w:rsidRDefault="007970BD" w:rsidP="00A155E8">
      <w:pPr>
        <w:spacing w:before="29" w:line="288" w:lineRule="auto"/>
        <w:ind w:firstLine="420"/>
        <w:rPr>
          <w:rFonts w:eastAsiaTheme="minorEastAsia"/>
          <w:color w:val="000000"/>
          <w:sz w:val="24"/>
        </w:rPr>
      </w:pPr>
      <w:r w:rsidRPr="007970BD">
        <w:rPr>
          <w:rFonts w:eastAsiaTheme="minorEastAsia" w:hint="eastAsia"/>
          <w:color w:val="000000"/>
          <w:sz w:val="24"/>
        </w:rPr>
        <w:t>本报告期内，工业增加值一度受洪涝及工作日（今年七月较去年少两个工作日）的影响小幅调整，但随后反弹，反弹驱动因素来自出口以及前期政策刺激。通胀整体处于低位，食品价格持续回落，非食品中服务类产品涨价使得核心</w:t>
      </w:r>
      <w:r w:rsidRPr="007970BD">
        <w:rPr>
          <w:rFonts w:eastAsiaTheme="minorEastAsia" w:hint="eastAsia"/>
          <w:color w:val="000000"/>
          <w:sz w:val="24"/>
        </w:rPr>
        <w:t>CPI</w:t>
      </w:r>
      <w:r w:rsidRPr="007970BD">
        <w:rPr>
          <w:rFonts w:eastAsiaTheme="minorEastAsia" w:hint="eastAsia"/>
          <w:color w:val="000000"/>
          <w:sz w:val="24"/>
        </w:rPr>
        <w:t>保持高位。受大宗商品价格上涨影响，</w:t>
      </w:r>
      <w:r w:rsidRPr="007970BD">
        <w:rPr>
          <w:rFonts w:eastAsiaTheme="minorEastAsia" w:hint="eastAsia"/>
          <w:color w:val="000000"/>
          <w:sz w:val="24"/>
        </w:rPr>
        <w:t>PPI</w:t>
      </w:r>
      <w:r w:rsidRPr="007970BD">
        <w:rPr>
          <w:rFonts w:eastAsiaTheme="minorEastAsia" w:hint="eastAsia"/>
          <w:color w:val="000000"/>
          <w:sz w:val="24"/>
        </w:rPr>
        <w:t>环比攀升，同比接近零增长。信贷数据在近两月出现反复，贷款结构上以房地产按揭为主，企业中长期贷款中枢较上半年下移。美联储鹰派言论一度令汇率贬值，贬值预期在可控范围。</w:t>
      </w:r>
    </w:p>
    <w:p w:rsidR="007970BD" w:rsidRPr="007970BD" w:rsidRDefault="007970BD" w:rsidP="00A155E8">
      <w:pPr>
        <w:spacing w:before="29" w:line="288" w:lineRule="auto"/>
        <w:ind w:firstLine="420"/>
        <w:rPr>
          <w:rFonts w:eastAsiaTheme="minorEastAsia"/>
          <w:color w:val="000000"/>
          <w:sz w:val="24"/>
        </w:rPr>
      </w:pPr>
      <w:r w:rsidRPr="007970BD">
        <w:rPr>
          <w:rFonts w:eastAsiaTheme="minorEastAsia" w:hint="eastAsia"/>
          <w:color w:val="000000"/>
          <w:sz w:val="24"/>
        </w:rPr>
        <w:t>三季度，央行依然通过</w:t>
      </w:r>
      <w:r w:rsidRPr="007970BD">
        <w:rPr>
          <w:rFonts w:eastAsiaTheme="minorEastAsia" w:hint="eastAsia"/>
          <w:color w:val="000000"/>
          <w:sz w:val="24"/>
        </w:rPr>
        <w:t>MLF</w:t>
      </w:r>
      <w:r w:rsidRPr="007970BD">
        <w:rPr>
          <w:rFonts w:eastAsiaTheme="minorEastAsia" w:hint="eastAsia"/>
          <w:color w:val="000000"/>
          <w:sz w:val="24"/>
        </w:rPr>
        <w:t>、逆回购等常规工具操作熨平资金波动，</w:t>
      </w:r>
      <w:r w:rsidRPr="007970BD">
        <w:rPr>
          <w:rFonts w:eastAsiaTheme="minorEastAsia" w:hint="eastAsia"/>
          <w:color w:val="000000"/>
          <w:sz w:val="24"/>
        </w:rPr>
        <w:t>7</w:t>
      </w:r>
      <w:r w:rsidRPr="007970BD">
        <w:rPr>
          <w:rFonts w:eastAsiaTheme="minorEastAsia" w:hint="eastAsia"/>
          <w:color w:val="000000"/>
          <w:sz w:val="24"/>
        </w:rPr>
        <w:t>月降准预期再度落空。</w:t>
      </w:r>
      <w:r w:rsidRPr="007970BD">
        <w:rPr>
          <w:rFonts w:eastAsiaTheme="minorEastAsia" w:hint="eastAsia"/>
          <w:color w:val="000000"/>
          <w:sz w:val="24"/>
        </w:rPr>
        <w:t>8</w:t>
      </w:r>
      <w:r w:rsidRPr="007970BD">
        <w:rPr>
          <w:rFonts w:eastAsiaTheme="minorEastAsia" w:hint="eastAsia"/>
          <w:color w:val="000000"/>
          <w:sz w:val="24"/>
        </w:rPr>
        <w:t>月下旬</w:t>
      </w:r>
      <w:r w:rsidRPr="007970BD">
        <w:rPr>
          <w:rFonts w:eastAsiaTheme="minorEastAsia" w:hint="eastAsia"/>
          <w:color w:val="000000"/>
          <w:sz w:val="24"/>
        </w:rPr>
        <w:t>14</w:t>
      </w:r>
      <w:r w:rsidRPr="007970BD">
        <w:rPr>
          <w:rFonts w:eastAsiaTheme="minorEastAsia" w:hint="eastAsia"/>
          <w:color w:val="000000"/>
          <w:sz w:val="24"/>
        </w:rPr>
        <w:t>天逆回购重启，市场顾虑央行抬高短端资金成本，各期限资金利率上行，随后逐步趋稳。至</w:t>
      </w:r>
      <w:r w:rsidRPr="007970BD">
        <w:rPr>
          <w:rFonts w:eastAsiaTheme="minorEastAsia" w:hint="eastAsia"/>
          <w:color w:val="000000"/>
          <w:sz w:val="24"/>
        </w:rPr>
        <w:t>9</w:t>
      </w:r>
      <w:r w:rsidRPr="007970BD">
        <w:rPr>
          <w:rFonts w:eastAsiaTheme="minorEastAsia" w:hint="eastAsia"/>
          <w:color w:val="000000"/>
          <w:sz w:val="24"/>
        </w:rPr>
        <w:t>月中旬开始中秋、国庆假期临近，资金面再度维持紧平衡状态。央行推出</w:t>
      </w:r>
      <w:r w:rsidRPr="007970BD">
        <w:rPr>
          <w:rFonts w:eastAsiaTheme="minorEastAsia" w:hint="eastAsia"/>
          <w:color w:val="000000"/>
          <w:sz w:val="24"/>
        </w:rPr>
        <w:t>28D</w:t>
      </w:r>
      <w:r w:rsidRPr="007970BD">
        <w:rPr>
          <w:rFonts w:eastAsiaTheme="minorEastAsia" w:hint="eastAsia"/>
          <w:color w:val="000000"/>
          <w:sz w:val="24"/>
        </w:rPr>
        <w:t>逆回购并及时放出万亿逆回购，使得资金加权利率虽有上行但供应相对平稳。</w:t>
      </w:r>
    </w:p>
    <w:p w:rsidR="007970BD" w:rsidRPr="007970BD" w:rsidRDefault="007970BD" w:rsidP="00A155E8">
      <w:pPr>
        <w:spacing w:before="29" w:line="288" w:lineRule="auto"/>
        <w:ind w:firstLine="420"/>
        <w:rPr>
          <w:rFonts w:eastAsiaTheme="minorEastAsia"/>
          <w:color w:val="000000"/>
          <w:sz w:val="24"/>
        </w:rPr>
      </w:pPr>
      <w:r w:rsidRPr="007970BD">
        <w:rPr>
          <w:rFonts w:eastAsiaTheme="minorEastAsia" w:hint="eastAsia"/>
          <w:color w:val="000000"/>
          <w:sz w:val="24"/>
        </w:rPr>
        <w:t>市场资金配置压力较大，在流动性及经济基本面配合下，</w:t>
      </w:r>
      <w:r w:rsidRPr="007970BD">
        <w:rPr>
          <w:rFonts w:eastAsiaTheme="minorEastAsia" w:hint="eastAsia"/>
          <w:color w:val="000000"/>
          <w:sz w:val="24"/>
        </w:rPr>
        <w:t>7</w:t>
      </w:r>
      <w:r w:rsidRPr="007970BD">
        <w:rPr>
          <w:rFonts w:eastAsiaTheme="minorEastAsia" w:hint="eastAsia"/>
          <w:color w:val="000000"/>
          <w:sz w:val="24"/>
        </w:rPr>
        <w:t>月中旬现券收益率尤其是超长端收益率持续下行，并与一级招标及国债期货互为反馈。央行重启</w:t>
      </w:r>
      <w:r w:rsidRPr="007970BD">
        <w:rPr>
          <w:rFonts w:eastAsiaTheme="minorEastAsia" w:hint="eastAsia"/>
          <w:color w:val="000000"/>
          <w:sz w:val="24"/>
        </w:rPr>
        <w:t>14</w:t>
      </w:r>
      <w:r w:rsidRPr="007970BD">
        <w:rPr>
          <w:rFonts w:eastAsiaTheme="minorEastAsia" w:hint="eastAsia"/>
          <w:color w:val="000000"/>
          <w:sz w:val="24"/>
        </w:rPr>
        <w:t>天逆回购后，</w:t>
      </w:r>
      <w:r w:rsidRPr="007970BD">
        <w:rPr>
          <w:rFonts w:eastAsiaTheme="minorEastAsia" w:hint="eastAsia"/>
          <w:color w:val="000000"/>
          <w:sz w:val="24"/>
        </w:rPr>
        <w:t>10</w:t>
      </w:r>
      <w:r w:rsidRPr="007970BD">
        <w:rPr>
          <w:rFonts w:eastAsiaTheme="minorEastAsia" w:hint="eastAsia"/>
          <w:color w:val="000000"/>
          <w:sz w:val="24"/>
        </w:rPr>
        <w:t>年国债收益率出现回调，</w:t>
      </w:r>
      <w:r w:rsidRPr="007970BD">
        <w:rPr>
          <w:rFonts w:eastAsiaTheme="minorEastAsia" w:hint="eastAsia"/>
          <w:color w:val="000000"/>
          <w:sz w:val="24"/>
        </w:rPr>
        <w:t>9</w:t>
      </w:r>
      <w:r w:rsidRPr="007970BD">
        <w:rPr>
          <w:rFonts w:eastAsiaTheme="minorEastAsia" w:hint="eastAsia"/>
          <w:color w:val="000000"/>
          <w:sz w:val="24"/>
        </w:rPr>
        <w:t>月中旬后市场情绪相对修复，一级招标收益率持续低于预期使得二级招标收益率再度温和下行，信用利差降至历史低位。</w:t>
      </w:r>
    </w:p>
    <w:p w:rsidR="007970BD" w:rsidRPr="007970BD" w:rsidRDefault="007970BD" w:rsidP="00A155E8">
      <w:pPr>
        <w:spacing w:before="29" w:line="288" w:lineRule="auto"/>
        <w:ind w:firstLine="420"/>
        <w:rPr>
          <w:rFonts w:eastAsiaTheme="minorEastAsia"/>
          <w:color w:val="000000"/>
          <w:sz w:val="24"/>
        </w:rPr>
      </w:pPr>
      <w:r w:rsidRPr="007970BD">
        <w:rPr>
          <w:rFonts w:eastAsiaTheme="minorEastAsia" w:hint="eastAsia"/>
          <w:color w:val="000000"/>
          <w:sz w:val="24"/>
        </w:rPr>
        <w:t>我们认为市场短期趋势性机会可能小于波动性机会。经济中长期下行压力不变，短期经济受政策调控出现波动，市场预期趋势变化产生经济预期差。通胀四季度小幅攀升但对货币政策制约较小，流动性中性基调没有变化，但需要谨防监管去金融杠杆举措对短期流动性的波动。我们一如既往地规避中低等级信用债、防范信用风险。本组合按照既定目标实现了较高的杠杆，并配置了剩余期限与本基金封闭期基本匹配的中高等级信用债。</w:t>
      </w:r>
    </w:p>
    <w:p w:rsidR="007970BD" w:rsidRDefault="007970BD" w:rsidP="00A155E8">
      <w:pPr>
        <w:autoSpaceDE w:val="0"/>
        <w:autoSpaceDN w:val="0"/>
        <w:adjustRightInd w:val="0"/>
        <w:spacing w:before="29" w:line="288" w:lineRule="auto"/>
        <w:ind w:firstLine="420"/>
        <w:rPr>
          <w:rFonts w:eastAsiaTheme="minorEastAsia"/>
          <w:color w:val="000000"/>
          <w:sz w:val="24"/>
        </w:rPr>
      </w:pPr>
      <w:r w:rsidRPr="007970BD">
        <w:rPr>
          <w:rFonts w:eastAsiaTheme="minorEastAsia" w:hint="eastAsia"/>
          <w:color w:val="000000"/>
          <w:sz w:val="24"/>
        </w:rPr>
        <w:t>展望后市，我们维持对债券市场谨慎乐观的态度。轻工业难以支撑经济增长，重工业仍然是稳增长主要支柱，政策稳增长的大环境并未发生改变，流动性不具备收紧的基本面条件。同时，实体经济回报下降，大量资金通过理财产品等渠道流向金融资产，</w:t>
      </w:r>
      <w:r w:rsidRPr="007970BD">
        <w:rPr>
          <w:rFonts w:eastAsiaTheme="minorEastAsia" w:hint="eastAsia"/>
          <w:color w:val="000000"/>
          <w:sz w:val="24"/>
        </w:rPr>
        <w:t>2015</w:t>
      </w:r>
      <w:r w:rsidRPr="007970BD">
        <w:rPr>
          <w:rFonts w:eastAsiaTheme="minorEastAsia" w:hint="eastAsia"/>
          <w:color w:val="000000"/>
          <w:sz w:val="24"/>
        </w:rPr>
        <w:t>年以来的机构配置行为对于债券市场的影响依然不可忽视。同样值得注意的是，金融去杠杆举措并未结束，政策监管依然是流动性骤紧的主要影响。此外，供给侧改革面临下游产业成本上行等阻力，难以短期扭转经济下行趋势，信用风险需持续警惕。中期来看，我们依旧观望各期限中低等级信用债，认为信用利差难以持续压缩。我们警惕交易所信用债质押率持续下调的可能性，并为组合维持杠杆率预留了较多的可质押品空间。债券市场从来不只是一个资产类别，而与国家大势息息相关。无论是决策者还是投资者，“惟能前知其当然，事至不惧，而徐为之图，是以得至于成功。”我们将一如既往，“大胆地假设未来，小心地求证现在”，努力为投资者贡献我们的智慧。</w:t>
      </w:r>
    </w:p>
    <w:p w:rsidR="00B05273" w:rsidRPr="00405493" w:rsidRDefault="00B05273" w:rsidP="009D139A">
      <w:pPr>
        <w:autoSpaceDE w:val="0"/>
        <w:autoSpaceDN w:val="0"/>
        <w:adjustRightInd w:val="0"/>
        <w:spacing w:before="29" w:line="288" w:lineRule="auto"/>
        <w:rPr>
          <w:rFonts w:eastAsiaTheme="minorEastAsia"/>
          <w:color w:val="000000"/>
          <w:sz w:val="24"/>
        </w:rPr>
      </w:pPr>
    </w:p>
    <w:p w:rsidR="0097689C" w:rsidRPr="00405493" w:rsidRDefault="009D2E53" w:rsidP="009D139A">
      <w:pPr>
        <w:spacing w:before="29" w:line="288" w:lineRule="auto"/>
        <w:rPr>
          <w:b/>
          <w:color w:val="000000"/>
          <w:kern w:val="0"/>
          <w:sz w:val="24"/>
        </w:rPr>
      </w:pPr>
      <w:r w:rsidRPr="00405493">
        <w:rPr>
          <w:b/>
          <w:color w:val="000000"/>
          <w:kern w:val="0"/>
          <w:sz w:val="24"/>
        </w:rPr>
        <w:t>4.5</w:t>
      </w:r>
      <w:r w:rsidR="009B3AC4" w:rsidRPr="00405493">
        <w:rPr>
          <w:b/>
          <w:color w:val="000000"/>
          <w:kern w:val="0"/>
          <w:sz w:val="24"/>
        </w:rPr>
        <w:t xml:space="preserve"> </w:t>
      </w:r>
      <w:r w:rsidRPr="00405493">
        <w:rPr>
          <w:b/>
          <w:color w:val="000000"/>
          <w:kern w:val="0"/>
          <w:sz w:val="24"/>
        </w:rPr>
        <w:t>报告期内基金的业绩表现</w:t>
      </w:r>
    </w:p>
    <w:p w:rsidR="0097689C"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截至</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9</w:t>
      </w:r>
      <w:r w:rsidRPr="00405493">
        <w:rPr>
          <w:rFonts w:eastAsiaTheme="minorEastAsia"/>
          <w:color w:val="000000"/>
          <w:sz w:val="24"/>
        </w:rPr>
        <w:t>月</w:t>
      </w:r>
      <w:r w:rsidRPr="00405493">
        <w:rPr>
          <w:rFonts w:eastAsiaTheme="minorEastAsia"/>
          <w:color w:val="000000"/>
          <w:sz w:val="24"/>
        </w:rPr>
        <w:t>30</w:t>
      </w:r>
      <w:r w:rsidRPr="00405493">
        <w:rPr>
          <w:rFonts w:eastAsiaTheme="minorEastAsia"/>
          <w:color w:val="000000"/>
          <w:sz w:val="24"/>
        </w:rPr>
        <w:t>日，本基金份额净值为</w:t>
      </w:r>
      <w:r w:rsidRPr="00405493">
        <w:rPr>
          <w:rFonts w:eastAsiaTheme="minorEastAsia"/>
          <w:color w:val="000000"/>
          <w:sz w:val="24"/>
        </w:rPr>
        <w:t>1.040</w:t>
      </w:r>
      <w:r w:rsidRPr="00405493">
        <w:rPr>
          <w:rFonts w:eastAsiaTheme="minorEastAsia"/>
          <w:color w:val="000000"/>
          <w:sz w:val="24"/>
        </w:rPr>
        <w:t>元，本报告期份额净值增长率为</w:t>
      </w:r>
      <w:r w:rsidRPr="00405493">
        <w:rPr>
          <w:rFonts w:eastAsiaTheme="minorEastAsia"/>
          <w:color w:val="000000"/>
          <w:sz w:val="24"/>
        </w:rPr>
        <w:t>2.56%</w:t>
      </w:r>
      <w:r w:rsidRPr="00405493">
        <w:rPr>
          <w:rFonts w:eastAsiaTheme="minorEastAsia"/>
          <w:color w:val="000000"/>
          <w:sz w:val="24"/>
        </w:rPr>
        <w:t>，同期业绩比较基准增长率为</w:t>
      </w:r>
      <w:r w:rsidRPr="00405493">
        <w:rPr>
          <w:rFonts w:eastAsiaTheme="minorEastAsia"/>
          <w:color w:val="000000"/>
          <w:sz w:val="24"/>
        </w:rPr>
        <w:t>0.86%</w:t>
      </w:r>
      <w:r w:rsidRPr="00405493">
        <w:rPr>
          <w:rFonts w:eastAsiaTheme="minorEastAsia"/>
          <w:color w:val="000000"/>
          <w:sz w:val="24"/>
        </w:rPr>
        <w:t>。</w:t>
      </w:r>
    </w:p>
    <w:p w:rsidR="00B05273" w:rsidRPr="00405493" w:rsidRDefault="00B05273" w:rsidP="009D139A">
      <w:pPr>
        <w:autoSpaceDE w:val="0"/>
        <w:autoSpaceDN w:val="0"/>
        <w:adjustRightInd w:val="0"/>
        <w:spacing w:before="29" w:line="288" w:lineRule="auto"/>
        <w:ind w:firstLineChars="200" w:firstLine="480"/>
        <w:rPr>
          <w:rFonts w:eastAsiaTheme="minorEastAsia"/>
          <w:color w:val="000000"/>
          <w:sz w:val="24"/>
        </w:rPr>
      </w:pPr>
    </w:p>
    <w:p w:rsidR="00D70CBF" w:rsidRPr="002070B4" w:rsidRDefault="00D70CBF" w:rsidP="00D70CBF">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D70CBF" w:rsidRDefault="00D70CBF" w:rsidP="00D70CBF">
      <w:pPr>
        <w:spacing w:before="29" w:line="288" w:lineRule="auto"/>
        <w:ind w:firstLineChars="200" w:firstLine="480"/>
        <w:rPr>
          <w:color w:val="000000"/>
          <w:sz w:val="24"/>
        </w:rPr>
      </w:pPr>
      <w:r w:rsidRPr="002070B4">
        <w:rPr>
          <w:color w:val="000000"/>
          <w:sz w:val="24"/>
        </w:rPr>
        <w:t>本基金本报告期内无需预警说明。</w:t>
      </w:r>
    </w:p>
    <w:p w:rsidR="00B05273" w:rsidRPr="00405493" w:rsidRDefault="00B05273"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§5 </w:t>
      </w:r>
      <w:r w:rsidRPr="00405493">
        <w:rPr>
          <w:color w:val="000000"/>
          <w:kern w:val="0"/>
          <w:sz w:val="24"/>
          <w:szCs w:val="24"/>
        </w:rPr>
        <w:t xml:space="preserve"> </w:t>
      </w:r>
      <w:r w:rsidRPr="00405493">
        <w:rPr>
          <w:color w:val="000000"/>
          <w:kern w:val="0"/>
          <w:sz w:val="24"/>
          <w:szCs w:val="24"/>
        </w:rPr>
        <w:t>投资组合报告</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5.1 </w:t>
      </w:r>
      <w:r w:rsidRPr="00405493">
        <w:rPr>
          <w:b/>
          <w:color w:val="000000"/>
          <w:kern w:val="0"/>
          <w:sz w:val="24"/>
        </w:rPr>
        <w:t>报告期末基金资产组合情况</w:t>
      </w:r>
    </w:p>
    <w:tbl>
      <w:tblPr>
        <w:tblStyle w:val="af7"/>
        <w:tblW w:w="8868" w:type="dxa"/>
        <w:jc w:val="center"/>
        <w:tblLayout w:type="fixed"/>
        <w:tblLook w:val="04A0" w:firstRow="1" w:lastRow="0" w:firstColumn="1" w:lastColumn="0" w:noHBand="0" w:noVBand="1"/>
      </w:tblPr>
      <w:tblGrid>
        <w:gridCol w:w="749"/>
        <w:gridCol w:w="3491"/>
        <w:gridCol w:w="2948"/>
        <w:gridCol w:w="1680"/>
      </w:tblGrid>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序号</w:t>
            </w:r>
          </w:p>
        </w:tc>
        <w:tc>
          <w:tcPr>
            <w:tcW w:w="3357"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项目</w:t>
            </w:r>
          </w:p>
        </w:tc>
        <w:tc>
          <w:tcPr>
            <w:tcW w:w="2835"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金额</w:t>
            </w:r>
            <w:r w:rsidR="00E1046D" w:rsidRPr="00405493">
              <w:rPr>
                <w:color w:val="000000"/>
                <w:kern w:val="0"/>
                <w:sz w:val="24"/>
              </w:rPr>
              <w:t>（元）</w:t>
            </w:r>
          </w:p>
        </w:tc>
        <w:tc>
          <w:tcPr>
            <w:tcW w:w="1616"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color w:val="000000"/>
                <w:sz w:val="24"/>
              </w:rPr>
              <w:t>占基金总资产的比例</w:t>
            </w:r>
            <w:r w:rsidR="00E1046D" w:rsidRPr="00405493">
              <w:rPr>
                <w:color w:val="000000"/>
                <w:kern w:val="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1</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权益投资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其中：股票</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2</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固定收益投资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718,777,790.90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97.68</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其中：债券</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640,777,790.90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87.08</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852EBD">
            <w:pPr>
              <w:autoSpaceDE w:val="0"/>
              <w:autoSpaceDN w:val="0"/>
              <w:adjustRightInd w:val="0"/>
              <w:spacing w:before="29" w:line="288" w:lineRule="auto"/>
              <w:ind w:leftChars="8" w:left="17" w:firstLineChars="300" w:firstLine="720"/>
              <w:jc w:val="left"/>
              <w:rPr>
                <w:color w:val="000000"/>
                <w:sz w:val="24"/>
              </w:rPr>
            </w:pPr>
            <w:r w:rsidRPr="00405493">
              <w:rPr>
                <w:color w:val="000000"/>
                <w:sz w:val="24"/>
              </w:rPr>
              <w:t>资产支持证券</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78,000,000.00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10.60</w:t>
            </w:r>
          </w:p>
        </w:tc>
      </w:tr>
      <w:tr w:rsidR="00FE47A3" w:rsidRPr="00405493" w:rsidTr="003D767B">
        <w:trPr>
          <w:jc w:val="center"/>
        </w:trPr>
        <w:tc>
          <w:tcPr>
            <w:tcW w:w="720" w:type="dxa"/>
            <w:vAlign w:val="center"/>
          </w:tcPr>
          <w:p w:rsidR="00FE47A3"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3</w:t>
            </w:r>
          </w:p>
        </w:tc>
        <w:tc>
          <w:tcPr>
            <w:tcW w:w="3357" w:type="dxa"/>
            <w:vAlign w:val="center"/>
          </w:tcPr>
          <w:p w:rsidR="00FE47A3" w:rsidRPr="00405493" w:rsidRDefault="00FE47A3" w:rsidP="009D139A">
            <w:pPr>
              <w:spacing w:before="29" w:line="288" w:lineRule="auto"/>
              <w:ind w:left="17"/>
              <w:jc w:val="left"/>
              <w:rPr>
                <w:color w:val="000000"/>
                <w:sz w:val="24"/>
              </w:rPr>
            </w:pPr>
            <w:r w:rsidRPr="00405493">
              <w:rPr>
                <w:rFonts w:hAnsi="宋体"/>
                <w:color w:val="000000"/>
                <w:sz w:val="24"/>
              </w:rPr>
              <w:t>贵金属投资</w:t>
            </w:r>
          </w:p>
        </w:tc>
        <w:tc>
          <w:tcPr>
            <w:tcW w:w="2835" w:type="dxa"/>
            <w:vAlign w:val="center"/>
          </w:tcPr>
          <w:p w:rsidR="00FE47A3" w:rsidRPr="00405493" w:rsidRDefault="00FE47A3"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FE47A3" w:rsidRPr="00405493" w:rsidRDefault="00FE47A3"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4</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金融衍生品投资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5</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买入返售金融资产</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其中：买断式回购的买入返售金融资产</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6</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银行存款和结算备付金合计</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7,350,057.63</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1.00</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7</w:t>
            </w:r>
          </w:p>
        </w:tc>
        <w:tc>
          <w:tcPr>
            <w:tcW w:w="3357" w:type="dxa"/>
            <w:vAlign w:val="center"/>
          </w:tcPr>
          <w:p w:rsidR="00763A67" w:rsidRPr="00405493" w:rsidRDefault="00096972" w:rsidP="009D139A">
            <w:pPr>
              <w:spacing w:before="29" w:line="288" w:lineRule="auto"/>
              <w:jc w:val="left"/>
              <w:rPr>
                <w:sz w:val="24"/>
              </w:rPr>
            </w:pPr>
            <w:r w:rsidRPr="00405493">
              <w:rPr>
                <w:color w:val="000000"/>
                <w:sz w:val="24"/>
              </w:rPr>
              <w:t>其他</w:t>
            </w:r>
            <w:r w:rsidR="00763A67" w:rsidRPr="00405493">
              <w:rPr>
                <w:color w:val="000000"/>
                <w:sz w:val="24"/>
              </w:rPr>
              <w:t>资产</w:t>
            </w:r>
          </w:p>
        </w:tc>
        <w:tc>
          <w:tcPr>
            <w:tcW w:w="2835"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9,734,643.25</w:t>
            </w:r>
          </w:p>
        </w:tc>
        <w:tc>
          <w:tcPr>
            <w:tcW w:w="1616"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1.32</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8</w:t>
            </w:r>
          </w:p>
        </w:tc>
        <w:tc>
          <w:tcPr>
            <w:tcW w:w="3357" w:type="dxa"/>
            <w:vAlign w:val="center"/>
          </w:tcPr>
          <w:p w:rsidR="00763A67" w:rsidRPr="00405493" w:rsidRDefault="00763A67" w:rsidP="009D139A">
            <w:pPr>
              <w:spacing w:before="29" w:line="288" w:lineRule="auto"/>
              <w:jc w:val="left"/>
              <w:rPr>
                <w:sz w:val="24"/>
              </w:rPr>
            </w:pPr>
            <w:r w:rsidRPr="00405493">
              <w:rPr>
                <w:color w:val="000000"/>
                <w:sz w:val="24"/>
              </w:rPr>
              <w:t>合计</w:t>
            </w:r>
          </w:p>
        </w:tc>
        <w:tc>
          <w:tcPr>
            <w:tcW w:w="2835"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735,862,491.78</w:t>
            </w:r>
          </w:p>
        </w:tc>
        <w:tc>
          <w:tcPr>
            <w:tcW w:w="1616"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100.00</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 xml:space="preserve">5.2 </w:t>
      </w:r>
      <w:r w:rsidRPr="00405493">
        <w:rPr>
          <w:b/>
          <w:color w:val="000000"/>
          <w:kern w:val="0"/>
          <w:sz w:val="24"/>
        </w:rPr>
        <w:t>报告期末按行业分类的股票投资组合</w:t>
      </w:r>
    </w:p>
    <w:p w:rsidR="00B47078" w:rsidRPr="00B47078" w:rsidRDefault="00B47078" w:rsidP="00B47078">
      <w:pPr>
        <w:autoSpaceDE w:val="0"/>
        <w:autoSpaceDN w:val="0"/>
        <w:adjustRightInd w:val="0"/>
        <w:spacing w:before="29" w:line="288" w:lineRule="auto"/>
        <w:jc w:val="left"/>
        <w:rPr>
          <w:rFonts w:eastAsiaTheme="minorEastAsia"/>
          <w:b/>
          <w:color w:val="000000"/>
          <w:kern w:val="0"/>
          <w:sz w:val="24"/>
        </w:rPr>
      </w:pPr>
      <w:r w:rsidRPr="00B47078">
        <w:rPr>
          <w:rFonts w:eastAsiaTheme="minorEastAsia" w:hint="eastAsia"/>
          <w:b/>
          <w:color w:val="000000"/>
          <w:kern w:val="0"/>
          <w:sz w:val="24"/>
        </w:rPr>
        <w:t>5.2.1</w:t>
      </w:r>
      <w:r w:rsidRPr="00B47078">
        <w:rPr>
          <w:rFonts w:eastAsiaTheme="minorEastAsia" w:hint="eastAsia"/>
          <w:b/>
          <w:color w:val="000000"/>
          <w:kern w:val="0"/>
          <w:sz w:val="24"/>
        </w:rPr>
        <w:t>报告期末按行业分类的境内股票投资组合</w:t>
      </w:r>
    </w:p>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904B29" w:rsidRPr="00904B29" w:rsidRDefault="00904B29" w:rsidP="00904B29">
      <w:pPr>
        <w:autoSpaceDE w:val="0"/>
        <w:autoSpaceDN w:val="0"/>
        <w:adjustRightInd w:val="0"/>
        <w:spacing w:before="29" w:line="288" w:lineRule="auto"/>
        <w:jc w:val="left"/>
        <w:rPr>
          <w:rFonts w:eastAsiaTheme="minorEastAsia"/>
          <w:b/>
          <w:color w:val="000000"/>
          <w:kern w:val="0"/>
          <w:sz w:val="24"/>
        </w:rPr>
      </w:pPr>
      <w:r w:rsidRPr="00904B29">
        <w:rPr>
          <w:rFonts w:eastAsiaTheme="minorEastAsia" w:hint="eastAsia"/>
          <w:b/>
          <w:color w:val="000000"/>
          <w:kern w:val="0"/>
          <w:sz w:val="24"/>
        </w:rPr>
        <w:t>5.</w:t>
      </w:r>
      <w:r w:rsidRPr="00904B29">
        <w:rPr>
          <w:rFonts w:eastAsiaTheme="minorEastAsia"/>
          <w:b/>
          <w:color w:val="000000"/>
          <w:kern w:val="0"/>
          <w:sz w:val="24"/>
        </w:rPr>
        <w:t>2</w:t>
      </w:r>
      <w:r w:rsidRPr="00904B29">
        <w:rPr>
          <w:rFonts w:eastAsiaTheme="minorEastAsia" w:hint="eastAsia"/>
          <w:b/>
          <w:color w:val="000000"/>
          <w:kern w:val="0"/>
          <w:sz w:val="24"/>
        </w:rPr>
        <w:t>.2</w:t>
      </w:r>
      <w:r w:rsidRPr="00904B29">
        <w:rPr>
          <w:rFonts w:eastAsiaTheme="minorEastAsia" w:hint="eastAsia"/>
          <w:b/>
          <w:color w:val="000000"/>
          <w:kern w:val="0"/>
          <w:sz w:val="24"/>
        </w:rPr>
        <w:t>报告期末按行业分类的沪港通投资股票投资组合</w:t>
      </w:r>
    </w:p>
    <w:p w:rsidR="00904B29" w:rsidRDefault="00904B29" w:rsidP="00904B29">
      <w:pPr>
        <w:spacing w:before="29" w:line="360" w:lineRule="auto"/>
        <w:ind w:left="17"/>
        <w:rPr>
          <w:color w:val="000000"/>
          <w:sz w:val="24"/>
        </w:rPr>
      </w:pPr>
      <w:r w:rsidRPr="00FF0BBF">
        <w:rPr>
          <w:color w:val="000000"/>
          <w:sz w:val="24"/>
        </w:rPr>
        <w:t>本基金本报告期末未持有通过沪港通投资的股票。</w:t>
      </w:r>
    </w:p>
    <w:p w:rsidR="00220542" w:rsidRPr="00904B29"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5.3 </w:t>
      </w:r>
      <w:r w:rsidRPr="00405493">
        <w:rPr>
          <w:b/>
          <w:color w:val="000000"/>
          <w:kern w:val="0"/>
          <w:sz w:val="24"/>
        </w:rPr>
        <w:t>报告期末按公允价值占基金资产净值比例大小排序的前十名股票投资明细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5.4 </w:t>
      </w:r>
      <w:r w:rsidRPr="00405493">
        <w:rPr>
          <w:b/>
          <w:color w:val="000000"/>
          <w:kern w:val="0"/>
          <w:sz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50"/>
        <w:gridCol w:w="3390"/>
        <w:gridCol w:w="2801"/>
        <w:gridCol w:w="1827"/>
      </w:tblGrid>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339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color w:val="000000"/>
                <w:sz w:val="24"/>
              </w:rPr>
              <w:t>债券品种</w:t>
            </w:r>
          </w:p>
        </w:tc>
        <w:tc>
          <w:tcPr>
            <w:tcW w:w="280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00CB73B2" w:rsidRPr="00405493">
              <w:rPr>
                <w:color w:val="000000"/>
                <w:kern w:val="0"/>
                <w:sz w:val="24"/>
              </w:rPr>
              <w:t>（元）</w:t>
            </w:r>
          </w:p>
        </w:tc>
        <w:tc>
          <w:tcPr>
            <w:tcW w:w="1827"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CB73B2" w:rsidRPr="00405493">
              <w:rPr>
                <w:color w:val="000000"/>
                <w:kern w:val="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1</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国家债券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2</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央行票据</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3</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金融债券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其中：政策性金融债</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4</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企业债券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449,626,790.90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98.56</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5</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企业短期融资</w:t>
            </w:r>
            <w:r w:rsidR="006739F5" w:rsidRPr="00405493">
              <w:rPr>
                <w:color w:val="000000"/>
                <w:sz w:val="24"/>
              </w:rPr>
              <w:t>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90,008,000.00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19.73</w:t>
            </w:r>
          </w:p>
        </w:tc>
      </w:tr>
      <w:tr w:rsidR="00840311" w:rsidRPr="00405493" w:rsidTr="004360F5">
        <w:trPr>
          <w:jc w:val="center"/>
        </w:trPr>
        <w:tc>
          <w:tcPr>
            <w:tcW w:w="850" w:type="dxa"/>
            <w:vAlign w:val="center"/>
          </w:tcPr>
          <w:p w:rsidR="00840311" w:rsidRPr="00405493" w:rsidRDefault="00840311" w:rsidP="009D139A">
            <w:pPr>
              <w:spacing w:before="29" w:line="288" w:lineRule="auto"/>
              <w:ind w:left="17"/>
              <w:jc w:val="center"/>
              <w:rPr>
                <w:rFonts w:eastAsiaTheme="minorEastAsia"/>
                <w:color w:val="000000"/>
                <w:sz w:val="24"/>
              </w:rPr>
            </w:pPr>
            <w:r w:rsidRPr="00405493">
              <w:rPr>
                <w:rFonts w:eastAsiaTheme="minorEastAsia"/>
                <w:color w:val="000000"/>
                <w:sz w:val="24"/>
              </w:rPr>
              <w:t>6</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中期票据</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101,143,000.00</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22.17</w:t>
            </w:r>
          </w:p>
        </w:tc>
      </w:tr>
      <w:tr w:rsidR="00840311" w:rsidRPr="00405493" w:rsidTr="004360F5">
        <w:trPr>
          <w:jc w:val="center"/>
        </w:trPr>
        <w:tc>
          <w:tcPr>
            <w:tcW w:w="850" w:type="dxa"/>
            <w:vAlign w:val="center"/>
          </w:tcPr>
          <w:p w:rsidR="00840311" w:rsidRPr="00405493" w:rsidRDefault="00840311" w:rsidP="009D139A">
            <w:pPr>
              <w:spacing w:before="29" w:line="288" w:lineRule="auto"/>
              <w:ind w:left="17"/>
              <w:jc w:val="center"/>
              <w:rPr>
                <w:rFonts w:eastAsiaTheme="minorEastAsia"/>
                <w:color w:val="000000"/>
                <w:sz w:val="24"/>
              </w:rPr>
            </w:pPr>
            <w:r w:rsidRPr="00405493">
              <w:rPr>
                <w:rFonts w:eastAsiaTheme="minorEastAsia"/>
                <w:color w:val="000000"/>
                <w:sz w:val="24"/>
              </w:rPr>
              <w:t>7</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可转债</w:t>
            </w:r>
            <w:r w:rsidR="00926032">
              <w:rPr>
                <w:rFonts w:hint="eastAsia"/>
                <w:sz w:val="24"/>
              </w:rPr>
              <w:t>（可交换债）</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4360F5" w:rsidRPr="00405493" w:rsidTr="00622A9C">
        <w:trPr>
          <w:jc w:val="center"/>
        </w:trPr>
        <w:tc>
          <w:tcPr>
            <w:tcW w:w="850" w:type="dxa"/>
            <w:vAlign w:val="center"/>
          </w:tcPr>
          <w:p w:rsidR="004360F5" w:rsidRPr="00A513A9" w:rsidRDefault="004360F5" w:rsidP="00622A9C">
            <w:pPr>
              <w:spacing w:before="29" w:line="288" w:lineRule="auto"/>
              <w:ind w:left="17"/>
              <w:jc w:val="center"/>
              <w:rPr>
                <w:rFonts w:eastAsiaTheme="minorEastAsia"/>
                <w:color w:val="000000"/>
                <w:sz w:val="24"/>
              </w:rPr>
            </w:pPr>
            <w:r w:rsidRPr="00A513A9">
              <w:rPr>
                <w:rFonts w:eastAsiaTheme="minorEastAsia" w:hint="eastAsia"/>
                <w:color w:val="000000"/>
                <w:sz w:val="24"/>
              </w:rPr>
              <w:t>8</w:t>
            </w:r>
          </w:p>
        </w:tc>
        <w:tc>
          <w:tcPr>
            <w:tcW w:w="3390" w:type="dxa"/>
            <w:vAlign w:val="center"/>
          </w:tcPr>
          <w:p w:rsidR="004360F5" w:rsidRPr="00A513A9" w:rsidRDefault="004360F5" w:rsidP="00622A9C">
            <w:pPr>
              <w:spacing w:before="29" w:line="288" w:lineRule="auto"/>
              <w:ind w:left="17"/>
              <w:jc w:val="left"/>
              <w:rPr>
                <w:rFonts w:eastAsiaTheme="minorEastAsia"/>
                <w:color w:val="000000"/>
                <w:sz w:val="24"/>
              </w:rPr>
            </w:pPr>
            <w:r w:rsidRPr="00A513A9">
              <w:rPr>
                <w:rFonts w:eastAsiaTheme="minorEastAsia" w:hint="eastAsia"/>
                <w:color w:val="000000"/>
                <w:sz w:val="24"/>
              </w:rPr>
              <w:t>同业存单</w:t>
            </w:r>
          </w:p>
        </w:tc>
        <w:tc>
          <w:tcPr>
            <w:tcW w:w="2801" w:type="dxa"/>
            <w:vAlign w:val="center"/>
          </w:tcPr>
          <w:p w:rsidR="004360F5" w:rsidRPr="00A513A9" w:rsidRDefault="004360F5" w:rsidP="00622A9C">
            <w:pPr>
              <w:spacing w:before="29" w:line="288" w:lineRule="auto"/>
              <w:ind w:left="17"/>
              <w:jc w:val="right"/>
              <w:rPr>
                <w:rFonts w:eastAsiaTheme="minorEastAsia"/>
                <w:color w:val="000000"/>
                <w:sz w:val="24"/>
              </w:rPr>
            </w:pPr>
            <w:r w:rsidRPr="00A513A9">
              <w:rPr>
                <w:rFonts w:eastAsiaTheme="minorEastAsia" w:hint="eastAsia"/>
                <w:color w:val="000000"/>
                <w:sz w:val="24"/>
              </w:rPr>
              <w:t>-</w:t>
            </w:r>
          </w:p>
        </w:tc>
        <w:tc>
          <w:tcPr>
            <w:tcW w:w="1827" w:type="dxa"/>
            <w:vAlign w:val="center"/>
          </w:tcPr>
          <w:p w:rsidR="004360F5" w:rsidRPr="00A513A9" w:rsidRDefault="004360F5" w:rsidP="00622A9C">
            <w:pPr>
              <w:spacing w:before="29" w:line="288" w:lineRule="auto"/>
              <w:ind w:left="17"/>
              <w:jc w:val="right"/>
              <w:rPr>
                <w:rFonts w:eastAsiaTheme="minorEastAsia"/>
                <w:color w:val="000000"/>
                <w:sz w:val="24"/>
              </w:rPr>
            </w:pPr>
            <w:r w:rsidRPr="00A513A9">
              <w:rPr>
                <w:rFonts w:eastAsiaTheme="minorEastAsia" w:hint="eastAsia"/>
                <w:color w:val="000000"/>
                <w:sz w:val="24"/>
              </w:rPr>
              <w:t>-</w:t>
            </w:r>
          </w:p>
        </w:tc>
      </w:tr>
      <w:tr w:rsidR="00840311" w:rsidRPr="00405493" w:rsidTr="004360F5">
        <w:trPr>
          <w:jc w:val="center"/>
        </w:trPr>
        <w:tc>
          <w:tcPr>
            <w:tcW w:w="850" w:type="dxa"/>
            <w:vAlign w:val="center"/>
          </w:tcPr>
          <w:p w:rsidR="00840311" w:rsidRPr="00405493" w:rsidRDefault="00840311" w:rsidP="004360F5">
            <w:pPr>
              <w:spacing w:before="29" w:line="288" w:lineRule="auto"/>
              <w:ind w:left="17"/>
              <w:jc w:val="center"/>
              <w:rPr>
                <w:rFonts w:eastAsiaTheme="minorEastAsia"/>
                <w:color w:val="000000"/>
                <w:sz w:val="24"/>
              </w:rPr>
            </w:pPr>
            <w:r w:rsidRPr="00405493">
              <w:rPr>
                <w:rFonts w:eastAsiaTheme="minorEastAsia"/>
                <w:color w:val="000000"/>
                <w:sz w:val="24"/>
              </w:rPr>
              <w:t>9</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其他</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840311" w:rsidRPr="00405493" w:rsidTr="004360F5">
        <w:trPr>
          <w:jc w:val="center"/>
        </w:trPr>
        <w:tc>
          <w:tcPr>
            <w:tcW w:w="850" w:type="dxa"/>
            <w:vAlign w:val="center"/>
          </w:tcPr>
          <w:p w:rsidR="00840311" w:rsidRPr="00405493" w:rsidRDefault="00840311" w:rsidP="004360F5">
            <w:pPr>
              <w:spacing w:before="29" w:line="288" w:lineRule="auto"/>
              <w:ind w:left="17"/>
              <w:jc w:val="center"/>
              <w:rPr>
                <w:rFonts w:eastAsiaTheme="minorEastAsia"/>
                <w:color w:val="000000"/>
                <w:sz w:val="24"/>
              </w:rPr>
            </w:pPr>
            <w:r w:rsidRPr="00405493">
              <w:rPr>
                <w:rFonts w:eastAsiaTheme="minorEastAsia"/>
                <w:color w:val="000000"/>
                <w:sz w:val="24"/>
              </w:rPr>
              <w:t>10</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合计</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640,777,790.90</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140.46</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5.5</w:t>
      </w:r>
      <w:r w:rsidR="005F5AFD" w:rsidRPr="00405493">
        <w:rPr>
          <w:rFonts w:eastAsiaTheme="minorEastAsia"/>
          <w:b/>
          <w:color w:val="000000"/>
          <w:kern w:val="0"/>
          <w:sz w:val="24"/>
        </w:rPr>
        <w:t xml:space="preserve"> </w:t>
      </w:r>
      <w:r w:rsidR="00A24611" w:rsidRPr="00405493">
        <w:rPr>
          <w:b/>
          <w:color w:val="000000"/>
          <w:kern w:val="0"/>
          <w:sz w:val="24"/>
        </w:rPr>
        <w:t>报告期末按公允价值占基金资产净值比例大小排序</w:t>
      </w:r>
      <w:r w:rsidRPr="00405493">
        <w:rPr>
          <w:b/>
          <w:color w:val="000000"/>
          <w:kern w:val="0"/>
          <w:sz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302"/>
        <w:gridCol w:w="1362"/>
        <w:gridCol w:w="1652"/>
        <w:gridCol w:w="1417"/>
        <w:gridCol w:w="1701"/>
        <w:gridCol w:w="1434"/>
      </w:tblGrid>
      <w:tr w:rsidR="009215BE" w:rsidRPr="00405493" w:rsidTr="00223099">
        <w:trPr>
          <w:jc w:val="center"/>
        </w:trPr>
        <w:tc>
          <w:tcPr>
            <w:tcW w:w="130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136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债券代码</w:t>
            </w:r>
          </w:p>
        </w:tc>
        <w:tc>
          <w:tcPr>
            <w:tcW w:w="165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债券名称</w:t>
            </w:r>
          </w:p>
        </w:tc>
        <w:tc>
          <w:tcPr>
            <w:tcW w:w="1417"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数量</w:t>
            </w:r>
            <w:r w:rsidR="00744454" w:rsidRPr="00405493">
              <w:rPr>
                <w:color w:val="000000"/>
                <w:kern w:val="0"/>
                <w:sz w:val="24"/>
              </w:rPr>
              <w:t>（张）</w:t>
            </w:r>
          </w:p>
        </w:tc>
        <w:tc>
          <w:tcPr>
            <w:tcW w:w="170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Pr="00405493">
              <w:rPr>
                <w:color w:val="000000"/>
                <w:sz w:val="24"/>
              </w:rPr>
              <w:t>(</w:t>
            </w:r>
            <w:r w:rsidRPr="00405493">
              <w:rPr>
                <w:color w:val="000000"/>
                <w:sz w:val="24"/>
              </w:rPr>
              <w:t>元</w:t>
            </w:r>
            <w:r w:rsidRPr="00405493">
              <w:rPr>
                <w:color w:val="000000"/>
                <w:sz w:val="24"/>
              </w:rPr>
              <w:t>)</w:t>
            </w:r>
          </w:p>
        </w:tc>
        <w:tc>
          <w:tcPr>
            <w:tcW w:w="1434"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FB4554" w:rsidRPr="00405493">
              <w:rPr>
                <w:color w:val="000000"/>
                <w:kern w:val="0"/>
                <w:sz w:val="24"/>
              </w:rPr>
              <w:t>（％）</w:t>
            </w:r>
          </w:p>
        </w:tc>
      </w:tr>
      <w:tr w:rsidR="00A07731">
        <w:trPr>
          <w:jc w:val="center"/>
        </w:trPr>
        <w:tc>
          <w:tcPr>
            <w:tcW w:w="1302" w:type="dxa"/>
            <w:vAlign w:val="center"/>
          </w:tcPr>
          <w:p w:rsidR="00A07731" w:rsidRDefault="00E1390B">
            <w:pPr>
              <w:jc w:val="center"/>
            </w:pPr>
            <w:r>
              <w:rPr>
                <w:rFonts w:eastAsiaTheme="minorEastAsia"/>
                <w:color w:val="000000"/>
                <w:sz w:val="24"/>
              </w:rPr>
              <w:t>1</w:t>
            </w:r>
          </w:p>
        </w:tc>
        <w:tc>
          <w:tcPr>
            <w:tcW w:w="1362" w:type="dxa"/>
            <w:vAlign w:val="center"/>
          </w:tcPr>
          <w:p w:rsidR="00A07731" w:rsidRDefault="00E1390B">
            <w:pPr>
              <w:jc w:val="center"/>
            </w:pPr>
            <w:r>
              <w:rPr>
                <w:rFonts w:eastAsiaTheme="minorEastAsia"/>
                <w:color w:val="000000"/>
                <w:sz w:val="24"/>
              </w:rPr>
              <w:t>136213</w:t>
            </w:r>
          </w:p>
        </w:tc>
        <w:tc>
          <w:tcPr>
            <w:tcW w:w="1652" w:type="dxa"/>
            <w:vAlign w:val="center"/>
          </w:tcPr>
          <w:p w:rsidR="00A07731" w:rsidRDefault="00E1390B">
            <w:pPr>
              <w:jc w:val="center"/>
            </w:pPr>
            <w:r>
              <w:rPr>
                <w:rFonts w:eastAsiaTheme="minorEastAsia"/>
                <w:color w:val="000000"/>
                <w:sz w:val="24"/>
              </w:rPr>
              <w:t>16</w:t>
            </w:r>
            <w:r>
              <w:rPr>
                <w:rFonts w:eastAsiaTheme="minorEastAsia"/>
                <w:color w:val="000000"/>
                <w:sz w:val="24"/>
              </w:rPr>
              <w:t>晋建发</w:t>
            </w:r>
          </w:p>
        </w:tc>
        <w:tc>
          <w:tcPr>
            <w:tcW w:w="1417" w:type="dxa"/>
            <w:vAlign w:val="center"/>
          </w:tcPr>
          <w:p w:rsidR="00A07731" w:rsidRDefault="00E1390B">
            <w:pPr>
              <w:jc w:val="right"/>
            </w:pPr>
            <w:r>
              <w:rPr>
                <w:rFonts w:eastAsiaTheme="minorEastAsia"/>
                <w:color w:val="000000"/>
                <w:sz w:val="24"/>
              </w:rPr>
              <w:t>400,000</w:t>
            </w:r>
          </w:p>
        </w:tc>
        <w:tc>
          <w:tcPr>
            <w:tcW w:w="1701" w:type="dxa"/>
            <w:vAlign w:val="center"/>
          </w:tcPr>
          <w:p w:rsidR="00A07731" w:rsidRDefault="00E1390B">
            <w:pPr>
              <w:jc w:val="right"/>
            </w:pPr>
            <w:r>
              <w:rPr>
                <w:rFonts w:eastAsiaTheme="minorEastAsia"/>
                <w:color w:val="000000"/>
                <w:sz w:val="24"/>
              </w:rPr>
              <w:t>41,160,000.00</w:t>
            </w:r>
          </w:p>
        </w:tc>
        <w:tc>
          <w:tcPr>
            <w:tcW w:w="1434" w:type="dxa"/>
            <w:vAlign w:val="center"/>
          </w:tcPr>
          <w:p w:rsidR="00A07731" w:rsidRDefault="00E1390B">
            <w:pPr>
              <w:jc w:val="right"/>
            </w:pPr>
            <w:r>
              <w:rPr>
                <w:rFonts w:eastAsiaTheme="minorEastAsia"/>
                <w:color w:val="000000"/>
                <w:sz w:val="24"/>
              </w:rPr>
              <w:t>9.02</w:t>
            </w:r>
          </w:p>
        </w:tc>
      </w:tr>
      <w:tr w:rsidR="00A07731">
        <w:trPr>
          <w:jc w:val="center"/>
        </w:trPr>
        <w:tc>
          <w:tcPr>
            <w:tcW w:w="1302" w:type="dxa"/>
            <w:vAlign w:val="center"/>
          </w:tcPr>
          <w:p w:rsidR="00A07731" w:rsidRDefault="00E1390B">
            <w:pPr>
              <w:jc w:val="center"/>
            </w:pPr>
            <w:r>
              <w:rPr>
                <w:rFonts w:eastAsiaTheme="minorEastAsia"/>
                <w:color w:val="000000"/>
                <w:sz w:val="24"/>
              </w:rPr>
              <w:t>2</w:t>
            </w:r>
          </w:p>
        </w:tc>
        <w:tc>
          <w:tcPr>
            <w:tcW w:w="1362" w:type="dxa"/>
            <w:vAlign w:val="center"/>
          </w:tcPr>
          <w:p w:rsidR="00A07731" w:rsidRDefault="00E1390B">
            <w:pPr>
              <w:jc w:val="center"/>
            </w:pPr>
            <w:r>
              <w:rPr>
                <w:rFonts w:eastAsiaTheme="minorEastAsia"/>
                <w:color w:val="000000"/>
                <w:sz w:val="24"/>
              </w:rPr>
              <w:t>112312</w:t>
            </w:r>
          </w:p>
        </w:tc>
        <w:tc>
          <w:tcPr>
            <w:tcW w:w="1652" w:type="dxa"/>
            <w:vAlign w:val="center"/>
          </w:tcPr>
          <w:p w:rsidR="00A07731" w:rsidRDefault="00E1390B">
            <w:pPr>
              <w:jc w:val="center"/>
            </w:pPr>
            <w:r>
              <w:rPr>
                <w:rFonts w:eastAsiaTheme="minorEastAsia"/>
                <w:color w:val="000000"/>
                <w:sz w:val="24"/>
              </w:rPr>
              <w:t>16</w:t>
            </w:r>
            <w:r>
              <w:rPr>
                <w:rFonts w:eastAsiaTheme="minorEastAsia"/>
                <w:color w:val="000000"/>
                <w:sz w:val="24"/>
              </w:rPr>
              <w:t>徐工</w:t>
            </w:r>
            <w:r>
              <w:rPr>
                <w:rFonts w:eastAsiaTheme="minorEastAsia"/>
                <w:color w:val="000000"/>
                <w:sz w:val="24"/>
              </w:rPr>
              <w:t>01</w:t>
            </w:r>
          </w:p>
        </w:tc>
        <w:tc>
          <w:tcPr>
            <w:tcW w:w="1417" w:type="dxa"/>
            <w:vAlign w:val="center"/>
          </w:tcPr>
          <w:p w:rsidR="00A07731" w:rsidRDefault="00E1390B">
            <w:pPr>
              <w:jc w:val="right"/>
            </w:pPr>
            <w:r>
              <w:rPr>
                <w:rFonts w:eastAsiaTheme="minorEastAsia"/>
                <w:color w:val="000000"/>
                <w:sz w:val="24"/>
              </w:rPr>
              <w:t>400,000</w:t>
            </w:r>
          </w:p>
        </w:tc>
        <w:tc>
          <w:tcPr>
            <w:tcW w:w="1701" w:type="dxa"/>
            <w:vAlign w:val="center"/>
          </w:tcPr>
          <w:p w:rsidR="00A07731" w:rsidRDefault="00E1390B">
            <w:pPr>
              <w:jc w:val="right"/>
            </w:pPr>
            <w:r>
              <w:rPr>
                <w:rFonts w:eastAsiaTheme="minorEastAsia"/>
                <w:color w:val="000000"/>
                <w:sz w:val="24"/>
              </w:rPr>
              <w:t>40,700,000.00</w:t>
            </w:r>
          </w:p>
        </w:tc>
        <w:tc>
          <w:tcPr>
            <w:tcW w:w="1434" w:type="dxa"/>
            <w:vAlign w:val="center"/>
          </w:tcPr>
          <w:p w:rsidR="00A07731" w:rsidRDefault="00E1390B">
            <w:pPr>
              <w:jc w:val="right"/>
            </w:pPr>
            <w:r>
              <w:rPr>
                <w:rFonts w:eastAsiaTheme="minorEastAsia"/>
                <w:color w:val="000000"/>
                <w:sz w:val="24"/>
              </w:rPr>
              <w:t>8.92</w:t>
            </w:r>
          </w:p>
        </w:tc>
      </w:tr>
      <w:tr w:rsidR="00A07731">
        <w:trPr>
          <w:jc w:val="center"/>
        </w:trPr>
        <w:tc>
          <w:tcPr>
            <w:tcW w:w="1302" w:type="dxa"/>
            <w:vAlign w:val="center"/>
          </w:tcPr>
          <w:p w:rsidR="00A07731" w:rsidRDefault="00E1390B">
            <w:pPr>
              <w:jc w:val="center"/>
            </w:pPr>
            <w:r>
              <w:rPr>
                <w:rFonts w:eastAsiaTheme="minorEastAsia"/>
                <w:color w:val="000000"/>
                <w:sz w:val="24"/>
              </w:rPr>
              <w:t>3</w:t>
            </w:r>
          </w:p>
        </w:tc>
        <w:tc>
          <w:tcPr>
            <w:tcW w:w="1362" w:type="dxa"/>
            <w:vAlign w:val="center"/>
          </w:tcPr>
          <w:p w:rsidR="00A07731" w:rsidRDefault="00E1390B">
            <w:pPr>
              <w:jc w:val="center"/>
            </w:pPr>
            <w:r>
              <w:rPr>
                <w:rFonts w:eastAsiaTheme="minorEastAsia"/>
                <w:color w:val="000000"/>
                <w:sz w:val="24"/>
              </w:rPr>
              <w:t>136449</w:t>
            </w:r>
          </w:p>
        </w:tc>
        <w:tc>
          <w:tcPr>
            <w:tcW w:w="1652" w:type="dxa"/>
            <w:vAlign w:val="center"/>
          </w:tcPr>
          <w:p w:rsidR="00A07731" w:rsidRDefault="00E1390B">
            <w:pPr>
              <w:jc w:val="center"/>
            </w:pPr>
            <w:r>
              <w:rPr>
                <w:rFonts w:eastAsiaTheme="minorEastAsia"/>
                <w:color w:val="000000"/>
                <w:sz w:val="24"/>
              </w:rPr>
              <w:t>16</w:t>
            </w:r>
            <w:r>
              <w:rPr>
                <w:rFonts w:eastAsiaTheme="minorEastAsia"/>
                <w:color w:val="000000"/>
                <w:sz w:val="24"/>
              </w:rPr>
              <w:t>油服</w:t>
            </w:r>
            <w:r>
              <w:rPr>
                <w:rFonts w:eastAsiaTheme="minorEastAsia"/>
                <w:color w:val="000000"/>
                <w:sz w:val="24"/>
              </w:rPr>
              <w:t>01</w:t>
            </w:r>
          </w:p>
        </w:tc>
        <w:tc>
          <w:tcPr>
            <w:tcW w:w="1417" w:type="dxa"/>
            <w:vAlign w:val="center"/>
          </w:tcPr>
          <w:p w:rsidR="00A07731" w:rsidRDefault="00E1390B">
            <w:pPr>
              <w:jc w:val="right"/>
            </w:pPr>
            <w:r>
              <w:rPr>
                <w:rFonts w:eastAsiaTheme="minorEastAsia"/>
                <w:color w:val="000000"/>
                <w:sz w:val="24"/>
              </w:rPr>
              <w:t>400,000</w:t>
            </w:r>
          </w:p>
        </w:tc>
        <w:tc>
          <w:tcPr>
            <w:tcW w:w="1701" w:type="dxa"/>
            <w:vAlign w:val="center"/>
          </w:tcPr>
          <w:p w:rsidR="00A07731" w:rsidRDefault="00E1390B">
            <w:pPr>
              <w:jc w:val="right"/>
            </w:pPr>
            <w:r>
              <w:rPr>
                <w:rFonts w:eastAsiaTheme="minorEastAsia"/>
                <w:color w:val="000000"/>
                <w:sz w:val="24"/>
              </w:rPr>
              <w:t>40,476,000.00</w:t>
            </w:r>
          </w:p>
        </w:tc>
        <w:tc>
          <w:tcPr>
            <w:tcW w:w="1434" w:type="dxa"/>
            <w:vAlign w:val="center"/>
          </w:tcPr>
          <w:p w:rsidR="00A07731" w:rsidRDefault="00E1390B">
            <w:pPr>
              <w:jc w:val="right"/>
            </w:pPr>
            <w:r>
              <w:rPr>
                <w:rFonts w:eastAsiaTheme="minorEastAsia"/>
                <w:color w:val="000000"/>
                <w:sz w:val="24"/>
              </w:rPr>
              <w:t>8.87</w:t>
            </w:r>
          </w:p>
        </w:tc>
      </w:tr>
      <w:tr w:rsidR="00A07731">
        <w:trPr>
          <w:jc w:val="center"/>
        </w:trPr>
        <w:tc>
          <w:tcPr>
            <w:tcW w:w="1302" w:type="dxa"/>
            <w:vAlign w:val="center"/>
          </w:tcPr>
          <w:p w:rsidR="00A07731" w:rsidRDefault="00E1390B">
            <w:pPr>
              <w:jc w:val="center"/>
            </w:pPr>
            <w:r>
              <w:rPr>
                <w:rFonts w:eastAsiaTheme="minorEastAsia"/>
                <w:color w:val="000000"/>
                <w:sz w:val="24"/>
              </w:rPr>
              <w:t>4</w:t>
            </w:r>
          </w:p>
        </w:tc>
        <w:tc>
          <w:tcPr>
            <w:tcW w:w="1362" w:type="dxa"/>
            <w:vAlign w:val="center"/>
          </w:tcPr>
          <w:p w:rsidR="00A07731" w:rsidRDefault="00E1390B">
            <w:pPr>
              <w:jc w:val="center"/>
            </w:pPr>
            <w:r>
              <w:rPr>
                <w:rFonts w:eastAsiaTheme="minorEastAsia"/>
                <w:color w:val="000000"/>
                <w:sz w:val="24"/>
              </w:rPr>
              <w:t>136185</w:t>
            </w:r>
          </w:p>
        </w:tc>
        <w:tc>
          <w:tcPr>
            <w:tcW w:w="1652" w:type="dxa"/>
            <w:vAlign w:val="center"/>
          </w:tcPr>
          <w:p w:rsidR="00A07731" w:rsidRDefault="00E1390B">
            <w:pPr>
              <w:jc w:val="center"/>
            </w:pPr>
            <w:r>
              <w:rPr>
                <w:rFonts w:eastAsiaTheme="minorEastAsia"/>
                <w:color w:val="000000"/>
                <w:sz w:val="24"/>
              </w:rPr>
              <w:t>16</w:t>
            </w:r>
            <w:r>
              <w:rPr>
                <w:rFonts w:eastAsiaTheme="minorEastAsia"/>
                <w:color w:val="000000"/>
                <w:sz w:val="24"/>
              </w:rPr>
              <w:t>国发</w:t>
            </w:r>
            <w:r>
              <w:rPr>
                <w:rFonts w:eastAsiaTheme="minorEastAsia"/>
                <w:color w:val="000000"/>
                <w:sz w:val="24"/>
              </w:rPr>
              <w:t>01</w:t>
            </w:r>
          </w:p>
        </w:tc>
        <w:tc>
          <w:tcPr>
            <w:tcW w:w="1417" w:type="dxa"/>
            <w:vAlign w:val="center"/>
          </w:tcPr>
          <w:p w:rsidR="00A07731" w:rsidRDefault="00E1390B">
            <w:pPr>
              <w:jc w:val="right"/>
            </w:pPr>
            <w:r>
              <w:rPr>
                <w:rFonts w:eastAsiaTheme="minorEastAsia"/>
                <w:color w:val="000000"/>
                <w:sz w:val="24"/>
              </w:rPr>
              <w:t>400,000</w:t>
            </w:r>
          </w:p>
        </w:tc>
        <w:tc>
          <w:tcPr>
            <w:tcW w:w="1701" w:type="dxa"/>
            <w:vAlign w:val="center"/>
          </w:tcPr>
          <w:p w:rsidR="00A07731" w:rsidRDefault="00E1390B">
            <w:pPr>
              <w:jc w:val="right"/>
            </w:pPr>
            <w:r>
              <w:rPr>
                <w:rFonts w:eastAsiaTheme="minorEastAsia"/>
                <w:color w:val="000000"/>
                <w:sz w:val="24"/>
              </w:rPr>
              <w:t>40,468,000.00</w:t>
            </w:r>
          </w:p>
        </w:tc>
        <w:tc>
          <w:tcPr>
            <w:tcW w:w="1434" w:type="dxa"/>
            <w:vAlign w:val="center"/>
          </w:tcPr>
          <w:p w:rsidR="00A07731" w:rsidRDefault="00E1390B">
            <w:pPr>
              <w:jc w:val="right"/>
            </w:pPr>
            <w:r>
              <w:rPr>
                <w:rFonts w:eastAsiaTheme="minorEastAsia"/>
                <w:color w:val="000000"/>
                <w:sz w:val="24"/>
              </w:rPr>
              <w:t>8.87</w:t>
            </w:r>
          </w:p>
        </w:tc>
      </w:tr>
      <w:tr w:rsidR="00A07731">
        <w:trPr>
          <w:jc w:val="center"/>
        </w:trPr>
        <w:tc>
          <w:tcPr>
            <w:tcW w:w="1302" w:type="dxa"/>
            <w:vAlign w:val="center"/>
          </w:tcPr>
          <w:p w:rsidR="00A07731" w:rsidRDefault="00E1390B">
            <w:pPr>
              <w:jc w:val="center"/>
            </w:pPr>
            <w:r>
              <w:rPr>
                <w:rFonts w:eastAsiaTheme="minorEastAsia"/>
                <w:color w:val="000000"/>
                <w:sz w:val="24"/>
              </w:rPr>
              <w:t>5</w:t>
            </w:r>
          </w:p>
        </w:tc>
        <w:tc>
          <w:tcPr>
            <w:tcW w:w="1362" w:type="dxa"/>
            <w:vAlign w:val="center"/>
          </w:tcPr>
          <w:p w:rsidR="00A07731" w:rsidRDefault="00E1390B">
            <w:pPr>
              <w:jc w:val="center"/>
            </w:pPr>
            <w:r>
              <w:rPr>
                <w:rFonts w:eastAsiaTheme="minorEastAsia"/>
                <w:color w:val="000000"/>
                <w:sz w:val="24"/>
              </w:rPr>
              <w:t>136637</w:t>
            </w:r>
          </w:p>
        </w:tc>
        <w:tc>
          <w:tcPr>
            <w:tcW w:w="1652" w:type="dxa"/>
            <w:vAlign w:val="center"/>
          </w:tcPr>
          <w:p w:rsidR="00A07731" w:rsidRDefault="00E1390B">
            <w:pPr>
              <w:jc w:val="center"/>
            </w:pPr>
            <w:r>
              <w:rPr>
                <w:rFonts w:eastAsiaTheme="minorEastAsia"/>
                <w:color w:val="000000"/>
                <w:sz w:val="24"/>
              </w:rPr>
              <w:t>16</w:t>
            </w:r>
            <w:r>
              <w:rPr>
                <w:rFonts w:eastAsiaTheme="minorEastAsia"/>
                <w:color w:val="000000"/>
                <w:sz w:val="24"/>
              </w:rPr>
              <w:t>巨化</w:t>
            </w:r>
            <w:r>
              <w:rPr>
                <w:rFonts w:eastAsiaTheme="minorEastAsia"/>
                <w:color w:val="000000"/>
                <w:sz w:val="24"/>
              </w:rPr>
              <w:t>01</w:t>
            </w:r>
          </w:p>
        </w:tc>
        <w:tc>
          <w:tcPr>
            <w:tcW w:w="1417" w:type="dxa"/>
            <w:vAlign w:val="center"/>
          </w:tcPr>
          <w:p w:rsidR="00A07731" w:rsidRDefault="00E1390B">
            <w:pPr>
              <w:jc w:val="right"/>
            </w:pPr>
            <w:r>
              <w:rPr>
                <w:rFonts w:eastAsiaTheme="minorEastAsia"/>
                <w:color w:val="000000"/>
                <w:sz w:val="24"/>
              </w:rPr>
              <w:t>400,000</w:t>
            </w:r>
          </w:p>
        </w:tc>
        <w:tc>
          <w:tcPr>
            <w:tcW w:w="1701" w:type="dxa"/>
            <w:vAlign w:val="center"/>
          </w:tcPr>
          <w:p w:rsidR="00A07731" w:rsidRDefault="00E1390B">
            <w:pPr>
              <w:jc w:val="right"/>
            </w:pPr>
            <w:r>
              <w:rPr>
                <w:rFonts w:eastAsiaTheme="minorEastAsia"/>
                <w:color w:val="000000"/>
                <w:sz w:val="24"/>
              </w:rPr>
              <w:t>40,252,000.00</w:t>
            </w:r>
          </w:p>
        </w:tc>
        <w:tc>
          <w:tcPr>
            <w:tcW w:w="1434" w:type="dxa"/>
            <w:vAlign w:val="center"/>
          </w:tcPr>
          <w:p w:rsidR="00A07731" w:rsidRDefault="00E1390B">
            <w:pPr>
              <w:jc w:val="right"/>
            </w:pPr>
            <w:r>
              <w:rPr>
                <w:rFonts w:eastAsiaTheme="minorEastAsia"/>
                <w:color w:val="000000"/>
                <w:sz w:val="24"/>
              </w:rPr>
              <w:t>8.82</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5.6</w:t>
      </w:r>
      <w:r w:rsidR="008C32E4" w:rsidRPr="00405493">
        <w:rPr>
          <w:rFonts w:eastAsiaTheme="minorEastAsia"/>
          <w:b/>
          <w:color w:val="000000"/>
          <w:kern w:val="0"/>
          <w:sz w:val="24"/>
        </w:rPr>
        <w:t xml:space="preserve"> </w:t>
      </w:r>
      <w:r w:rsidRPr="00405493">
        <w:rPr>
          <w:b/>
          <w:color w:val="000000"/>
          <w:kern w:val="0"/>
          <w:sz w:val="24"/>
        </w:rPr>
        <w:t>报告期末按公允价值占基金资产净值比例大小排</w:t>
      </w:r>
      <w:r w:rsidR="00A24611" w:rsidRPr="00405493">
        <w:rPr>
          <w:b/>
          <w:color w:val="000000"/>
          <w:kern w:val="0"/>
          <w:sz w:val="24"/>
        </w:rPr>
        <w:t>序</w:t>
      </w:r>
      <w:r w:rsidRPr="00405493">
        <w:rPr>
          <w:b/>
          <w:color w:val="000000"/>
          <w:kern w:val="0"/>
          <w:sz w:val="24"/>
        </w:rPr>
        <w:t>的前十名资产支持证券投资明细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286"/>
        <w:gridCol w:w="1332"/>
        <w:gridCol w:w="1313"/>
        <w:gridCol w:w="1571"/>
        <w:gridCol w:w="1670"/>
        <w:gridCol w:w="1696"/>
      </w:tblGrid>
      <w:tr w:rsidR="009215BE" w:rsidRPr="00405493" w:rsidTr="007066A0">
        <w:trPr>
          <w:jc w:val="center"/>
        </w:trPr>
        <w:tc>
          <w:tcPr>
            <w:tcW w:w="1236"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128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证券代码</w:t>
            </w:r>
          </w:p>
        </w:tc>
        <w:tc>
          <w:tcPr>
            <w:tcW w:w="1263"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证券名称</w:t>
            </w:r>
          </w:p>
        </w:tc>
        <w:tc>
          <w:tcPr>
            <w:tcW w:w="151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数量</w:t>
            </w:r>
            <w:r w:rsidR="003C2E0F" w:rsidRPr="00405493">
              <w:rPr>
                <w:color w:val="000000"/>
                <w:sz w:val="24"/>
              </w:rPr>
              <w:t>（份）</w:t>
            </w:r>
          </w:p>
        </w:tc>
        <w:tc>
          <w:tcPr>
            <w:tcW w:w="1606"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Pr="00405493">
              <w:rPr>
                <w:color w:val="000000"/>
                <w:sz w:val="24"/>
              </w:rPr>
              <w:t>(</w:t>
            </w:r>
            <w:r w:rsidRPr="00405493">
              <w:rPr>
                <w:color w:val="000000"/>
                <w:sz w:val="24"/>
              </w:rPr>
              <w:t>元</w:t>
            </w:r>
            <w:r w:rsidRPr="00405493">
              <w:rPr>
                <w:color w:val="000000"/>
                <w:sz w:val="24"/>
              </w:rPr>
              <w:t>)</w:t>
            </w:r>
          </w:p>
        </w:tc>
        <w:tc>
          <w:tcPr>
            <w:tcW w:w="163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D43E3E" w:rsidRPr="00405493">
              <w:rPr>
                <w:color w:val="000000"/>
                <w:sz w:val="24"/>
              </w:rPr>
              <w:t>（％）</w:t>
            </w:r>
          </w:p>
        </w:tc>
      </w:tr>
      <w:tr w:rsidR="00A07731">
        <w:trPr>
          <w:jc w:val="center"/>
        </w:trPr>
        <w:tc>
          <w:tcPr>
            <w:tcW w:w="1286" w:type="dxa"/>
            <w:vAlign w:val="center"/>
          </w:tcPr>
          <w:p w:rsidR="00A07731" w:rsidRDefault="00E1390B">
            <w:pPr>
              <w:jc w:val="center"/>
            </w:pPr>
            <w:r>
              <w:rPr>
                <w:rFonts w:eastAsiaTheme="minorEastAsia"/>
                <w:color w:val="000000"/>
                <w:sz w:val="24"/>
              </w:rPr>
              <w:t>1</w:t>
            </w:r>
          </w:p>
        </w:tc>
        <w:tc>
          <w:tcPr>
            <w:tcW w:w="1332" w:type="dxa"/>
            <w:vAlign w:val="center"/>
          </w:tcPr>
          <w:p w:rsidR="00A07731" w:rsidRDefault="00E1390B">
            <w:pPr>
              <w:jc w:val="center"/>
            </w:pPr>
            <w:r>
              <w:rPr>
                <w:rFonts w:eastAsiaTheme="minorEastAsia"/>
                <w:color w:val="000000"/>
                <w:sz w:val="24"/>
              </w:rPr>
              <w:t>G0000G</w:t>
            </w:r>
          </w:p>
        </w:tc>
        <w:tc>
          <w:tcPr>
            <w:tcW w:w="1313" w:type="dxa"/>
            <w:vAlign w:val="center"/>
          </w:tcPr>
          <w:p w:rsidR="00A07731" w:rsidRDefault="00E1390B">
            <w:pPr>
              <w:jc w:val="center"/>
            </w:pPr>
            <w:r>
              <w:rPr>
                <w:rFonts w:eastAsiaTheme="minorEastAsia"/>
                <w:color w:val="000000"/>
                <w:sz w:val="24"/>
              </w:rPr>
              <w:t>16</w:t>
            </w:r>
            <w:r>
              <w:rPr>
                <w:rFonts w:eastAsiaTheme="minorEastAsia"/>
                <w:color w:val="000000"/>
                <w:sz w:val="24"/>
              </w:rPr>
              <w:t>福碧</w:t>
            </w:r>
            <w:r>
              <w:rPr>
                <w:rFonts w:eastAsiaTheme="minorEastAsia"/>
                <w:color w:val="000000"/>
                <w:sz w:val="24"/>
              </w:rPr>
              <w:t>A2</w:t>
            </w:r>
          </w:p>
        </w:tc>
        <w:tc>
          <w:tcPr>
            <w:tcW w:w="1571" w:type="dxa"/>
            <w:vAlign w:val="center"/>
          </w:tcPr>
          <w:p w:rsidR="00A07731" w:rsidRDefault="00E1390B">
            <w:pPr>
              <w:jc w:val="right"/>
            </w:pPr>
            <w:r>
              <w:rPr>
                <w:rFonts w:eastAsiaTheme="minorEastAsia"/>
                <w:color w:val="000000"/>
                <w:sz w:val="24"/>
              </w:rPr>
              <w:t>400,000</w:t>
            </w:r>
          </w:p>
        </w:tc>
        <w:tc>
          <w:tcPr>
            <w:tcW w:w="1670" w:type="dxa"/>
            <w:vAlign w:val="center"/>
          </w:tcPr>
          <w:p w:rsidR="00A07731" w:rsidRDefault="00E1390B">
            <w:pPr>
              <w:jc w:val="right"/>
            </w:pPr>
            <w:r>
              <w:rPr>
                <w:rFonts w:eastAsiaTheme="minorEastAsia"/>
                <w:color w:val="000000"/>
                <w:sz w:val="24"/>
              </w:rPr>
              <w:t>40,000,000.00</w:t>
            </w:r>
          </w:p>
        </w:tc>
        <w:tc>
          <w:tcPr>
            <w:tcW w:w="1696" w:type="dxa"/>
            <w:vAlign w:val="center"/>
          </w:tcPr>
          <w:p w:rsidR="00A07731" w:rsidRDefault="00E1390B">
            <w:pPr>
              <w:jc w:val="right"/>
            </w:pPr>
            <w:r>
              <w:rPr>
                <w:rFonts w:eastAsiaTheme="minorEastAsia"/>
                <w:color w:val="000000"/>
                <w:sz w:val="24"/>
              </w:rPr>
              <w:t>8.77</w:t>
            </w:r>
          </w:p>
        </w:tc>
      </w:tr>
      <w:tr w:rsidR="00A07731">
        <w:trPr>
          <w:jc w:val="center"/>
        </w:trPr>
        <w:tc>
          <w:tcPr>
            <w:tcW w:w="1286" w:type="dxa"/>
            <w:vAlign w:val="center"/>
          </w:tcPr>
          <w:p w:rsidR="00A07731" w:rsidRDefault="00E1390B">
            <w:pPr>
              <w:jc w:val="center"/>
            </w:pPr>
            <w:r>
              <w:rPr>
                <w:rFonts w:eastAsiaTheme="minorEastAsia"/>
                <w:color w:val="000000"/>
                <w:sz w:val="24"/>
              </w:rPr>
              <w:t>2</w:t>
            </w:r>
          </w:p>
        </w:tc>
        <w:tc>
          <w:tcPr>
            <w:tcW w:w="1332" w:type="dxa"/>
            <w:vAlign w:val="center"/>
          </w:tcPr>
          <w:p w:rsidR="00A07731" w:rsidRDefault="00E1390B">
            <w:pPr>
              <w:jc w:val="center"/>
            </w:pPr>
            <w:r>
              <w:rPr>
                <w:rFonts w:eastAsiaTheme="minorEastAsia"/>
                <w:color w:val="000000"/>
                <w:sz w:val="24"/>
              </w:rPr>
              <w:t>131925</w:t>
            </w:r>
          </w:p>
        </w:tc>
        <w:tc>
          <w:tcPr>
            <w:tcW w:w="1313" w:type="dxa"/>
            <w:vAlign w:val="center"/>
          </w:tcPr>
          <w:p w:rsidR="00A07731" w:rsidRDefault="00E1390B">
            <w:pPr>
              <w:jc w:val="center"/>
            </w:pPr>
            <w:r>
              <w:rPr>
                <w:rFonts w:eastAsiaTheme="minorEastAsia"/>
                <w:color w:val="000000"/>
                <w:sz w:val="24"/>
              </w:rPr>
              <w:t>平安贰</w:t>
            </w:r>
            <w:r>
              <w:rPr>
                <w:rFonts w:eastAsiaTheme="minorEastAsia"/>
                <w:color w:val="000000"/>
                <w:sz w:val="24"/>
              </w:rPr>
              <w:t>B</w:t>
            </w:r>
          </w:p>
        </w:tc>
        <w:tc>
          <w:tcPr>
            <w:tcW w:w="1571" w:type="dxa"/>
            <w:vAlign w:val="center"/>
          </w:tcPr>
          <w:p w:rsidR="00A07731" w:rsidRDefault="00E1390B">
            <w:pPr>
              <w:jc w:val="right"/>
            </w:pPr>
            <w:r>
              <w:rPr>
                <w:rFonts w:eastAsiaTheme="minorEastAsia"/>
                <w:color w:val="000000"/>
                <w:sz w:val="24"/>
              </w:rPr>
              <w:t>200,000</w:t>
            </w:r>
          </w:p>
        </w:tc>
        <w:tc>
          <w:tcPr>
            <w:tcW w:w="1670" w:type="dxa"/>
            <w:vAlign w:val="center"/>
          </w:tcPr>
          <w:p w:rsidR="00A07731" w:rsidRDefault="00E1390B">
            <w:pPr>
              <w:jc w:val="right"/>
            </w:pPr>
            <w:r>
              <w:rPr>
                <w:rFonts w:eastAsiaTheme="minorEastAsia"/>
                <w:color w:val="000000"/>
                <w:sz w:val="24"/>
              </w:rPr>
              <w:t>20,000,000.00</w:t>
            </w:r>
          </w:p>
        </w:tc>
        <w:tc>
          <w:tcPr>
            <w:tcW w:w="1696" w:type="dxa"/>
            <w:vAlign w:val="center"/>
          </w:tcPr>
          <w:p w:rsidR="00A07731" w:rsidRDefault="00E1390B">
            <w:pPr>
              <w:jc w:val="right"/>
            </w:pPr>
            <w:r>
              <w:rPr>
                <w:rFonts w:eastAsiaTheme="minorEastAsia"/>
                <w:color w:val="000000"/>
                <w:sz w:val="24"/>
              </w:rPr>
              <w:t>4.38</w:t>
            </w:r>
          </w:p>
        </w:tc>
      </w:tr>
      <w:tr w:rsidR="00A07731">
        <w:trPr>
          <w:jc w:val="center"/>
        </w:trPr>
        <w:tc>
          <w:tcPr>
            <w:tcW w:w="1286" w:type="dxa"/>
            <w:vAlign w:val="center"/>
          </w:tcPr>
          <w:p w:rsidR="00A07731" w:rsidRDefault="00E1390B">
            <w:pPr>
              <w:jc w:val="center"/>
            </w:pPr>
            <w:r>
              <w:rPr>
                <w:rFonts w:eastAsiaTheme="minorEastAsia"/>
                <w:color w:val="000000"/>
                <w:sz w:val="24"/>
              </w:rPr>
              <w:t>3</w:t>
            </w:r>
          </w:p>
        </w:tc>
        <w:tc>
          <w:tcPr>
            <w:tcW w:w="1332" w:type="dxa"/>
            <w:vAlign w:val="center"/>
          </w:tcPr>
          <w:p w:rsidR="00A07731" w:rsidRDefault="00E1390B">
            <w:pPr>
              <w:jc w:val="center"/>
            </w:pPr>
            <w:r>
              <w:rPr>
                <w:rFonts w:eastAsiaTheme="minorEastAsia"/>
                <w:color w:val="000000"/>
                <w:sz w:val="24"/>
              </w:rPr>
              <w:t>131684</w:t>
            </w:r>
          </w:p>
        </w:tc>
        <w:tc>
          <w:tcPr>
            <w:tcW w:w="1313" w:type="dxa"/>
            <w:vAlign w:val="center"/>
          </w:tcPr>
          <w:p w:rsidR="00A07731" w:rsidRDefault="00E1390B">
            <w:pPr>
              <w:jc w:val="center"/>
            </w:pPr>
            <w:r>
              <w:rPr>
                <w:rFonts w:eastAsiaTheme="minorEastAsia"/>
                <w:color w:val="000000"/>
                <w:sz w:val="24"/>
              </w:rPr>
              <w:t>汇金</w:t>
            </w:r>
            <w:r>
              <w:rPr>
                <w:rFonts w:eastAsiaTheme="minorEastAsia"/>
                <w:color w:val="000000"/>
                <w:sz w:val="24"/>
              </w:rPr>
              <w:t>1B</w:t>
            </w:r>
          </w:p>
        </w:tc>
        <w:tc>
          <w:tcPr>
            <w:tcW w:w="1571" w:type="dxa"/>
            <w:vAlign w:val="center"/>
          </w:tcPr>
          <w:p w:rsidR="00A07731" w:rsidRDefault="00E1390B">
            <w:pPr>
              <w:jc w:val="right"/>
            </w:pPr>
            <w:r>
              <w:rPr>
                <w:rFonts w:eastAsiaTheme="minorEastAsia"/>
                <w:color w:val="000000"/>
                <w:sz w:val="24"/>
              </w:rPr>
              <w:t>180,000</w:t>
            </w:r>
          </w:p>
        </w:tc>
        <w:tc>
          <w:tcPr>
            <w:tcW w:w="1670" w:type="dxa"/>
            <w:vAlign w:val="center"/>
          </w:tcPr>
          <w:p w:rsidR="00A07731" w:rsidRDefault="00E1390B">
            <w:pPr>
              <w:jc w:val="right"/>
            </w:pPr>
            <w:r>
              <w:rPr>
                <w:rFonts w:eastAsiaTheme="minorEastAsia"/>
                <w:color w:val="000000"/>
                <w:sz w:val="24"/>
              </w:rPr>
              <w:t>18,000,000.00</w:t>
            </w:r>
          </w:p>
        </w:tc>
        <w:tc>
          <w:tcPr>
            <w:tcW w:w="1696" w:type="dxa"/>
            <w:vAlign w:val="center"/>
          </w:tcPr>
          <w:p w:rsidR="00A07731" w:rsidRDefault="00E1390B">
            <w:pPr>
              <w:jc w:val="right"/>
            </w:pPr>
            <w:r>
              <w:rPr>
                <w:rFonts w:eastAsiaTheme="minorEastAsia"/>
                <w:color w:val="000000"/>
                <w:sz w:val="24"/>
              </w:rPr>
              <w:t>3.95</w:t>
            </w:r>
          </w:p>
        </w:tc>
      </w:tr>
    </w:tbl>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注：因</w:t>
      </w:r>
      <w:r w:rsidRPr="00405493">
        <w:rPr>
          <w:rFonts w:eastAsiaTheme="minorEastAsia"/>
          <w:color w:val="000000"/>
          <w:sz w:val="24"/>
        </w:rPr>
        <w:t>“16</w:t>
      </w:r>
      <w:r w:rsidRPr="00405493">
        <w:rPr>
          <w:rFonts w:eastAsiaTheme="minorEastAsia"/>
          <w:color w:val="000000"/>
          <w:sz w:val="24"/>
        </w:rPr>
        <w:t>福碧</w:t>
      </w:r>
      <w:r w:rsidRPr="00405493">
        <w:rPr>
          <w:rFonts w:eastAsiaTheme="minorEastAsia"/>
          <w:color w:val="000000"/>
          <w:sz w:val="24"/>
        </w:rPr>
        <w:t>A2”</w:t>
      </w:r>
      <w:r w:rsidRPr="00405493">
        <w:rPr>
          <w:rFonts w:eastAsiaTheme="minorEastAsia"/>
          <w:color w:val="000000"/>
          <w:sz w:val="24"/>
        </w:rPr>
        <w:t>暂无市场代码，上表中债券代码</w:t>
      </w:r>
      <w:r w:rsidRPr="00405493">
        <w:rPr>
          <w:rFonts w:eastAsiaTheme="minorEastAsia"/>
          <w:color w:val="000000"/>
          <w:sz w:val="24"/>
        </w:rPr>
        <w:t>“G0000G”</w:t>
      </w:r>
      <w:r w:rsidRPr="00405493">
        <w:rPr>
          <w:rFonts w:eastAsiaTheme="minorEastAsia"/>
          <w:color w:val="000000"/>
          <w:sz w:val="24"/>
        </w:rPr>
        <w:t>为系统虚拟代码。</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0B548A" w:rsidRPr="00405493" w:rsidRDefault="000B548A" w:rsidP="009D139A">
      <w:pPr>
        <w:autoSpaceDE w:val="0"/>
        <w:autoSpaceDN w:val="0"/>
        <w:adjustRightInd w:val="0"/>
        <w:spacing w:line="288" w:lineRule="auto"/>
        <w:jc w:val="left"/>
        <w:rPr>
          <w:rFonts w:eastAsiaTheme="minorEastAsia"/>
          <w:b/>
          <w:bCs/>
          <w:color w:val="000000"/>
          <w:kern w:val="0"/>
          <w:sz w:val="24"/>
        </w:rPr>
      </w:pPr>
      <w:r w:rsidRPr="00405493">
        <w:rPr>
          <w:rFonts w:eastAsiaTheme="minorEastAsia"/>
          <w:b/>
          <w:bCs/>
          <w:color w:val="000000"/>
          <w:kern w:val="0"/>
          <w:sz w:val="24"/>
        </w:rPr>
        <w:t xml:space="preserve">5.7 </w:t>
      </w:r>
      <w:r w:rsidRPr="00405493">
        <w:rPr>
          <w:rFonts w:hAnsi="宋体"/>
          <w:b/>
          <w:bCs/>
          <w:color w:val="000000"/>
          <w:kern w:val="0"/>
          <w:sz w:val="24"/>
        </w:rPr>
        <w:t>报告期末按公允价值占基金资产净值比例大小排序的前五名贵金属投资明细</w:t>
      </w:r>
    </w:p>
    <w:p w:rsidR="000B548A" w:rsidRPr="00405493" w:rsidRDefault="0060638F" w:rsidP="009D139A">
      <w:pPr>
        <w:autoSpaceDE w:val="0"/>
        <w:autoSpaceDN w:val="0"/>
        <w:adjustRightInd w:val="0"/>
        <w:spacing w:line="288" w:lineRule="auto"/>
        <w:jc w:val="left"/>
        <w:rPr>
          <w:sz w:val="24"/>
        </w:rPr>
      </w:pPr>
      <w:r w:rsidRPr="00405493">
        <w:rPr>
          <w:sz w:val="24"/>
        </w:rPr>
        <w:t>本基金本报告期末未持有贵金属。</w:t>
      </w:r>
    </w:p>
    <w:p w:rsidR="0060638F" w:rsidRPr="00405493" w:rsidRDefault="0060638F" w:rsidP="009D139A">
      <w:pPr>
        <w:autoSpaceDE w:val="0"/>
        <w:autoSpaceDN w:val="0"/>
        <w:adjustRightInd w:val="0"/>
        <w:spacing w:line="288" w:lineRule="auto"/>
        <w:jc w:val="left"/>
        <w:rPr>
          <w:rFonts w:eastAsiaTheme="minorEastAsia"/>
          <w:b/>
          <w:bCs/>
          <w:color w:val="000000"/>
          <w:kern w:val="0"/>
          <w:sz w:val="24"/>
        </w:rPr>
      </w:pPr>
    </w:p>
    <w:p w:rsidR="00220542" w:rsidRPr="00405493" w:rsidRDefault="00C47A34"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5</w:t>
      </w:r>
      <w:r w:rsidR="00220542" w:rsidRPr="00405493">
        <w:rPr>
          <w:rFonts w:eastAsiaTheme="minorEastAsia"/>
          <w:b/>
          <w:color w:val="000000"/>
          <w:kern w:val="0"/>
          <w:sz w:val="24"/>
        </w:rPr>
        <w:t>.</w:t>
      </w:r>
      <w:r w:rsidRPr="00405493">
        <w:rPr>
          <w:rFonts w:eastAsiaTheme="minorEastAsia"/>
          <w:b/>
          <w:color w:val="000000"/>
          <w:kern w:val="0"/>
          <w:sz w:val="24"/>
        </w:rPr>
        <w:t>8</w:t>
      </w:r>
      <w:r w:rsidR="001F6B27" w:rsidRPr="00405493">
        <w:rPr>
          <w:rFonts w:eastAsiaTheme="minorEastAsia"/>
          <w:b/>
          <w:color w:val="000000"/>
          <w:kern w:val="0"/>
          <w:sz w:val="24"/>
        </w:rPr>
        <w:t xml:space="preserve"> </w:t>
      </w:r>
      <w:r w:rsidR="00220542" w:rsidRPr="00405493">
        <w:rPr>
          <w:b/>
          <w:bCs/>
          <w:color w:val="000000"/>
          <w:sz w:val="24"/>
        </w:rPr>
        <w:t>报告期末按公允价值占基金资产净值比例大小排</w:t>
      </w:r>
      <w:r w:rsidR="00A24611" w:rsidRPr="00405493">
        <w:rPr>
          <w:b/>
          <w:color w:val="000000"/>
          <w:kern w:val="0"/>
          <w:sz w:val="24"/>
        </w:rPr>
        <w:t>序</w:t>
      </w:r>
      <w:r w:rsidR="00220542" w:rsidRPr="00405493">
        <w:rPr>
          <w:b/>
          <w:bCs/>
          <w:color w:val="000000"/>
          <w:sz w:val="24"/>
        </w:rPr>
        <w:t>的前五名权证投资明细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本基金本报告期末未持有权证。</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B82B30" w:rsidRPr="00405493" w:rsidRDefault="00C47A34" w:rsidP="009D139A">
      <w:pPr>
        <w:adjustRightInd w:val="0"/>
        <w:snapToGrid w:val="0"/>
        <w:spacing w:before="29" w:line="288" w:lineRule="auto"/>
        <w:rPr>
          <w:rFonts w:eastAsiaTheme="minorEastAsia"/>
          <w:b/>
          <w:sz w:val="24"/>
        </w:rPr>
      </w:pPr>
      <w:r w:rsidRPr="00405493">
        <w:rPr>
          <w:rFonts w:eastAsiaTheme="minorEastAsia"/>
          <w:b/>
          <w:sz w:val="24"/>
        </w:rPr>
        <w:t>5.9</w:t>
      </w:r>
      <w:r w:rsidR="001F6B27" w:rsidRPr="00405493">
        <w:rPr>
          <w:rFonts w:eastAsiaTheme="minorEastAsia"/>
          <w:b/>
          <w:sz w:val="24"/>
        </w:rPr>
        <w:t xml:space="preserve"> </w:t>
      </w:r>
      <w:r w:rsidR="00B82B30" w:rsidRPr="00405493">
        <w:rPr>
          <w:b/>
          <w:sz w:val="24"/>
        </w:rPr>
        <w:t>报告期末本基金投资的股指期货交易情况说明</w:t>
      </w:r>
    </w:p>
    <w:p w:rsidR="00B82B30" w:rsidRPr="00405493" w:rsidRDefault="002352D3"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本基金本报告期末未持有股指期货。</w:t>
      </w:r>
    </w:p>
    <w:p w:rsidR="002352D3" w:rsidRPr="00405493" w:rsidRDefault="002352D3" w:rsidP="009D139A">
      <w:pPr>
        <w:adjustRightInd w:val="0"/>
        <w:snapToGrid w:val="0"/>
        <w:spacing w:before="29" w:line="288" w:lineRule="auto"/>
        <w:rPr>
          <w:rFonts w:eastAsiaTheme="minorEastAsia"/>
          <w:sz w:val="24"/>
        </w:rPr>
      </w:pPr>
    </w:p>
    <w:p w:rsidR="0084497A" w:rsidRPr="00405493" w:rsidRDefault="00A079EB" w:rsidP="009D139A">
      <w:pPr>
        <w:adjustRightInd w:val="0"/>
        <w:snapToGrid w:val="0"/>
        <w:spacing w:before="29" w:line="288" w:lineRule="auto"/>
        <w:rPr>
          <w:b/>
          <w:sz w:val="24"/>
        </w:rPr>
      </w:pPr>
      <w:r w:rsidRPr="00405493">
        <w:rPr>
          <w:rFonts w:eastAsiaTheme="minorEastAsia"/>
          <w:b/>
          <w:sz w:val="24"/>
        </w:rPr>
        <w:t>5.10</w:t>
      </w:r>
      <w:r w:rsidR="00184D75" w:rsidRPr="00405493">
        <w:rPr>
          <w:rFonts w:eastAsiaTheme="minorEastAsia"/>
          <w:b/>
          <w:sz w:val="24"/>
        </w:rPr>
        <w:t xml:space="preserve"> </w:t>
      </w:r>
      <w:r w:rsidRPr="00405493">
        <w:rPr>
          <w:b/>
          <w:sz w:val="24"/>
        </w:rPr>
        <w:t>报告期末本基金投资的国债期货交易情况说明</w:t>
      </w:r>
    </w:p>
    <w:p w:rsidR="00A079EB" w:rsidRPr="00405493" w:rsidRDefault="00A079EB"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本基金本报告期末未持有国债期货。</w:t>
      </w:r>
    </w:p>
    <w:p w:rsidR="0031092E" w:rsidRPr="00405493" w:rsidRDefault="0031092E" w:rsidP="009D139A">
      <w:pPr>
        <w:autoSpaceDE w:val="0"/>
        <w:autoSpaceDN w:val="0"/>
        <w:adjustRightInd w:val="0"/>
        <w:spacing w:before="29" w:line="288" w:lineRule="auto"/>
        <w:jc w:val="left"/>
        <w:rPr>
          <w:rFonts w:eastAsiaTheme="minorEastAsia"/>
          <w:color w:val="000000"/>
          <w:sz w:val="24"/>
        </w:rPr>
      </w:pPr>
    </w:p>
    <w:p w:rsidR="00220542" w:rsidRPr="00405493" w:rsidRDefault="00C47A34"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5</w:t>
      </w:r>
      <w:r w:rsidR="00B82B30" w:rsidRPr="00405493">
        <w:rPr>
          <w:rFonts w:eastAsiaTheme="minorEastAsia"/>
          <w:b/>
          <w:color w:val="000000"/>
          <w:kern w:val="0"/>
          <w:sz w:val="24"/>
        </w:rPr>
        <w:t>.</w:t>
      </w:r>
      <w:r w:rsidRPr="00405493">
        <w:rPr>
          <w:rFonts w:eastAsiaTheme="minorEastAsia"/>
          <w:b/>
          <w:color w:val="000000"/>
          <w:kern w:val="0"/>
          <w:sz w:val="24"/>
        </w:rPr>
        <w:t>11</w:t>
      </w:r>
      <w:r w:rsidR="00184D75" w:rsidRPr="00405493">
        <w:rPr>
          <w:rFonts w:eastAsiaTheme="minorEastAsia"/>
          <w:b/>
          <w:color w:val="000000"/>
          <w:kern w:val="0"/>
          <w:sz w:val="24"/>
        </w:rPr>
        <w:t xml:space="preserve"> </w:t>
      </w:r>
      <w:r w:rsidR="00220542" w:rsidRPr="00405493">
        <w:rPr>
          <w:b/>
          <w:color w:val="000000"/>
          <w:kern w:val="0"/>
          <w:sz w:val="24"/>
        </w:rPr>
        <w:t>投资组合报告附注</w:t>
      </w:r>
    </w:p>
    <w:p w:rsidR="009215BE" w:rsidRPr="00405493" w:rsidRDefault="00C47A34"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5.11</w:t>
      </w:r>
      <w:r w:rsidR="00220542" w:rsidRPr="00405493">
        <w:rPr>
          <w:rFonts w:eastAsiaTheme="minorEastAsia"/>
          <w:color w:val="000000"/>
          <w:sz w:val="24"/>
        </w:rPr>
        <w:t>.</w:t>
      </w:r>
      <w:r w:rsidRPr="00405493">
        <w:rPr>
          <w:rFonts w:eastAsiaTheme="minorEastAsia"/>
          <w:color w:val="000000"/>
          <w:sz w:val="24"/>
        </w:rPr>
        <w:t>1</w:t>
      </w:r>
      <w:r w:rsidR="009215BE" w:rsidRPr="00405493">
        <w:rPr>
          <w:rFonts w:eastAsiaTheme="minorEastAsia"/>
          <w:color w:val="000000"/>
          <w:sz w:val="24"/>
        </w:rPr>
        <w:t>报告期内本基金投资的前十名证券的发行主体未被监管部门立案调查，在本报告编制日前一年内本基金投资的前十名证券的发行主体未受到公开谴责和处罚。</w:t>
      </w:r>
    </w:p>
    <w:p w:rsidR="009D3F6A" w:rsidRPr="003F23AB" w:rsidRDefault="00C47A34"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5.11.2</w:t>
      </w:r>
      <w:r w:rsidR="009215BE" w:rsidRPr="00405493">
        <w:rPr>
          <w:rFonts w:eastAsiaTheme="minorEastAsia"/>
          <w:color w:val="000000"/>
          <w:sz w:val="24"/>
        </w:rPr>
        <w:t>本基金投资的前十名股票中，没有超出基金合同规定的备选股票库之外的股票。</w:t>
      </w:r>
    </w:p>
    <w:p w:rsidR="00220542" w:rsidRPr="00405493" w:rsidRDefault="00C47A34" w:rsidP="009D139A">
      <w:pPr>
        <w:autoSpaceDE w:val="0"/>
        <w:autoSpaceDN w:val="0"/>
        <w:adjustRightInd w:val="0"/>
        <w:spacing w:before="29" w:line="288" w:lineRule="auto"/>
        <w:jc w:val="left"/>
        <w:rPr>
          <w:color w:val="000000"/>
          <w:kern w:val="0"/>
          <w:sz w:val="24"/>
        </w:rPr>
      </w:pPr>
      <w:r w:rsidRPr="00405493">
        <w:rPr>
          <w:rFonts w:eastAsiaTheme="minorEastAsia"/>
          <w:color w:val="000000"/>
          <w:kern w:val="0"/>
          <w:sz w:val="24"/>
        </w:rPr>
        <w:t>5.11.3</w:t>
      </w:r>
      <w:r w:rsidR="00184D75" w:rsidRPr="00405493">
        <w:rPr>
          <w:rFonts w:eastAsiaTheme="minorEastAsia"/>
          <w:color w:val="000000"/>
          <w:kern w:val="0"/>
          <w:sz w:val="24"/>
        </w:rPr>
        <w:t xml:space="preserve"> </w:t>
      </w:r>
      <w:r w:rsidR="00220542" w:rsidRPr="00405493">
        <w:rPr>
          <w:color w:val="000000"/>
          <w:kern w:val="0"/>
          <w:sz w:val="24"/>
        </w:rPr>
        <w:t>其他</w:t>
      </w:r>
      <w:r w:rsidR="00224A85" w:rsidRPr="00405493">
        <w:rPr>
          <w:color w:val="000000"/>
          <w:kern w:val="0"/>
          <w:sz w:val="24"/>
        </w:rPr>
        <w:t>各项</w:t>
      </w:r>
      <w:r w:rsidR="00220542" w:rsidRPr="00405493">
        <w:rPr>
          <w:color w:val="000000"/>
          <w:kern w:val="0"/>
          <w:sz w:val="24"/>
        </w:rPr>
        <w:t>资产构成</w:t>
      </w:r>
    </w:p>
    <w:tbl>
      <w:tblPr>
        <w:tblStyle w:val="af7"/>
        <w:tblW w:w="8868" w:type="dxa"/>
        <w:jc w:val="center"/>
        <w:tblLayout w:type="fixed"/>
        <w:tblLook w:val="04A0" w:firstRow="1" w:lastRow="0" w:firstColumn="1" w:lastColumn="0" w:noHBand="0" w:noVBand="1"/>
      </w:tblPr>
      <w:tblGrid>
        <w:gridCol w:w="984"/>
        <w:gridCol w:w="2876"/>
        <w:gridCol w:w="5008"/>
      </w:tblGrid>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序号</w:t>
            </w:r>
          </w:p>
        </w:tc>
        <w:tc>
          <w:tcPr>
            <w:tcW w:w="2761"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名称</w:t>
            </w:r>
          </w:p>
        </w:tc>
        <w:tc>
          <w:tcPr>
            <w:tcW w:w="4808"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金额</w:t>
            </w:r>
            <w:r w:rsidR="00FD3E1D" w:rsidRPr="00405493">
              <w:rPr>
                <w:color w:val="000000"/>
                <w:kern w:val="0"/>
                <w:sz w:val="24"/>
              </w:rPr>
              <w:t>（元）</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kern w:val="0"/>
                <w:sz w:val="24"/>
              </w:rPr>
            </w:pPr>
            <w:r w:rsidRPr="00405493">
              <w:rPr>
                <w:rFonts w:eastAsiaTheme="minorEastAsia"/>
                <w:color w:val="000000"/>
                <w:sz w:val="24"/>
              </w:rPr>
              <w:t>1</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存出保证金</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65,241.99</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2</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应收证券清算款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3</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应收股利</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4</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应收利息</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9,669,401.26</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5</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应收申购款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6</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其他应收款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7</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待摊费用</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8</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其他</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9</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合计</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9,734,643.25</w:t>
            </w:r>
          </w:p>
        </w:tc>
      </w:tr>
    </w:tbl>
    <w:p w:rsidR="000C69C9" w:rsidRPr="00405493" w:rsidRDefault="000C69C9"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C47A34" w:rsidP="009D139A">
      <w:pPr>
        <w:autoSpaceDE w:val="0"/>
        <w:autoSpaceDN w:val="0"/>
        <w:adjustRightInd w:val="0"/>
        <w:spacing w:before="29" w:line="288" w:lineRule="auto"/>
        <w:jc w:val="left"/>
        <w:rPr>
          <w:color w:val="000000"/>
          <w:kern w:val="0"/>
          <w:sz w:val="24"/>
        </w:rPr>
      </w:pPr>
      <w:r w:rsidRPr="00405493">
        <w:rPr>
          <w:rFonts w:eastAsiaTheme="minorEastAsia"/>
          <w:color w:val="000000"/>
          <w:kern w:val="0"/>
          <w:sz w:val="24"/>
        </w:rPr>
        <w:t>5.11.4</w:t>
      </w:r>
      <w:r w:rsidR="00184D75" w:rsidRPr="00405493">
        <w:rPr>
          <w:rFonts w:eastAsiaTheme="minorEastAsia"/>
          <w:color w:val="000000"/>
          <w:kern w:val="0"/>
          <w:sz w:val="24"/>
        </w:rPr>
        <w:t xml:space="preserve"> </w:t>
      </w:r>
      <w:r w:rsidR="00220542" w:rsidRPr="00405493">
        <w:rPr>
          <w:color w:val="000000"/>
          <w:kern w:val="0"/>
          <w:sz w:val="24"/>
        </w:rPr>
        <w:t>报告期末持有的处于转股期的可转换债券明细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本基金本报告期末未持有处于转股期的可转换债券。</w:t>
      </w:r>
    </w:p>
    <w:p w:rsidR="00BE647A" w:rsidRPr="00405493" w:rsidRDefault="00BE647A" w:rsidP="009D139A">
      <w:pPr>
        <w:autoSpaceDE w:val="0"/>
        <w:autoSpaceDN w:val="0"/>
        <w:adjustRightInd w:val="0"/>
        <w:spacing w:before="29" w:line="288" w:lineRule="auto"/>
        <w:ind w:left="15"/>
        <w:jc w:val="left"/>
        <w:rPr>
          <w:rFonts w:eastAsiaTheme="minorEastAsia"/>
          <w:color w:val="000000"/>
          <w:kern w:val="0"/>
          <w:sz w:val="24"/>
        </w:rPr>
      </w:pPr>
    </w:p>
    <w:p w:rsidR="00220542" w:rsidRPr="00405493" w:rsidRDefault="00C47A34" w:rsidP="009D139A">
      <w:pPr>
        <w:autoSpaceDE w:val="0"/>
        <w:autoSpaceDN w:val="0"/>
        <w:adjustRightInd w:val="0"/>
        <w:spacing w:before="29" w:line="288" w:lineRule="auto"/>
        <w:jc w:val="left"/>
        <w:rPr>
          <w:rFonts w:eastAsiaTheme="minorEastAsia"/>
          <w:bCs/>
          <w:color w:val="000000"/>
          <w:sz w:val="24"/>
        </w:rPr>
      </w:pPr>
      <w:r w:rsidRPr="00405493">
        <w:rPr>
          <w:rFonts w:eastAsiaTheme="minorEastAsia"/>
          <w:color w:val="000000"/>
          <w:kern w:val="0"/>
          <w:sz w:val="24"/>
        </w:rPr>
        <w:t>5.11.5</w:t>
      </w:r>
      <w:r w:rsidR="00184D75" w:rsidRPr="00405493">
        <w:rPr>
          <w:rFonts w:eastAsiaTheme="minorEastAsia"/>
          <w:color w:val="000000"/>
          <w:kern w:val="0"/>
          <w:sz w:val="24"/>
        </w:rPr>
        <w:t xml:space="preserve"> </w:t>
      </w:r>
      <w:r w:rsidR="00220542" w:rsidRPr="00405493">
        <w:rPr>
          <w:bCs/>
          <w:color w:val="000000"/>
          <w:sz w:val="24"/>
        </w:rPr>
        <w:t>报告期末前十名股票中存在流通受限情况的说明</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6A6507" w:rsidRPr="00405493" w:rsidRDefault="006A6507" w:rsidP="009D139A">
      <w:pPr>
        <w:spacing w:before="29" w:line="288" w:lineRule="auto"/>
        <w:rPr>
          <w:rFonts w:eastAsiaTheme="minorEastAsia"/>
          <w:color w:val="000000"/>
          <w:sz w:val="24"/>
        </w:rPr>
      </w:pPr>
    </w:p>
    <w:p w:rsidR="00220542" w:rsidRPr="00405493" w:rsidRDefault="00C47A34" w:rsidP="009D139A">
      <w:pPr>
        <w:spacing w:before="29" w:line="288" w:lineRule="auto"/>
        <w:rPr>
          <w:rFonts w:eastAsiaTheme="minorEastAsia"/>
          <w:color w:val="000000"/>
          <w:sz w:val="24"/>
        </w:rPr>
      </w:pPr>
      <w:r w:rsidRPr="00405493">
        <w:rPr>
          <w:rFonts w:eastAsiaTheme="minorEastAsia"/>
          <w:color w:val="000000"/>
          <w:kern w:val="0"/>
          <w:sz w:val="24"/>
        </w:rPr>
        <w:t>5.11.6</w:t>
      </w:r>
      <w:r w:rsidR="00184D75" w:rsidRPr="00405493">
        <w:rPr>
          <w:rFonts w:eastAsiaTheme="minorEastAsia"/>
          <w:color w:val="000000"/>
          <w:kern w:val="0"/>
          <w:sz w:val="24"/>
        </w:rPr>
        <w:t xml:space="preserve"> </w:t>
      </w:r>
      <w:r w:rsidR="009215BE" w:rsidRPr="00405493">
        <w:rPr>
          <w:color w:val="000000"/>
          <w:kern w:val="0"/>
          <w:sz w:val="24"/>
        </w:rPr>
        <w:t>投资组合报告附注的其他文字描述部分</w:t>
      </w:r>
    </w:p>
    <w:p w:rsidR="00220542" w:rsidRPr="00405493" w:rsidRDefault="009215BE"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由于四舍五入的原因，分项之和与合计项之间可能存在尾差。</w:t>
      </w:r>
    </w:p>
    <w:p w:rsidR="00326A88" w:rsidRPr="00405493" w:rsidRDefault="00326A88" w:rsidP="009D139A">
      <w:pPr>
        <w:autoSpaceDE w:val="0"/>
        <w:autoSpaceDN w:val="0"/>
        <w:adjustRightInd w:val="0"/>
        <w:spacing w:before="29" w:line="288" w:lineRule="auto"/>
        <w:ind w:firstLineChars="200" w:firstLine="480"/>
        <w:rPr>
          <w:rFonts w:eastAsiaTheme="minorEastAsia"/>
          <w:color w:val="000000"/>
          <w:sz w:val="24"/>
        </w:rPr>
      </w:pPr>
    </w:p>
    <w:p w:rsidR="0062699E" w:rsidRPr="0062699E" w:rsidRDefault="0062699E" w:rsidP="00926032">
      <w:pPr>
        <w:pStyle w:val="1"/>
        <w:tabs>
          <w:tab w:val="center" w:pos="4156"/>
          <w:tab w:val="right" w:pos="8312"/>
        </w:tabs>
        <w:spacing w:beforeLines="100" w:before="312" w:afterLines="100" w:after="312" w:line="288" w:lineRule="auto"/>
        <w:jc w:val="center"/>
        <w:rPr>
          <w:sz w:val="24"/>
          <w:szCs w:val="24"/>
        </w:rPr>
      </w:pPr>
      <w:r w:rsidRPr="0062699E">
        <w:rPr>
          <w:rFonts w:eastAsiaTheme="minorEastAsia"/>
          <w:color w:val="000000"/>
          <w:kern w:val="0"/>
          <w:sz w:val="24"/>
          <w:szCs w:val="24"/>
        </w:rPr>
        <w:t xml:space="preserve">§6  </w:t>
      </w:r>
      <w:r w:rsidRPr="0062699E">
        <w:rPr>
          <w:sz w:val="24"/>
          <w:szCs w:val="24"/>
        </w:rPr>
        <w:t>基金管理人运用固有资金投资本基金情况</w:t>
      </w:r>
    </w:p>
    <w:p w:rsidR="0062699E" w:rsidRPr="0062699E" w:rsidRDefault="0062699E" w:rsidP="009D139A">
      <w:pPr>
        <w:spacing w:line="288" w:lineRule="auto"/>
        <w:jc w:val="left"/>
        <w:rPr>
          <w:sz w:val="24"/>
        </w:rPr>
      </w:pPr>
      <w:r w:rsidRPr="0062699E">
        <w:rPr>
          <w:b/>
          <w:sz w:val="24"/>
        </w:rPr>
        <w:t xml:space="preserve">6.1 </w:t>
      </w:r>
      <w:r w:rsidRPr="0062699E">
        <w:rPr>
          <w:b/>
          <w:sz w:val="24"/>
        </w:rPr>
        <w:t>基金管理人持有本基金份额变动情况</w:t>
      </w:r>
    </w:p>
    <w:p w:rsidR="00C34FBC" w:rsidRPr="00405493" w:rsidRDefault="0062699E" w:rsidP="009D139A">
      <w:pPr>
        <w:autoSpaceDE w:val="0"/>
        <w:autoSpaceDN w:val="0"/>
        <w:adjustRightInd w:val="0"/>
        <w:spacing w:line="288" w:lineRule="auto"/>
        <w:jc w:val="left"/>
        <w:rPr>
          <w:rFonts w:eastAsiaTheme="minorEastAsia"/>
          <w:color w:val="000000"/>
          <w:sz w:val="24"/>
        </w:rPr>
      </w:pPr>
      <w:r w:rsidRPr="0062699E">
        <w:rPr>
          <w:rFonts w:eastAsiaTheme="minorEastAsia"/>
          <w:color w:val="000000"/>
          <w:sz w:val="24"/>
        </w:rPr>
        <w:t>本报告期内未发生基金管理人运用固有资金投资本基金的情况。</w:t>
      </w:r>
    </w:p>
    <w:p w:rsidR="00C34FBC" w:rsidRPr="00405493" w:rsidRDefault="00C34FBC" w:rsidP="00FD5E3A">
      <w:pPr>
        <w:spacing w:before="29" w:line="288" w:lineRule="auto"/>
        <w:jc w:val="left"/>
        <w:rPr>
          <w:rFonts w:eastAsiaTheme="minorEastAsia"/>
          <w:sz w:val="24"/>
        </w:rPr>
      </w:pPr>
      <w:r w:rsidRPr="00405493">
        <w:rPr>
          <w:b/>
          <w:sz w:val="24"/>
        </w:rPr>
        <w:t>6.2</w:t>
      </w:r>
      <w:r w:rsidR="0062699E">
        <w:rPr>
          <w:rFonts w:hint="eastAsia"/>
          <w:b/>
          <w:sz w:val="24"/>
        </w:rPr>
        <w:t xml:space="preserve"> </w:t>
      </w:r>
      <w:r w:rsidR="0062699E">
        <w:rPr>
          <w:rFonts w:hint="eastAsia"/>
          <w:b/>
          <w:sz w:val="24"/>
        </w:rPr>
        <w:t>基</w:t>
      </w:r>
      <w:r w:rsidR="0062699E" w:rsidRPr="00B404F1">
        <w:rPr>
          <w:b/>
          <w:sz w:val="24"/>
        </w:rPr>
        <w:t>金管理人运用固有资金投资本基金交易明细</w:t>
      </w:r>
    </w:p>
    <w:p w:rsidR="00C34FBC" w:rsidRPr="00405493" w:rsidRDefault="00C34FBC"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本基金管理人本报告期内未进行本基金的申购、赎回、红利再投等。</w:t>
      </w:r>
    </w:p>
    <w:p w:rsidR="00000141" w:rsidRPr="00405493" w:rsidRDefault="00000141" w:rsidP="009D139A">
      <w:pPr>
        <w:autoSpaceDE w:val="0"/>
        <w:autoSpaceDN w:val="0"/>
        <w:adjustRightInd w:val="0"/>
        <w:spacing w:before="29" w:line="288" w:lineRule="auto"/>
        <w:jc w:val="left"/>
        <w:rPr>
          <w:rFonts w:eastAsiaTheme="minorEastAsia"/>
          <w:color w:val="000000"/>
          <w:sz w:val="24"/>
        </w:rPr>
      </w:pPr>
    </w:p>
    <w:p w:rsidR="00753072" w:rsidRPr="00E12151" w:rsidRDefault="00220542" w:rsidP="00926032">
      <w:pPr>
        <w:pStyle w:val="1"/>
        <w:spacing w:beforeLines="100" w:before="312" w:afterLines="100" w:after="312" w:line="288" w:lineRule="auto"/>
        <w:jc w:val="center"/>
        <w:rPr>
          <w:color w:val="000000"/>
          <w:kern w:val="0"/>
          <w:sz w:val="24"/>
          <w:szCs w:val="24"/>
        </w:rPr>
      </w:pPr>
      <w:r w:rsidRPr="00405493">
        <w:rPr>
          <w:rFonts w:eastAsiaTheme="minorEastAsia"/>
          <w:color w:val="000000"/>
          <w:kern w:val="0"/>
          <w:sz w:val="24"/>
          <w:szCs w:val="24"/>
        </w:rPr>
        <w:t>§</w:t>
      </w:r>
      <w:r w:rsidR="00B153F2" w:rsidRPr="00405493">
        <w:rPr>
          <w:rFonts w:eastAsiaTheme="minorEastAsia"/>
          <w:color w:val="000000"/>
          <w:kern w:val="0"/>
          <w:sz w:val="24"/>
          <w:szCs w:val="24"/>
        </w:rPr>
        <w:t>7</w:t>
      </w:r>
      <w:r w:rsidR="00184D75" w:rsidRPr="00405493">
        <w:rPr>
          <w:rFonts w:eastAsiaTheme="minorEastAsia"/>
          <w:color w:val="000000"/>
          <w:kern w:val="0"/>
          <w:sz w:val="24"/>
          <w:szCs w:val="24"/>
        </w:rPr>
        <w:t xml:space="preserve"> </w:t>
      </w:r>
      <w:r w:rsidRPr="00405493">
        <w:rPr>
          <w:color w:val="000000"/>
          <w:kern w:val="0"/>
          <w:sz w:val="24"/>
          <w:szCs w:val="24"/>
        </w:rPr>
        <w:t>备查文件目录</w:t>
      </w:r>
    </w:p>
    <w:p w:rsidR="00220542" w:rsidRPr="00405493" w:rsidRDefault="00B153F2" w:rsidP="009D139A">
      <w:pPr>
        <w:spacing w:before="29" w:line="288" w:lineRule="auto"/>
        <w:rPr>
          <w:rFonts w:eastAsiaTheme="minorEastAsia"/>
          <w:b/>
          <w:color w:val="000000"/>
          <w:kern w:val="0"/>
          <w:sz w:val="24"/>
        </w:rPr>
      </w:pPr>
      <w:r w:rsidRPr="00405493">
        <w:rPr>
          <w:rFonts w:eastAsiaTheme="minorEastAsia"/>
          <w:b/>
          <w:color w:val="000000"/>
          <w:sz w:val="24"/>
        </w:rPr>
        <w:t>7</w:t>
      </w:r>
      <w:r w:rsidR="00220542" w:rsidRPr="00405493">
        <w:rPr>
          <w:rFonts w:eastAsiaTheme="minorEastAsia"/>
          <w:b/>
          <w:color w:val="000000"/>
          <w:sz w:val="24"/>
        </w:rPr>
        <w:t>.</w:t>
      </w:r>
      <w:r w:rsidR="00E03C40" w:rsidRPr="00405493">
        <w:rPr>
          <w:rFonts w:eastAsiaTheme="minorEastAsia"/>
          <w:b/>
          <w:color w:val="000000"/>
          <w:sz w:val="24"/>
        </w:rPr>
        <w:t>1</w:t>
      </w:r>
      <w:r w:rsidR="00184D75" w:rsidRPr="00405493">
        <w:rPr>
          <w:rFonts w:eastAsiaTheme="minorEastAsia"/>
          <w:b/>
          <w:color w:val="000000"/>
          <w:sz w:val="24"/>
        </w:rPr>
        <w:t xml:space="preserve"> </w:t>
      </w:r>
      <w:r w:rsidR="00220542" w:rsidRPr="00405493">
        <w:rPr>
          <w:b/>
          <w:color w:val="000000"/>
          <w:sz w:val="24"/>
        </w:rPr>
        <w:t>备查文件目录</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、中国证监会准予交银施罗德丰硕收益债券型证券投资基金募集注册的文件；</w:t>
      </w:r>
      <w:r>
        <w:rPr>
          <w:rFonts w:eastAsiaTheme="minorEastAsia"/>
          <w:color w:val="000000"/>
          <w:sz w:val="24"/>
        </w:rPr>
        <w:t xml:space="preserve"> </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、《交银施罗德丰硕收益债券型证券投资基金基金合同》；</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、《交银施罗德丰硕收益债券型证券投资基金招募说明书》；</w:t>
      </w:r>
      <w:r>
        <w:rPr>
          <w:rFonts w:eastAsiaTheme="minorEastAsia"/>
          <w:color w:val="000000"/>
          <w:sz w:val="24"/>
        </w:rPr>
        <w:t xml:space="preserve"> </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、《交银施罗德丰硕收益债券型证券投资基金托管协议》；</w:t>
      </w:r>
      <w:r>
        <w:rPr>
          <w:rFonts w:eastAsiaTheme="minorEastAsia"/>
          <w:color w:val="000000"/>
          <w:sz w:val="24"/>
        </w:rPr>
        <w:t xml:space="preserve"> </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、关于申请募集注册交银施罗德丰硕收益债券型证券投资基金的法律意见书；</w:t>
      </w:r>
    </w:p>
    <w:p w:rsidR="00220542"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8</w:t>
      </w:r>
      <w:r w:rsidRPr="00405493">
        <w:rPr>
          <w:rFonts w:eastAsiaTheme="minorEastAsia"/>
          <w:color w:val="000000"/>
          <w:sz w:val="24"/>
        </w:rPr>
        <w:t>、报告期内交银施罗德丰硕收益债券型证券投资基金在指定报刊上各项公告的原稿。</w:t>
      </w:r>
    </w:p>
    <w:p w:rsidR="00785899" w:rsidRPr="00405493" w:rsidRDefault="00785899"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E03C40" w:rsidP="009D139A">
      <w:pPr>
        <w:spacing w:before="29" w:line="288" w:lineRule="auto"/>
        <w:rPr>
          <w:rFonts w:eastAsiaTheme="minorEastAsia"/>
          <w:b/>
          <w:color w:val="000000"/>
          <w:sz w:val="24"/>
        </w:rPr>
      </w:pPr>
      <w:r w:rsidRPr="00405493">
        <w:rPr>
          <w:rFonts w:eastAsiaTheme="minorEastAsia"/>
          <w:b/>
          <w:color w:val="000000"/>
          <w:sz w:val="24"/>
        </w:rPr>
        <w:t>7.2</w:t>
      </w:r>
      <w:r w:rsidR="00184D75" w:rsidRPr="00405493">
        <w:rPr>
          <w:rFonts w:eastAsiaTheme="minorEastAsia"/>
          <w:b/>
          <w:color w:val="000000"/>
          <w:sz w:val="24"/>
        </w:rPr>
        <w:t xml:space="preserve"> </w:t>
      </w:r>
      <w:r w:rsidR="00220542" w:rsidRPr="00405493">
        <w:rPr>
          <w:b/>
          <w:color w:val="000000"/>
          <w:sz w:val="24"/>
        </w:rPr>
        <w:t>存放地点</w:t>
      </w:r>
    </w:p>
    <w:p w:rsidR="009215BE"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备查文件存放于基金管理人的办公场所。</w:t>
      </w:r>
    </w:p>
    <w:p w:rsidR="00785899" w:rsidRPr="00405493" w:rsidRDefault="00785899"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E03C40" w:rsidP="009D139A">
      <w:pPr>
        <w:spacing w:before="29" w:line="288" w:lineRule="auto"/>
        <w:rPr>
          <w:rFonts w:eastAsiaTheme="minorEastAsia"/>
          <w:b/>
          <w:color w:val="000000"/>
          <w:sz w:val="24"/>
        </w:rPr>
      </w:pPr>
      <w:r w:rsidRPr="00405493">
        <w:rPr>
          <w:rFonts w:eastAsiaTheme="minorEastAsia"/>
          <w:b/>
          <w:color w:val="000000"/>
          <w:sz w:val="24"/>
        </w:rPr>
        <w:t>7.3</w:t>
      </w:r>
      <w:r w:rsidR="00184D75" w:rsidRPr="00405493">
        <w:rPr>
          <w:rFonts w:eastAsiaTheme="minorEastAsia"/>
          <w:b/>
          <w:color w:val="000000"/>
          <w:sz w:val="24"/>
        </w:rPr>
        <w:t xml:space="preserve"> </w:t>
      </w:r>
      <w:r w:rsidR="00220542" w:rsidRPr="00405493">
        <w:rPr>
          <w:b/>
          <w:color w:val="000000"/>
          <w:sz w:val="24"/>
        </w:rPr>
        <w:t>查阅方式</w:t>
      </w:r>
    </w:p>
    <w:p w:rsidR="00A07731" w:rsidRDefault="00E1390B">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投资者对本报告书如有疑问，可咨询本基金管理人交银施罗德基金管理有限公司。本公司客户服务中心电话：</w:t>
      </w:r>
      <w:r w:rsidRPr="00405493">
        <w:rPr>
          <w:rFonts w:eastAsiaTheme="minorEastAsia"/>
          <w:color w:val="000000"/>
          <w:sz w:val="24"/>
        </w:rPr>
        <w:t>400-700-5000</w:t>
      </w:r>
      <w:r w:rsidRPr="00405493">
        <w:rPr>
          <w:rFonts w:eastAsiaTheme="minorEastAsia"/>
          <w:color w:val="000000"/>
          <w:sz w:val="24"/>
        </w:rPr>
        <w:t>（免长途话费），</w:t>
      </w:r>
      <w:r w:rsidRPr="00405493">
        <w:rPr>
          <w:rFonts w:eastAsiaTheme="minorEastAsia"/>
          <w:color w:val="000000"/>
          <w:sz w:val="24"/>
        </w:rPr>
        <w:t>021-61055000</w:t>
      </w:r>
      <w:r w:rsidRPr="00405493">
        <w:rPr>
          <w:rFonts w:eastAsiaTheme="minorEastAsia"/>
          <w:color w:val="000000"/>
          <w:sz w:val="24"/>
        </w:rPr>
        <w:t>，电子邮件：</w:t>
      </w:r>
      <w:r w:rsidRPr="00405493">
        <w:rPr>
          <w:rFonts w:eastAsiaTheme="minorEastAsia"/>
          <w:color w:val="000000"/>
          <w:sz w:val="24"/>
        </w:rPr>
        <w:t>services@jysld.com</w:t>
      </w:r>
      <w:r w:rsidRPr="00405493">
        <w:rPr>
          <w:rFonts w:eastAsiaTheme="minorEastAsia"/>
          <w:color w:val="000000"/>
          <w:sz w:val="24"/>
        </w:rPr>
        <w:t>。</w:t>
      </w:r>
    </w:p>
    <w:p w:rsidR="009D1145" w:rsidRPr="00405493" w:rsidRDefault="009D1145" w:rsidP="009D139A">
      <w:pPr>
        <w:autoSpaceDE w:val="0"/>
        <w:autoSpaceDN w:val="0"/>
        <w:adjustRightInd w:val="0"/>
        <w:spacing w:before="29" w:line="288" w:lineRule="auto"/>
        <w:ind w:firstLineChars="200" w:firstLine="480"/>
        <w:rPr>
          <w:rFonts w:eastAsiaTheme="minorEastAsia"/>
          <w:color w:val="000000"/>
          <w:sz w:val="24"/>
        </w:rPr>
      </w:pPr>
    </w:p>
    <w:sectPr w:rsidR="009D1145" w:rsidRPr="00405493" w:rsidSect="001F36EA">
      <w:footerReference w:type="even" r:id="rId10"/>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BE" w:rsidRDefault="008E47BE">
      <w:r>
        <w:separator/>
      </w:r>
    </w:p>
  </w:endnote>
  <w:endnote w:type="continuationSeparator" w:id="0">
    <w:p w:rsidR="008E47BE" w:rsidRDefault="008E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91" w:rsidRPr="001D0DB0" w:rsidRDefault="00B05291" w:rsidP="0035401D">
    <w:pPr>
      <w:pStyle w:val="a6"/>
      <w:jc w:val="center"/>
    </w:pPr>
    <w:r>
      <w:rPr>
        <w:rFonts w:hint="eastAsia"/>
        <w:kern w:val="0"/>
        <w:szCs w:val="21"/>
      </w:rPr>
      <w:t>第</w:t>
    </w:r>
    <w:r w:rsidR="00A01A80">
      <w:rPr>
        <w:rFonts w:hint="eastAsia"/>
        <w:kern w:val="0"/>
        <w:szCs w:val="21"/>
      </w:rPr>
      <w:t xml:space="preserve"> </w:t>
    </w:r>
    <w:r w:rsidR="00416AA3">
      <w:rPr>
        <w:kern w:val="0"/>
        <w:szCs w:val="21"/>
      </w:rPr>
      <w:fldChar w:fldCharType="begin"/>
    </w:r>
    <w:r>
      <w:rPr>
        <w:kern w:val="0"/>
        <w:szCs w:val="21"/>
      </w:rPr>
      <w:instrText xml:space="preserve"> PAGE </w:instrText>
    </w:r>
    <w:r w:rsidR="00416AA3">
      <w:rPr>
        <w:kern w:val="0"/>
        <w:szCs w:val="21"/>
      </w:rPr>
      <w:fldChar w:fldCharType="separate"/>
    </w:r>
    <w:r w:rsidR="00A155E8">
      <w:rPr>
        <w:noProof/>
        <w:kern w:val="0"/>
        <w:szCs w:val="21"/>
      </w:rPr>
      <w:t>1</w:t>
    </w:r>
    <w:r w:rsidR="00416AA3">
      <w:rPr>
        <w:kern w:val="0"/>
        <w:szCs w:val="21"/>
      </w:rPr>
      <w:fldChar w:fldCharType="end"/>
    </w:r>
    <w:r w:rsidR="00A01A80">
      <w:rPr>
        <w:rFonts w:hint="eastAsia"/>
        <w:kern w:val="0"/>
        <w:szCs w:val="21"/>
      </w:rPr>
      <w:t xml:space="preserve"> </w:t>
    </w:r>
    <w:r>
      <w:rPr>
        <w:rFonts w:hint="eastAsia"/>
        <w:kern w:val="0"/>
        <w:szCs w:val="21"/>
      </w:rPr>
      <w:t>页</w:t>
    </w:r>
    <w:r w:rsidR="00A01A80">
      <w:rPr>
        <w:rFonts w:hint="eastAsia"/>
        <w:kern w:val="0"/>
        <w:szCs w:val="21"/>
      </w:rPr>
      <w:t xml:space="preserve"> </w:t>
    </w:r>
    <w:r>
      <w:rPr>
        <w:rFonts w:hint="eastAsia"/>
        <w:kern w:val="0"/>
        <w:szCs w:val="21"/>
      </w:rPr>
      <w:t>共</w:t>
    </w:r>
    <w:r w:rsidR="00A01A80">
      <w:rPr>
        <w:rFonts w:hint="eastAsia"/>
        <w:kern w:val="0"/>
        <w:szCs w:val="21"/>
      </w:rPr>
      <w:t xml:space="preserve"> </w:t>
    </w:r>
    <w:r w:rsidR="00416AA3">
      <w:rPr>
        <w:kern w:val="0"/>
        <w:szCs w:val="21"/>
      </w:rPr>
      <w:fldChar w:fldCharType="begin"/>
    </w:r>
    <w:r>
      <w:rPr>
        <w:kern w:val="0"/>
        <w:szCs w:val="21"/>
      </w:rPr>
      <w:instrText xml:space="preserve"> NUMPAGES </w:instrText>
    </w:r>
    <w:r w:rsidR="00416AA3">
      <w:rPr>
        <w:kern w:val="0"/>
        <w:szCs w:val="21"/>
      </w:rPr>
      <w:fldChar w:fldCharType="separate"/>
    </w:r>
    <w:r w:rsidR="00A155E8">
      <w:rPr>
        <w:noProof/>
        <w:kern w:val="0"/>
        <w:szCs w:val="21"/>
      </w:rPr>
      <w:t>11</w:t>
    </w:r>
    <w:r w:rsidR="00416AA3">
      <w:rPr>
        <w:kern w:val="0"/>
        <w:szCs w:val="21"/>
      </w:rPr>
      <w:fldChar w:fldCharType="end"/>
    </w:r>
    <w:r w:rsidR="00A01A80">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91" w:rsidRDefault="00416AA3">
    <w:pPr>
      <w:pStyle w:val="a6"/>
      <w:framePr w:wrap="around" w:vAnchor="text" w:hAnchor="margin" w:xAlign="center" w:y="1"/>
      <w:rPr>
        <w:rStyle w:val="a7"/>
      </w:rPr>
    </w:pPr>
    <w:r>
      <w:rPr>
        <w:rStyle w:val="a7"/>
      </w:rPr>
      <w:fldChar w:fldCharType="begin"/>
    </w:r>
    <w:r w:rsidR="00B05291">
      <w:rPr>
        <w:rStyle w:val="a7"/>
      </w:rPr>
      <w:instrText xml:space="preserve">PAGE  </w:instrText>
    </w:r>
    <w:r>
      <w:rPr>
        <w:rStyle w:val="a7"/>
      </w:rPr>
      <w:fldChar w:fldCharType="end"/>
    </w:r>
  </w:p>
  <w:p w:rsidR="00B05291" w:rsidRDefault="00B052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BE" w:rsidRDefault="008E47BE">
      <w:r>
        <w:separator/>
      </w:r>
    </w:p>
  </w:footnote>
  <w:footnote w:type="continuationSeparator" w:id="0">
    <w:p w:rsidR="008E47BE" w:rsidRDefault="008E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59" w:rsidRPr="002567DB" w:rsidRDefault="00FA4859" w:rsidP="00FA4859">
    <w:pPr>
      <w:pStyle w:val="a9"/>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7620</wp:posOffset>
          </wp:positionH>
          <wp:positionV relativeFrom="paragraph">
            <wp:posOffset>-318770</wp:posOffset>
          </wp:positionV>
          <wp:extent cx="2085340" cy="45720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340"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A375597"/>
    <w:multiLevelType w:val="hybridMultilevel"/>
    <w:tmpl w:val="53962872"/>
    <w:lvl w:ilvl="0" w:tplc="F8CAE9AE">
      <w:start w:val="1"/>
      <w:numFmt w:val="decimal"/>
      <w:lvlText w:val="%1."/>
      <w:lvlJc w:val="left"/>
      <w:pPr>
        <w:ind w:left="377" w:hanging="360"/>
      </w:pPr>
      <w:rPr>
        <w:rFonts w:hint="default"/>
      </w:rPr>
    </w:lvl>
    <w:lvl w:ilvl="1" w:tplc="04090019" w:tentative="1">
      <w:start w:val="1"/>
      <w:numFmt w:val="lowerLetter"/>
      <w:lvlText w:val="%2)"/>
      <w:lvlJc w:val="left"/>
      <w:pPr>
        <w:ind w:left="857" w:hanging="420"/>
      </w:pPr>
    </w:lvl>
    <w:lvl w:ilvl="2" w:tplc="0409001B" w:tentative="1">
      <w:start w:val="1"/>
      <w:numFmt w:val="lowerRoman"/>
      <w:lvlText w:val="%3."/>
      <w:lvlJc w:val="right"/>
      <w:pPr>
        <w:ind w:left="1277" w:hanging="420"/>
      </w:pPr>
    </w:lvl>
    <w:lvl w:ilvl="3" w:tplc="0409000F" w:tentative="1">
      <w:start w:val="1"/>
      <w:numFmt w:val="decimal"/>
      <w:lvlText w:val="%4."/>
      <w:lvlJc w:val="left"/>
      <w:pPr>
        <w:ind w:left="1697" w:hanging="420"/>
      </w:pPr>
    </w:lvl>
    <w:lvl w:ilvl="4" w:tplc="04090019" w:tentative="1">
      <w:start w:val="1"/>
      <w:numFmt w:val="lowerLetter"/>
      <w:lvlText w:val="%5)"/>
      <w:lvlJc w:val="left"/>
      <w:pPr>
        <w:ind w:left="2117" w:hanging="420"/>
      </w:pPr>
    </w:lvl>
    <w:lvl w:ilvl="5" w:tplc="0409001B" w:tentative="1">
      <w:start w:val="1"/>
      <w:numFmt w:val="lowerRoman"/>
      <w:lvlText w:val="%6."/>
      <w:lvlJc w:val="right"/>
      <w:pPr>
        <w:ind w:left="2537" w:hanging="420"/>
      </w:pPr>
    </w:lvl>
    <w:lvl w:ilvl="6" w:tplc="0409000F" w:tentative="1">
      <w:start w:val="1"/>
      <w:numFmt w:val="decimal"/>
      <w:lvlText w:val="%7."/>
      <w:lvlJc w:val="left"/>
      <w:pPr>
        <w:ind w:left="2957" w:hanging="420"/>
      </w:pPr>
    </w:lvl>
    <w:lvl w:ilvl="7" w:tplc="04090019" w:tentative="1">
      <w:start w:val="1"/>
      <w:numFmt w:val="lowerLetter"/>
      <w:lvlText w:val="%8)"/>
      <w:lvlJc w:val="left"/>
      <w:pPr>
        <w:ind w:left="3377" w:hanging="420"/>
      </w:pPr>
    </w:lvl>
    <w:lvl w:ilvl="8" w:tplc="0409001B" w:tentative="1">
      <w:start w:val="1"/>
      <w:numFmt w:val="lowerRoman"/>
      <w:lvlText w:val="%9."/>
      <w:lvlJc w:val="right"/>
      <w:pPr>
        <w:ind w:left="3797" w:hanging="420"/>
      </w:pPr>
    </w:lvl>
  </w:abstractNum>
  <w:abstractNum w:abstractNumId="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20C"/>
    <w:rsid w:val="00000141"/>
    <w:rsid w:val="000019CC"/>
    <w:rsid w:val="0000403B"/>
    <w:rsid w:val="00005911"/>
    <w:rsid w:val="000065DA"/>
    <w:rsid w:val="00007F38"/>
    <w:rsid w:val="00010A83"/>
    <w:rsid w:val="00010A8E"/>
    <w:rsid w:val="00010AC3"/>
    <w:rsid w:val="00011EB5"/>
    <w:rsid w:val="0001280C"/>
    <w:rsid w:val="00014C89"/>
    <w:rsid w:val="000160A2"/>
    <w:rsid w:val="0001654A"/>
    <w:rsid w:val="00017581"/>
    <w:rsid w:val="00020583"/>
    <w:rsid w:val="00021DD4"/>
    <w:rsid w:val="00023BE7"/>
    <w:rsid w:val="000257F9"/>
    <w:rsid w:val="00026068"/>
    <w:rsid w:val="000362B3"/>
    <w:rsid w:val="00037FCF"/>
    <w:rsid w:val="000421B8"/>
    <w:rsid w:val="00043ABF"/>
    <w:rsid w:val="000442A3"/>
    <w:rsid w:val="000445E4"/>
    <w:rsid w:val="000501DC"/>
    <w:rsid w:val="000510AB"/>
    <w:rsid w:val="000545E6"/>
    <w:rsid w:val="00055AF1"/>
    <w:rsid w:val="00062903"/>
    <w:rsid w:val="00064AE3"/>
    <w:rsid w:val="000651B5"/>
    <w:rsid w:val="00066524"/>
    <w:rsid w:val="00067AFA"/>
    <w:rsid w:val="00067DC3"/>
    <w:rsid w:val="00070CD1"/>
    <w:rsid w:val="0007171B"/>
    <w:rsid w:val="00077F58"/>
    <w:rsid w:val="00081D05"/>
    <w:rsid w:val="0008426A"/>
    <w:rsid w:val="00087CF7"/>
    <w:rsid w:val="00087F8A"/>
    <w:rsid w:val="00090E93"/>
    <w:rsid w:val="00094876"/>
    <w:rsid w:val="00095912"/>
    <w:rsid w:val="00095CE0"/>
    <w:rsid w:val="00096933"/>
    <w:rsid w:val="00096972"/>
    <w:rsid w:val="00096F7F"/>
    <w:rsid w:val="00097230"/>
    <w:rsid w:val="000A457E"/>
    <w:rsid w:val="000A53FD"/>
    <w:rsid w:val="000A549A"/>
    <w:rsid w:val="000A669E"/>
    <w:rsid w:val="000A72F2"/>
    <w:rsid w:val="000B0C56"/>
    <w:rsid w:val="000B0CDC"/>
    <w:rsid w:val="000B2907"/>
    <w:rsid w:val="000B2DC2"/>
    <w:rsid w:val="000B3E43"/>
    <w:rsid w:val="000B548A"/>
    <w:rsid w:val="000B5CC0"/>
    <w:rsid w:val="000C108B"/>
    <w:rsid w:val="000C1723"/>
    <w:rsid w:val="000C1B20"/>
    <w:rsid w:val="000C39E8"/>
    <w:rsid w:val="000C4107"/>
    <w:rsid w:val="000C45E7"/>
    <w:rsid w:val="000C5A32"/>
    <w:rsid w:val="000C69C9"/>
    <w:rsid w:val="000D01F4"/>
    <w:rsid w:val="000D080E"/>
    <w:rsid w:val="000D1519"/>
    <w:rsid w:val="000D4E46"/>
    <w:rsid w:val="000D793A"/>
    <w:rsid w:val="000E4456"/>
    <w:rsid w:val="000E71D1"/>
    <w:rsid w:val="000E7B9E"/>
    <w:rsid w:val="000E7EC3"/>
    <w:rsid w:val="000F175F"/>
    <w:rsid w:val="000F17D1"/>
    <w:rsid w:val="000F3E6A"/>
    <w:rsid w:val="000F60FF"/>
    <w:rsid w:val="000F635F"/>
    <w:rsid w:val="000F6C61"/>
    <w:rsid w:val="00100C12"/>
    <w:rsid w:val="0010398F"/>
    <w:rsid w:val="00103A7F"/>
    <w:rsid w:val="001049B6"/>
    <w:rsid w:val="001051C6"/>
    <w:rsid w:val="00105DC9"/>
    <w:rsid w:val="001105D1"/>
    <w:rsid w:val="0011177A"/>
    <w:rsid w:val="00113CCA"/>
    <w:rsid w:val="00116E31"/>
    <w:rsid w:val="0012304E"/>
    <w:rsid w:val="0012486F"/>
    <w:rsid w:val="001248EF"/>
    <w:rsid w:val="00124E12"/>
    <w:rsid w:val="0012513C"/>
    <w:rsid w:val="001257C7"/>
    <w:rsid w:val="00126DDF"/>
    <w:rsid w:val="001270BF"/>
    <w:rsid w:val="00127BAC"/>
    <w:rsid w:val="001428AD"/>
    <w:rsid w:val="00142A56"/>
    <w:rsid w:val="00143B76"/>
    <w:rsid w:val="00144DF5"/>
    <w:rsid w:val="00145A97"/>
    <w:rsid w:val="00145BED"/>
    <w:rsid w:val="00146485"/>
    <w:rsid w:val="00146FAA"/>
    <w:rsid w:val="00150AD6"/>
    <w:rsid w:val="001512DF"/>
    <w:rsid w:val="00153B40"/>
    <w:rsid w:val="00154ADA"/>
    <w:rsid w:val="0015531A"/>
    <w:rsid w:val="00156CE9"/>
    <w:rsid w:val="0016257E"/>
    <w:rsid w:val="00163B27"/>
    <w:rsid w:val="00165317"/>
    <w:rsid w:val="00171BAD"/>
    <w:rsid w:val="00173ECF"/>
    <w:rsid w:val="001744B4"/>
    <w:rsid w:val="001756A1"/>
    <w:rsid w:val="001761EE"/>
    <w:rsid w:val="00176EAA"/>
    <w:rsid w:val="0017725A"/>
    <w:rsid w:val="00177C4B"/>
    <w:rsid w:val="0018325A"/>
    <w:rsid w:val="00183AF7"/>
    <w:rsid w:val="00184D75"/>
    <w:rsid w:val="00186199"/>
    <w:rsid w:val="0018702C"/>
    <w:rsid w:val="00190DFE"/>
    <w:rsid w:val="001928F7"/>
    <w:rsid w:val="00194537"/>
    <w:rsid w:val="00194B44"/>
    <w:rsid w:val="0019563C"/>
    <w:rsid w:val="001975A7"/>
    <w:rsid w:val="001A01D5"/>
    <w:rsid w:val="001A0DC6"/>
    <w:rsid w:val="001A1DBB"/>
    <w:rsid w:val="001A21A9"/>
    <w:rsid w:val="001A2C7B"/>
    <w:rsid w:val="001A37B4"/>
    <w:rsid w:val="001A59D8"/>
    <w:rsid w:val="001A5FA6"/>
    <w:rsid w:val="001A6304"/>
    <w:rsid w:val="001B2F0C"/>
    <w:rsid w:val="001B4268"/>
    <w:rsid w:val="001C3419"/>
    <w:rsid w:val="001C37F6"/>
    <w:rsid w:val="001C6288"/>
    <w:rsid w:val="001C6423"/>
    <w:rsid w:val="001D0F6A"/>
    <w:rsid w:val="001D21BC"/>
    <w:rsid w:val="001D2FA5"/>
    <w:rsid w:val="001D35E0"/>
    <w:rsid w:val="001D5045"/>
    <w:rsid w:val="001D5A44"/>
    <w:rsid w:val="001D724B"/>
    <w:rsid w:val="001E044F"/>
    <w:rsid w:val="001E11D3"/>
    <w:rsid w:val="001E2A6A"/>
    <w:rsid w:val="001E34DA"/>
    <w:rsid w:val="001E3DC2"/>
    <w:rsid w:val="001E56FF"/>
    <w:rsid w:val="001E5C6B"/>
    <w:rsid w:val="001F03E1"/>
    <w:rsid w:val="001F36EA"/>
    <w:rsid w:val="001F3CC6"/>
    <w:rsid w:val="001F4530"/>
    <w:rsid w:val="001F49E6"/>
    <w:rsid w:val="001F4AFA"/>
    <w:rsid w:val="001F6B27"/>
    <w:rsid w:val="00200D9C"/>
    <w:rsid w:val="002010DE"/>
    <w:rsid w:val="00202968"/>
    <w:rsid w:val="00202C32"/>
    <w:rsid w:val="00203ADE"/>
    <w:rsid w:val="00203AEF"/>
    <w:rsid w:val="00204372"/>
    <w:rsid w:val="002058C1"/>
    <w:rsid w:val="0021105D"/>
    <w:rsid w:val="00211A26"/>
    <w:rsid w:val="002125F7"/>
    <w:rsid w:val="00214463"/>
    <w:rsid w:val="00214756"/>
    <w:rsid w:val="0021553C"/>
    <w:rsid w:val="00215CF2"/>
    <w:rsid w:val="0022000A"/>
    <w:rsid w:val="00220542"/>
    <w:rsid w:val="00221174"/>
    <w:rsid w:val="00222A15"/>
    <w:rsid w:val="00223099"/>
    <w:rsid w:val="00224A85"/>
    <w:rsid w:val="00225ADC"/>
    <w:rsid w:val="002352D3"/>
    <w:rsid w:val="002359EB"/>
    <w:rsid w:val="002363AB"/>
    <w:rsid w:val="002400C2"/>
    <w:rsid w:val="002401E7"/>
    <w:rsid w:val="0024260D"/>
    <w:rsid w:val="00245012"/>
    <w:rsid w:val="0024504E"/>
    <w:rsid w:val="0024651F"/>
    <w:rsid w:val="0025158D"/>
    <w:rsid w:val="0025281A"/>
    <w:rsid w:val="00253D3C"/>
    <w:rsid w:val="00255292"/>
    <w:rsid w:val="00260200"/>
    <w:rsid w:val="002648D8"/>
    <w:rsid w:val="00273E20"/>
    <w:rsid w:val="00273F86"/>
    <w:rsid w:val="0027440E"/>
    <w:rsid w:val="00277019"/>
    <w:rsid w:val="002774F0"/>
    <w:rsid w:val="00277A9B"/>
    <w:rsid w:val="00277E21"/>
    <w:rsid w:val="0028320C"/>
    <w:rsid w:val="0028459B"/>
    <w:rsid w:val="00284C5F"/>
    <w:rsid w:val="002873F0"/>
    <w:rsid w:val="00291E0E"/>
    <w:rsid w:val="002964F9"/>
    <w:rsid w:val="002A1F14"/>
    <w:rsid w:val="002A2678"/>
    <w:rsid w:val="002A2E01"/>
    <w:rsid w:val="002A398F"/>
    <w:rsid w:val="002A5C6B"/>
    <w:rsid w:val="002A5D31"/>
    <w:rsid w:val="002A714F"/>
    <w:rsid w:val="002A7D9A"/>
    <w:rsid w:val="002B1851"/>
    <w:rsid w:val="002B27FF"/>
    <w:rsid w:val="002B313D"/>
    <w:rsid w:val="002B5674"/>
    <w:rsid w:val="002B6793"/>
    <w:rsid w:val="002C08E2"/>
    <w:rsid w:val="002C1726"/>
    <w:rsid w:val="002C21A6"/>
    <w:rsid w:val="002C26D5"/>
    <w:rsid w:val="002C5777"/>
    <w:rsid w:val="002C7CA5"/>
    <w:rsid w:val="002D32E3"/>
    <w:rsid w:val="002E0FEB"/>
    <w:rsid w:val="002E37D5"/>
    <w:rsid w:val="002E43FA"/>
    <w:rsid w:val="002F0F79"/>
    <w:rsid w:val="002F280E"/>
    <w:rsid w:val="002F3709"/>
    <w:rsid w:val="002F3A6C"/>
    <w:rsid w:val="002F4296"/>
    <w:rsid w:val="002F6E02"/>
    <w:rsid w:val="00300951"/>
    <w:rsid w:val="003023C9"/>
    <w:rsid w:val="0030260F"/>
    <w:rsid w:val="00302CA8"/>
    <w:rsid w:val="00302DE9"/>
    <w:rsid w:val="00305084"/>
    <w:rsid w:val="0031092E"/>
    <w:rsid w:val="0031455C"/>
    <w:rsid w:val="003204E9"/>
    <w:rsid w:val="00321E8C"/>
    <w:rsid w:val="00322A86"/>
    <w:rsid w:val="00322E99"/>
    <w:rsid w:val="00323AE8"/>
    <w:rsid w:val="00324548"/>
    <w:rsid w:val="003251F4"/>
    <w:rsid w:val="00326A88"/>
    <w:rsid w:val="003303E3"/>
    <w:rsid w:val="003329EA"/>
    <w:rsid w:val="00337C6F"/>
    <w:rsid w:val="003407A5"/>
    <w:rsid w:val="00341188"/>
    <w:rsid w:val="0034147B"/>
    <w:rsid w:val="00344079"/>
    <w:rsid w:val="00344C13"/>
    <w:rsid w:val="0034736B"/>
    <w:rsid w:val="00350238"/>
    <w:rsid w:val="0035109C"/>
    <w:rsid w:val="00351F0A"/>
    <w:rsid w:val="0035206A"/>
    <w:rsid w:val="0035401D"/>
    <w:rsid w:val="0035432B"/>
    <w:rsid w:val="00361E7E"/>
    <w:rsid w:val="00366917"/>
    <w:rsid w:val="00370AA4"/>
    <w:rsid w:val="00371FF4"/>
    <w:rsid w:val="003753EF"/>
    <w:rsid w:val="00377520"/>
    <w:rsid w:val="00380D36"/>
    <w:rsid w:val="003822D3"/>
    <w:rsid w:val="00383571"/>
    <w:rsid w:val="00385B9D"/>
    <w:rsid w:val="00386630"/>
    <w:rsid w:val="00390B25"/>
    <w:rsid w:val="003910FB"/>
    <w:rsid w:val="0039150C"/>
    <w:rsid w:val="00394372"/>
    <w:rsid w:val="00397156"/>
    <w:rsid w:val="00397960"/>
    <w:rsid w:val="003A1068"/>
    <w:rsid w:val="003A1642"/>
    <w:rsid w:val="003A1A99"/>
    <w:rsid w:val="003A3BC4"/>
    <w:rsid w:val="003A458A"/>
    <w:rsid w:val="003B2F13"/>
    <w:rsid w:val="003B405E"/>
    <w:rsid w:val="003B57D3"/>
    <w:rsid w:val="003C1F58"/>
    <w:rsid w:val="003C2E0F"/>
    <w:rsid w:val="003C6771"/>
    <w:rsid w:val="003C792F"/>
    <w:rsid w:val="003D124B"/>
    <w:rsid w:val="003D18F3"/>
    <w:rsid w:val="003D3D98"/>
    <w:rsid w:val="003D7441"/>
    <w:rsid w:val="003D767B"/>
    <w:rsid w:val="003D78B5"/>
    <w:rsid w:val="003E244F"/>
    <w:rsid w:val="003E4BDD"/>
    <w:rsid w:val="003E62A6"/>
    <w:rsid w:val="003E695F"/>
    <w:rsid w:val="003E6C9B"/>
    <w:rsid w:val="003E709C"/>
    <w:rsid w:val="003E7B89"/>
    <w:rsid w:val="003F1000"/>
    <w:rsid w:val="003F23AB"/>
    <w:rsid w:val="003F4241"/>
    <w:rsid w:val="003F5617"/>
    <w:rsid w:val="003F64BA"/>
    <w:rsid w:val="003F7C45"/>
    <w:rsid w:val="0040132C"/>
    <w:rsid w:val="00405085"/>
    <w:rsid w:val="00405493"/>
    <w:rsid w:val="004066FC"/>
    <w:rsid w:val="004072A7"/>
    <w:rsid w:val="00407C10"/>
    <w:rsid w:val="004113B4"/>
    <w:rsid w:val="00414827"/>
    <w:rsid w:val="00416AA3"/>
    <w:rsid w:val="00416C10"/>
    <w:rsid w:val="004248D8"/>
    <w:rsid w:val="00424EF3"/>
    <w:rsid w:val="004268BB"/>
    <w:rsid w:val="00431047"/>
    <w:rsid w:val="00431B86"/>
    <w:rsid w:val="004360F5"/>
    <w:rsid w:val="004366B7"/>
    <w:rsid w:val="004408EC"/>
    <w:rsid w:val="00441126"/>
    <w:rsid w:val="00441E6A"/>
    <w:rsid w:val="0044256C"/>
    <w:rsid w:val="00443814"/>
    <w:rsid w:val="00443C8F"/>
    <w:rsid w:val="00445EEC"/>
    <w:rsid w:val="00452481"/>
    <w:rsid w:val="00457804"/>
    <w:rsid w:val="004621E3"/>
    <w:rsid w:val="00463E88"/>
    <w:rsid w:val="004646BF"/>
    <w:rsid w:val="00464744"/>
    <w:rsid w:val="004665E3"/>
    <w:rsid w:val="004731F1"/>
    <w:rsid w:val="004773C3"/>
    <w:rsid w:val="00477599"/>
    <w:rsid w:val="00480BC8"/>
    <w:rsid w:val="00481265"/>
    <w:rsid w:val="004814BF"/>
    <w:rsid w:val="00482561"/>
    <w:rsid w:val="0048587E"/>
    <w:rsid w:val="00485DF9"/>
    <w:rsid w:val="00487C2B"/>
    <w:rsid w:val="00490E04"/>
    <w:rsid w:val="0049297D"/>
    <w:rsid w:val="004929F2"/>
    <w:rsid w:val="00495A03"/>
    <w:rsid w:val="00496623"/>
    <w:rsid w:val="00497079"/>
    <w:rsid w:val="00497C76"/>
    <w:rsid w:val="004A1BBA"/>
    <w:rsid w:val="004A3E3C"/>
    <w:rsid w:val="004B0E6D"/>
    <w:rsid w:val="004B16E8"/>
    <w:rsid w:val="004B1842"/>
    <w:rsid w:val="004B24B9"/>
    <w:rsid w:val="004B6250"/>
    <w:rsid w:val="004B76B1"/>
    <w:rsid w:val="004C0057"/>
    <w:rsid w:val="004C0541"/>
    <w:rsid w:val="004C2C46"/>
    <w:rsid w:val="004C4713"/>
    <w:rsid w:val="004C7235"/>
    <w:rsid w:val="004C7955"/>
    <w:rsid w:val="004C7BA8"/>
    <w:rsid w:val="004D047F"/>
    <w:rsid w:val="004D3D96"/>
    <w:rsid w:val="004D650F"/>
    <w:rsid w:val="004E0C6D"/>
    <w:rsid w:val="004E2133"/>
    <w:rsid w:val="004E3573"/>
    <w:rsid w:val="004E500D"/>
    <w:rsid w:val="004E5F85"/>
    <w:rsid w:val="004E60FB"/>
    <w:rsid w:val="004F3B68"/>
    <w:rsid w:val="004F5D4B"/>
    <w:rsid w:val="004F6744"/>
    <w:rsid w:val="004F779C"/>
    <w:rsid w:val="004F7846"/>
    <w:rsid w:val="005000D4"/>
    <w:rsid w:val="00501238"/>
    <w:rsid w:val="00503CF1"/>
    <w:rsid w:val="00510CAF"/>
    <w:rsid w:val="005114F6"/>
    <w:rsid w:val="00512521"/>
    <w:rsid w:val="005126A6"/>
    <w:rsid w:val="005128C5"/>
    <w:rsid w:val="0051478B"/>
    <w:rsid w:val="0051566A"/>
    <w:rsid w:val="00515D7B"/>
    <w:rsid w:val="00516427"/>
    <w:rsid w:val="005166E9"/>
    <w:rsid w:val="00517ED6"/>
    <w:rsid w:val="0052009E"/>
    <w:rsid w:val="00520F76"/>
    <w:rsid w:val="00525E59"/>
    <w:rsid w:val="005318CC"/>
    <w:rsid w:val="00532969"/>
    <w:rsid w:val="00532C7F"/>
    <w:rsid w:val="005349B1"/>
    <w:rsid w:val="005374BC"/>
    <w:rsid w:val="00540865"/>
    <w:rsid w:val="005409F2"/>
    <w:rsid w:val="00543188"/>
    <w:rsid w:val="00543367"/>
    <w:rsid w:val="00543BFA"/>
    <w:rsid w:val="005461FA"/>
    <w:rsid w:val="00547AB2"/>
    <w:rsid w:val="00547D9C"/>
    <w:rsid w:val="00547DA1"/>
    <w:rsid w:val="005516A4"/>
    <w:rsid w:val="00552031"/>
    <w:rsid w:val="0055513C"/>
    <w:rsid w:val="00560C94"/>
    <w:rsid w:val="0056291C"/>
    <w:rsid w:val="00565A63"/>
    <w:rsid w:val="00565D8D"/>
    <w:rsid w:val="00566588"/>
    <w:rsid w:val="00567BFC"/>
    <w:rsid w:val="00571E8D"/>
    <w:rsid w:val="0057275D"/>
    <w:rsid w:val="00572A10"/>
    <w:rsid w:val="0057436F"/>
    <w:rsid w:val="005800A9"/>
    <w:rsid w:val="00580488"/>
    <w:rsid w:val="0058074D"/>
    <w:rsid w:val="00580FD1"/>
    <w:rsid w:val="00582FAD"/>
    <w:rsid w:val="00583489"/>
    <w:rsid w:val="00586BCD"/>
    <w:rsid w:val="005905DC"/>
    <w:rsid w:val="005907B8"/>
    <w:rsid w:val="00590FE4"/>
    <w:rsid w:val="00591D9C"/>
    <w:rsid w:val="00597057"/>
    <w:rsid w:val="00597D8B"/>
    <w:rsid w:val="005A1C30"/>
    <w:rsid w:val="005A3295"/>
    <w:rsid w:val="005A3572"/>
    <w:rsid w:val="005A46FF"/>
    <w:rsid w:val="005A54D8"/>
    <w:rsid w:val="005A5E79"/>
    <w:rsid w:val="005A62E5"/>
    <w:rsid w:val="005B011E"/>
    <w:rsid w:val="005B2E84"/>
    <w:rsid w:val="005B5F1E"/>
    <w:rsid w:val="005B7B0E"/>
    <w:rsid w:val="005C0B52"/>
    <w:rsid w:val="005C41EC"/>
    <w:rsid w:val="005C5409"/>
    <w:rsid w:val="005C69AC"/>
    <w:rsid w:val="005C722E"/>
    <w:rsid w:val="005D01A4"/>
    <w:rsid w:val="005D45B3"/>
    <w:rsid w:val="005D4CEB"/>
    <w:rsid w:val="005D7498"/>
    <w:rsid w:val="005F04E6"/>
    <w:rsid w:val="005F43B9"/>
    <w:rsid w:val="005F5AFD"/>
    <w:rsid w:val="005F64B6"/>
    <w:rsid w:val="005F68CB"/>
    <w:rsid w:val="006005EA"/>
    <w:rsid w:val="00600F00"/>
    <w:rsid w:val="006033E3"/>
    <w:rsid w:val="0060638F"/>
    <w:rsid w:val="00606E8B"/>
    <w:rsid w:val="00607EE2"/>
    <w:rsid w:val="0061321C"/>
    <w:rsid w:val="00614FE2"/>
    <w:rsid w:val="0062217E"/>
    <w:rsid w:val="0062386E"/>
    <w:rsid w:val="00623D9A"/>
    <w:rsid w:val="00623F01"/>
    <w:rsid w:val="006242FB"/>
    <w:rsid w:val="0062699E"/>
    <w:rsid w:val="00626E2D"/>
    <w:rsid w:val="00627D94"/>
    <w:rsid w:val="00630B42"/>
    <w:rsid w:val="00642072"/>
    <w:rsid w:val="006440ED"/>
    <w:rsid w:val="006442F2"/>
    <w:rsid w:val="00645293"/>
    <w:rsid w:val="0064612A"/>
    <w:rsid w:val="00647CAC"/>
    <w:rsid w:val="006515BD"/>
    <w:rsid w:val="006517D6"/>
    <w:rsid w:val="00651B78"/>
    <w:rsid w:val="00652263"/>
    <w:rsid w:val="00652881"/>
    <w:rsid w:val="00656C49"/>
    <w:rsid w:val="00657453"/>
    <w:rsid w:val="00661974"/>
    <w:rsid w:val="00662C4E"/>
    <w:rsid w:val="00664551"/>
    <w:rsid w:val="006676A0"/>
    <w:rsid w:val="00670857"/>
    <w:rsid w:val="00670EFC"/>
    <w:rsid w:val="00671124"/>
    <w:rsid w:val="00671403"/>
    <w:rsid w:val="00671A0D"/>
    <w:rsid w:val="006727B0"/>
    <w:rsid w:val="00672A41"/>
    <w:rsid w:val="0067307E"/>
    <w:rsid w:val="006739F5"/>
    <w:rsid w:val="00676E31"/>
    <w:rsid w:val="00683A23"/>
    <w:rsid w:val="00687AD5"/>
    <w:rsid w:val="00693FF1"/>
    <w:rsid w:val="00695251"/>
    <w:rsid w:val="00695ADE"/>
    <w:rsid w:val="00695C0D"/>
    <w:rsid w:val="00696356"/>
    <w:rsid w:val="006A309C"/>
    <w:rsid w:val="006A6507"/>
    <w:rsid w:val="006A651B"/>
    <w:rsid w:val="006A72C6"/>
    <w:rsid w:val="006B02DA"/>
    <w:rsid w:val="006B083F"/>
    <w:rsid w:val="006B0F48"/>
    <w:rsid w:val="006B2065"/>
    <w:rsid w:val="006B3940"/>
    <w:rsid w:val="006B7232"/>
    <w:rsid w:val="006B7953"/>
    <w:rsid w:val="006C168D"/>
    <w:rsid w:val="006C3003"/>
    <w:rsid w:val="006C642C"/>
    <w:rsid w:val="006C6E3F"/>
    <w:rsid w:val="006C6FC6"/>
    <w:rsid w:val="006D022D"/>
    <w:rsid w:val="006D1697"/>
    <w:rsid w:val="006E14B8"/>
    <w:rsid w:val="006E2574"/>
    <w:rsid w:val="006E30C6"/>
    <w:rsid w:val="006E34B7"/>
    <w:rsid w:val="006E3C42"/>
    <w:rsid w:val="006E4DE8"/>
    <w:rsid w:val="006E758E"/>
    <w:rsid w:val="006F4CD8"/>
    <w:rsid w:val="006F528E"/>
    <w:rsid w:val="006F53D9"/>
    <w:rsid w:val="007004DC"/>
    <w:rsid w:val="007020B2"/>
    <w:rsid w:val="00703E8A"/>
    <w:rsid w:val="007066A0"/>
    <w:rsid w:val="007067A4"/>
    <w:rsid w:val="00711522"/>
    <w:rsid w:val="007124FE"/>
    <w:rsid w:val="00713186"/>
    <w:rsid w:val="00713757"/>
    <w:rsid w:val="00717772"/>
    <w:rsid w:val="00721AF1"/>
    <w:rsid w:val="00721DAF"/>
    <w:rsid w:val="0072280F"/>
    <w:rsid w:val="00722B5E"/>
    <w:rsid w:val="00723C69"/>
    <w:rsid w:val="0072680B"/>
    <w:rsid w:val="0072708F"/>
    <w:rsid w:val="007301B9"/>
    <w:rsid w:val="00730834"/>
    <w:rsid w:val="0073246A"/>
    <w:rsid w:val="00732D1D"/>
    <w:rsid w:val="00736034"/>
    <w:rsid w:val="0073681C"/>
    <w:rsid w:val="00741AFA"/>
    <w:rsid w:val="00741EBE"/>
    <w:rsid w:val="0074259E"/>
    <w:rsid w:val="00744454"/>
    <w:rsid w:val="00746130"/>
    <w:rsid w:val="00746A40"/>
    <w:rsid w:val="00750358"/>
    <w:rsid w:val="0075266C"/>
    <w:rsid w:val="00753072"/>
    <w:rsid w:val="00755CDF"/>
    <w:rsid w:val="007576D8"/>
    <w:rsid w:val="00757A4C"/>
    <w:rsid w:val="00763463"/>
    <w:rsid w:val="00763A67"/>
    <w:rsid w:val="00764A94"/>
    <w:rsid w:val="007651E5"/>
    <w:rsid w:val="007670DC"/>
    <w:rsid w:val="00767D6A"/>
    <w:rsid w:val="0077111A"/>
    <w:rsid w:val="00771C09"/>
    <w:rsid w:val="00772272"/>
    <w:rsid w:val="007756ED"/>
    <w:rsid w:val="0078456B"/>
    <w:rsid w:val="00785899"/>
    <w:rsid w:val="00785CDF"/>
    <w:rsid w:val="007870FC"/>
    <w:rsid w:val="0078797E"/>
    <w:rsid w:val="00787CD0"/>
    <w:rsid w:val="00791053"/>
    <w:rsid w:val="00791A3A"/>
    <w:rsid w:val="007924E0"/>
    <w:rsid w:val="00794196"/>
    <w:rsid w:val="00796791"/>
    <w:rsid w:val="007970BD"/>
    <w:rsid w:val="00797637"/>
    <w:rsid w:val="007A13A4"/>
    <w:rsid w:val="007A3680"/>
    <w:rsid w:val="007A59B8"/>
    <w:rsid w:val="007B1BFE"/>
    <w:rsid w:val="007B238D"/>
    <w:rsid w:val="007B2862"/>
    <w:rsid w:val="007B28B4"/>
    <w:rsid w:val="007B36DA"/>
    <w:rsid w:val="007B61BE"/>
    <w:rsid w:val="007B662A"/>
    <w:rsid w:val="007B76A7"/>
    <w:rsid w:val="007C228E"/>
    <w:rsid w:val="007C4ADF"/>
    <w:rsid w:val="007C4B17"/>
    <w:rsid w:val="007D0AC8"/>
    <w:rsid w:val="007D2348"/>
    <w:rsid w:val="007D28C9"/>
    <w:rsid w:val="007D3CC8"/>
    <w:rsid w:val="007D600E"/>
    <w:rsid w:val="007D62F9"/>
    <w:rsid w:val="007D63A4"/>
    <w:rsid w:val="007E17E5"/>
    <w:rsid w:val="007E1AA2"/>
    <w:rsid w:val="007E4C1F"/>
    <w:rsid w:val="007F0759"/>
    <w:rsid w:val="007F25C0"/>
    <w:rsid w:val="007F39AC"/>
    <w:rsid w:val="007F3E8C"/>
    <w:rsid w:val="007F5F52"/>
    <w:rsid w:val="007F6D14"/>
    <w:rsid w:val="007F77C6"/>
    <w:rsid w:val="008003A1"/>
    <w:rsid w:val="008006B7"/>
    <w:rsid w:val="00800FDB"/>
    <w:rsid w:val="00802081"/>
    <w:rsid w:val="00804A6C"/>
    <w:rsid w:val="00806461"/>
    <w:rsid w:val="00807A3F"/>
    <w:rsid w:val="0081096D"/>
    <w:rsid w:val="00810EAD"/>
    <w:rsid w:val="00811833"/>
    <w:rsid w:val="008174D4"/>
    <w:rsid w:val="00820FE6"/>
    <w:rsid w:val="00821A66"/>
    <w:rsid w:val="00822476"/>
    <w:rsid w:val="00822882"/>
    <w:rsid w:val="00825F68"/>
    <w:rsid w:val="00827589"/>
    <w:rsid w:val="00830A24"/>
    <w:rsid w:val="008327A3"/>
    <w:rsid w:val="00835408"/>
    <w:rsid w:val="008359DA"/>
    <w:rsid w:val="008371CD"/>
    <w:rsid w:val="00837CEF"/>
    <w:rsid w:val="00840035"/>
    <w:rsid w:val="00840311"/>
    <w:rsid w:val="0084066E"/>
    <w:rsid w:val="008428A9"/>
    <w:rsid w:val="00844112"/>
    <w:rsid w:val="0084497A"/>
    <w:rsid w:val="008456C9"/>
    <w:rsid w:val="0084611D"/>
    <w:rsid w:val="0084637A"/>
    <w:rsid w:val="00846915"/>
    <w:rsid w:val="00850C62"/>
    <w:rsid w:val="008523E4"/>
    <w:rsid w:val="00852EBD"/>
    <w:rsid w:val="00861C16"/>
    <w:rsid w:val="008625DB"/>
    <w:rsid w:val="00863011"/>
    <w:rsid w:val="00865075"/>
    <w:rsid w:val="0086748F"/>
    <w:rsid w:val="00872CE4"/>
    <w:rsid w:val="00877B62"/>
    <w:rsid w:val="008802F9"/>
    <w:rsid w:val="00881015"/>
    <w:rsid w:val="008810B0"/>
    <w:rsid w:val="008819B6"/>
    <w:rsid w:val="00881AAC"/>
    <w:rsid w:val="008836B7"/>
    <w:rsid w:val="008841D3"/>
    <w:rsid w:val="00887DE6"/>
    <w:rsid w:val="00891010"/>
    <w:rsid w:val="00894C2A"/>
    <w:rsid w:val="00896985"/>
    <w:rsid w:val="00897708"/>
    <w:rsid w:val="00897712"/>
    <w:rsid w:val="00897D88"/>
    <w:rsid w:val="008A14EE"/>
    <w:rsid w:val="008A2BD6"/>
    <w:rsid w:val="008A2F16"/>
    <w:rsid w:val="008A4BA5"/>
    <w:rsid w:val="008B1823"/>
    <w:rsid w:val="008B2484"/>
    <w:rsid w:val="008B6E16"/>
    <w:rsid w:val="008B7110"/>
    <w:rsid w:val="008C0284"/>
    <w:rsid w:val="008C2029"/>
    <w:rsid w:val="008C2902"/>
    <w:rsid w:val="008C32E4"/>
    <w:rsid w:val="008C5CF1"/>
    <w:rsid w:val="008C61D6"/>
    <w:rsid w:val="008C61F0"/>
    <w:rsid w:val="008C64F1"/>
    <w:rsid w:val="008D1BB0"/>
    <w:rsid w:val="008D20FF"/>
    <w:rsid w:val="008D2445"/>
    <w:rsid w:val="008D32A8"/>
    <w:rsid w:val="008D3DE6"/>
    <w:rsid w:val="008D4223"/>
    <w:rsid w:val="008D44CC"/>
    <w:rsid w:val="008D46E3"/>
    <w:rsid w:val="008D6709"/>
    <w:rsid w:val="008E083A"/>
    <w:rsid w:val="008E1676"/>
    <w:rsid w:val="008E2450"/>
    <w:rsid w:val="008E3113"/>
    <w:rsid w:val="008E47BE"/>
    <w:rsid w:val="008E5710"/>
    <w:rsid w:val="008E7896"/>
    <w:rsid w:val="008F2477"/>
    <w:rsid w:val="008F474C"/>
    <w:rsid w:val="009010F0"/>
    <w:rsid w:val="00901162"/>
    <w:rsid w:val="0090223A"/>
    <w:rsid w:val="0090258A"/>
    <w:rsid w:val="009028E2"/>
    <w:rsid w:val="00904B29"/>
    <w:rsid w:val="00904C53"/>
    <w:rsid w:val="00905907"/>
    <w:rsid w:val="00907821"/>
    <w:rsid w:val="009136D8"/>
    <w:rsid w:val="00914EAB"/>
    <w:rsid w:val="009161D5"/>
    <w:rsid w:val="00916329"/>
    <w:rsid w:val="009179C1"/>
    <w:rsid w:val="009215BE"/>
    <w:rsid w:val="00922D49"/>
    <w:rsid w:val="00923EA4"/>
    <w:rsid w:val="00925E37"/>
    <w:rsid w:val="00925EDD"/>
    <w:rsid w:val="00926032"/>
    <w:rsid w:val="00927D0E"/>
    <w:rsid w:val="009309D9"/>
    <w:rsid w:val="009309DA"/>
    <w:rsid w:val="00932772"/>
    <w:rsid w:val="00936688"/>
    <w:rsid w:val="00937CFA"/>
    <w:rsid w:val="009406B3"/>
    <w:rsid w:val="00942407"/>
    <w:rsid w:val="00944FBA"/>
    <w:rsid w:val="00945CF5"/>
    <w:rsid w:val="009500A1"/>
    <w:rsid w:val="0095037E"/>
    <w:rsid w:val="00950650"/>
    <w:rsid w:val="00952AAD"/>
    <w:rsid w:val="00954567"/>
    <w:rsid w:val="009560B4"/>
    <w:rsid w:val="00956DC6"/>
    <w:rsid w:val="00957466"/>
    <w:rsid w:val="009576B9"/>
    <w:rsid w:val="00957FA9"/>
    <w:rsid w:val="00961EED"/>
    <w:rsid w:val="0096260B"/>
    <w:rsid w:val="00963197"/>
    <w:rsid w:val="00966289"/>
    <w:rsid w:val="009664D5"/>
    <w:rsid w:val="009667E3"/>
    <w:rsid w:val="00967B8C"/>
    <w:rsid w:val="00970C69"/>
    <w:rsid w:val="00971F1C"/>
    <w:rsid w:val="0097211D"/>
    <w:rsid w:val="00972E10"/>
    <w:rsid w:val="009746CA"/>
    <w:rsid w:val="00974C1F"/>
    <w:rsid w:val="0097689C"/>
    <w:rsid w:val="0098001F"/>
    <w:rsid w:val="00981781"/>
    <w:rsid w:val="00981963"/>
    <w:rsid w:val="00982E50"/>
    <w:rsid w:val="00983C82"/>
    <w:rsid w:val="00984520"/>
    <w:rsid w:val="009849AD"/>
    <w:rsid w:val="0098545C"/>
    <w:rsid w:val="00990466"/>
    <w:rsid w:val="00992BA2"/>
    <w:rsid w:val="00992F83"/>
    <w:rsid w:val="00993B74"/>
    <w:rsid w:val="0099508A"/>
    <w:rsid w:val="0099521D"/>
    <w:rsid w:val="009974EB"/>
    <w:rsid w:val="009A0AE3"/>
    <w:rsid w:val="009A1126"/>
    <w:rsid w:val="009B1454"/>
    <w:rsid w:val="009B1584"/>
    <w:rsid w:val="009B1B32"/>
    <w:rsid w:val="009B1C29"/>
    <w:rsid w:val="009B21CA"/>
    <w:rsid w:val="009B2648"/>
    <w:rsid w:val="009B3AC4"/>
    <w:rsid w:val="009B73E6"/>
    <w:rsid w:val="009C03E5"/>
    <w:rsid w:val="009C0914"/>
    <w:rsid w:val="009C11D4"/>
    <w:rsid w:val="009C3730"/>
    <w:rsid w:val="009C37BD"/>
    <w:rsid w:val="009C3AAC"/>
    <w:rsid w:val="009C42C2"/>
    <w:rsid w:val="009C4B73"/>
    <w:rsid w:val="009C4D19"/>
    <w:rsid w:val="009C5157"/>
    <w:rsid w:val="009C5FDB"/>
    <w:rsid w:val="009C693E"/>
    <w:rsid w:val="009C70CB"/>
    <w:rsid w:val="009D1145"/>
    <w:rsid w:val="009D139A"/>
    <w:rsid w:val="009D1EA4"/>
    <w:rsid w:val="009D27AA"/>
    <w:rsid w:val="009D2E53"/>
    <w:rsid w:val="009D3F6A"/>
    <w:rsid w:val="009D4991"/>
    <w:rsid w:val="009D5BB5"/>
    <w:rsid w:val="009D696D"/>
    <w:rsid w:val="009D6ED2"/>
    <w:rsid w:val="009E0F1A"/>
    <w:rsid w:val="009E140D"/>
    <w:rsid w:val="009E2866"/>
    <w:rsid w:val="009E3B19"/>
    <w:rsid w:val="009E4465"/>
    <w:rsid w:val="009E574C"/>
    <w:rsid w:val="009E6401"/>
    <w:rsid w:val="009E6C54"/>
    <w:rsid w:val="009E79B3"/>
    <w:rsid w:val="009F1598"/>
    <w:rsid w:val="009F2A25"/>
    <w:rsid w:val="009F33B9"/>
    <w:rsid w:val="009F5235"/>
    <w:rsid w:val="009F531A"/>
    <w:rsid w:val="009F6550"/>
    <w:rsid w:val="009F786E"/>
    <w:rsid w:val="00A00902"/>
    <w:rsid w:val="00A01A80"/>
    <w:rsid w:val="00A02697"/>
    <w:rsid w:val="00A039FF"/>
    <w:rsid w:val="00A04704"/>
    <w:rsid w:val="00A05ACE"/>
    <w:rsid w:val="00A05CC8"/>
    <w:rsid w:val="00A07731"/>
    <w:rsid w:val="00A079EB"/>
    <w:rsid w:val="00A14AE3"/>
    <w:rsid w:val="00A155E8"/>
    <w:rsid w:val="00A156D6"/>
    <w:rsid w:val="00A16675"/>
    <w:rsid w:val="00A16E63"/>
    <w:rsid w:val="00A22CD6"/>
    <w:rsid w:val="00A234EC"/>
    <w:rsid w:val="00A2417A"/>
    <w:rsid w:val="00A24611"/>
    <w:rsid w:val="00A25BE6"/>
    <w:rsid w:val="00A26135"/>
    <w:rsid w:val="00A26668"/>
    <w:rsid w:val="00A27804"/>
    <w:rsid w:val="00A354C9"/>
    <w:rsid w:val="00A36822"/>
    <w:rsid w:val="00A36AB5"/>
    <w:rsid w:val="00A411D1"/>
    <w:rsid w:val="00A43389"/>
    <w:rsid w:val="00A43E71"/>
    <w:rsid w:val="00A45006"/>
    <w:rsid w:val="00A45753"/>
    <w:rsid w:val="00A46594"/>
    <w:rsid w:val="00A47B15"/>
    <w:rsid w:val="00A52F84"/>
    <w:rsid w:val="00A5337E"/>
    <w:rsid w:val="00A56B05"/>
    <w:rsid w:val="00A57678"/>
    <w:rsid w:val="00A60E2F"/>
    <w:rsid w:val="00A615BD"/>
    <w:rsid w:val="00A63284"/>
    <w:rsid w:val="00A64CB8"/>
    <w:rsid w:val="00A66A6C"/>
    <w:rsid w:val="00A67018"/>
    <w:rsid w:val="00A672F3"/>
    <w:rsid w:val="00A673DC"/>
    <w:rsid w:val="00A7076E"/>
    <w:rsid w:val="00A709BE"/>
    <w:rsid w:val="00A7162E"/>
    <w:rsid w:val="00A72996"/>
    <w:rsid w:val="00A72D71"/>
    <w:rsid w:val="00A74E87"/>
    <w:rsid w:val="00A75705"/>
    <w:rsid w:val="00A76E73"/>
    <w:rsid w:val="00A77C69"/>
    <w:rsid w:val="00A82AC0"/>
    <w:rsid w:val="00A83953"/>
    <w:rsid w:val="00A86B13"/>
    <w:rsid w:val="00A903B6"/>
    <w:rsid w:val="00A90F4F"/>
    <w:rsid w:val="00A947AA"/>
    <w:rsid w:val="00AA1B53"/>
    <w:rsid w:val="00AA2D83"/>
    <w:rsid w:val="00AA3556"/>
    <w:rsid w:val="00AA35FD"/>
    <w:rsid w:val="00AA3DB7"/>
    <w:rsid w:val="00AA3F08"/>
    <w:rsid w:val="00AA486D"/>
    <w:rsid w:val="00AA7998"/>
    <w:rsid w:val="00AB07D6"/>
    <w:rsid w:val="00AB3012"/>
    <w:rsid w:val="00AB321C"/>
    <w:rsid w:val="00AB67DE"/>
    <w:rsid w:val="00AB688F"/>
    <w:rsid w:val="00AB69B5"/>
    <w:rsid w:val="00AB75EA"/>
    <w:rsid w:val="00AB7AA2"/>
    <w:rsid w:val="00AC4BC1"/>
    <w:rsid w:val="00AC5852"/>
    <w:rsid w:val="00AC714B"/>
    <w:rsid w:val="00AD04BD"/>
    <w:rsid w:val="00AD7214"/>
    <w:rsid w:val="00AE1066"/>
    <w:rsid w:val="00AE4518"/>
    <w:rsid w:val="00AE5D7F"/>
    <w:rsid w:val="00AE79F0"/>
    <w:rsid w:val="00AF6EC1"/>
    <w:rsid w:val="00B00331"/>
    <w:rsid w:val="00B00FEF"/>
    <w:rsid w:val="00B013C5"/>
    <w:rsid w:val="00B01441"/>
    <w:rsid w:val="00B01A80"/>
    <w:rsid w:val="00B04665"/>
    <w:rsid w:val="00B05273"/>
    <w:rsid w:val="00B05291"/>
    <w:rsid w:val="00B067F7"/>
    <w:rsid w:val="00B07A32"/>
    <w:rsid w:val="00B07C27"/>
    <w:rsid w:val="00B10017"/>
    <w:rsid w:val="00B10DE1"/>
    <w:rsid w:val="00B10FF8"/>
    <w:rsid w:val="00B1198D"/>
    <w:rsid w:val="00B139A2"/>
    <w:rsid w:val="00B13D83"/>
    <w:rsid w:val="00B151EE"/>
    <w:rsid w:val="00B153F2"/>
    <w:rsid w:val="00B203C4"/>
    <w:rsid w:val="00B2115D"/>
    <w:rsid w:val="00B22E81"/>
    <w:rsid w:val="00B23996"/>
    <w:rsid w:val="00B23CB2"/>
    <w:rsid w:val="00B2561A"/>
    <w:rsid w:val="00B25A64"/>
    <w:rsid w:val="00B32505"/>
    <w:rsid w:val="00B32AB3"/>
    <w:rsid w:val="00B34E7C"/>
    <w:rsid w:val="00B368EA"/>
    <w:rsid w:val="00B37EEF"/>
    <w:rsid w:val="00B47078"/>
    <w:rsid w:val="00B479C2"/>
    <w:rsid w:val="00B50270"/>
    <w:rsid w:val="00B510B2"/>
    <w:rsid w:val="00B54370"/>
    <w:rsid w:val="00B543B4"/>
    <w:rsid w:val="00B55185"/>
    <w:rsid w:val="00B57124"/>
    <w:rsid w:val="00B575D0"/>
    <w:rsid w:val="00B60040"/>
    <w:rsid w:val="00B6083D"/>
    <w:rsid w:val="00B61923"/>
    <w:rsid w:val="00B621D6"/>
    <w:rsid w:val="00B65D6F"/>
    <w:rsid w:val="00B67AA2"/>
    <w:rsid w:val="00B67AC8"/>
    <w:rsid w:val="00B67C23"/>
    <w:rsid w:val="00B67C8A"/>
    <w:rsid w:val="00B70663"/>
    <w:rsid w:val="00B70DC7"/>
    <w:rsid w:val="00B71077"/>
    <w:rsid w:val="00B75735"/>
    <w:rsid w:val="00B76BBB"/>
    <w:rsid w:val="00B77142"/>
    <w:rsid w:val="00B80A2C"/>
    <w:rsid w:val="00B81F60"/>
    <w:rsid w:val="00B82154"/>
    <w:rsid w:val="00B82B30"/>
    <w:rsid w:val="00B841AC"/>
    <w:rsid w:val="00B847A6"/>
    <w:rsid w:val="00B84D8E"/>
    <w:rsid w:val="00B85B0C"/>
    <w:rsid w:val="00B865B0"/>
    <w:rsid w:val="00B90780"/>
    <w:rsid w:val="00B9240D"/>
    <w:rsid w:val="00B95748"/>
    <w:rsid w:val="00B97CF9"/>
    <w:rsid w:val="00BA0324"/>
    <w:rsid w:val="00BA1CD5"/>
    <w:rsid w:val="00BA22A8"/>
    <w:rsid w:val="00BA3E28"/>
    <w:rsid w:val="00BA3E48"/>
    <w:rsid w:val="00BA4BD3"/>
    <w:rsid w:val="00BA53D1"/>
    <w:rsid w:val="00BB0187"/>
    <w:rsid w:val="00BB1EB3"/>
    <w:rsid w:val="00BB2678"/>
    <w:rsid w:val="00BB49E0"/>
    <w:rsid w:val="00BB52F9"/>
    <w:rsid w:val="00BB59A6"/>
    <w:rsid w:val="00BB6480"/>
    <w:rsid w:val="00BC013A"/>
    <w:rsid w:val="00BC1638"/>
    <w:rsid w:val="00BC2343"/>
    <w:rsid w:val="00BC2BDA"/>
    <w:rsid w:val="00BC4DB3"/>
    <w:rsid w:val="00BC5706"/>
    <w:rsid w:val="00BC66E9"/>
    <w:rsid w:val="00BD30C8"/>
    <w:rsid w:val="00BD3EB4"/>
    <w:rsid w:val="00BD5C65"/>
    <w:rsid w:val="00BD7D5E"/>
    <w:rsid w:val="00BE2245"/>
    <w:rsid w:val="00BE3978"/>
    <w:rsid w:val="00BE6018"/>
    <w:rsid w:val="00BE647A"/>
    <w:rsid w:val="00BF1716"/>
    <w:rsid w:val="00BF1F57"/>
    <w:rsid w:val="00BF1FDE"/>
    <w:rsid w:val="00BF4086"/>
    <w:rsid w:val="00BF426C"/>
    <w:rsid w:val="00BF4F04"/>
    <w:rsid w:val="00BF58D0"/>
    <w:rsid w:val="00BF5AAA"/>
    <w:rsid w:val="00BF7D6A"/>
    <w:rsid w:val="00C013E1"/>
    <w:rsid w:val="00C01611"/>
    <w:rsid w:val="00C02D59"/>
    <w:rsid w:val="00C030B6"/>
    <w:rsid w:val="00C03284"/>
    <w:rsid w:val="00C050D7"/>
    <w:rsid w:val="00C05B5F"/>
    <w:rsid w:val="00C07A0F"/>
    <w:rsid w:val="00C104CC"/>
    <w:rsid w:val="00C152FE"/>
    <w:rsid w:val="00C16739"/>
    <w:rsid w:val="00C17E14"/>
    <w:rsid w:val="00C20C7D"/>
    <w:rsid w:val="00C22CCE"/>
    <w:rsid w:val="00C23BA2"/>
    <w:rsid w:val="00C2555C"/>
    <w:rsid w:val="00C32AF2"/>
    <w:rsid w:val="00C33204"/>
    <w:rsid w:val="00C338EB"/>
    <w:rsid w:val="00C33A7D"/>
    <w:rsid w:val="00C3465D"/>
    <w:rsid w:val="00C34FBC"/>
    <w:rsid w:val="00C379E9"/>
    <w:rsid w:val="00C4089D"/>
    <w:rsid w:val="00C41675"/>
    <w:rsid w:val="00C439FB"/>
    <w:rsid w:val="00C43F23"/>
    <w:rsid w:val="00C44B59"/>
    <w:rsid w:val="00C44C89"/>
    <w:rsid w:val="00C471A0"/>
    <w:rsid w:val="00C47A34"/>
    <w:rsid w:val="00C50011"/>
    <w:rsid w:val="00C50232"/>
    <w:rsid w:val="00C564B5"/>
    <w:rsid w:val="00C57AF6"/>
    <w:rsid w:val="00C60094"/>
    <w:rsid w:val="00C62BC4"/>
    <w:rsid w:val="00C638AF"/>
    <w:rsid w:val="00C645E6"/>
    <w:rsid w:val="00C64D82"/>
    <w:rsid w:val="00C64FBC"/>
    <w:rsid w:val="00C65A83"/>
    <w:rsid w:val="00C67C19"/>
    <w:rsid w:val="00C72C6F"/>
    <w:rsid w:val="00C76A6C"/>
    <w:rsid w:val="00C77F18"/>
    <w:rsid w:val="00C80F23"/>
    <w:rsid w:val="00C81151"/>
    <w:rsid w:val="00C82CC6"/>
    <w:rsid w:val="00C850A3"/>
    <w:rsid w:val="00C85C32"/>
    <w:rsid w:val="00C866C7"/>
    <w:rsid w:val="00C87568"/>
    <w:rsid w:val="00C90DB6"/>
    <w:rsid w:val="00C9394F"/>
    <w:rsid w:val="00C93B1A"/>
    <w:rsid w:val="00C96F5F"/>
    <w:rsid w:val="00CA5927"/>
    <w:rsid w:val="00CA6E0F"/>
    <w:rsid w:val="00CA79EC"/>
    <w:rsid w:val="00CB39C2"/>
    <w:rsid w:val="00CB4C8C"/>
    <w:rsid w:val="00CB52F6"/>
    <w:rsid w:val="00CB6782"/>
    <w:rsid w:val="00CB73B2"/>
    <w:rsid w:val="00CC080A"/>
    <w:rsid w:val="00CC5921"/>
    <w:rsid w:val="00CD0F7E"/>
    <w:rsid w:val="00CE5277"/>
    <w:rsid w:val="00CE6358"/>
    <w:rsid w:val="00CE7A3C"/>
    <w:rsid w:val="00CF00BE"/>
    <w:rsid w:val="00CF15C5"/>
    <w:rsid w:val="00CF2D54"/>
    <w:rsid w:val="00D0281E"/>
    <w:rsid w:val="00D03538"/>
    <w:rsid w:val="00D049B8"/>
    <w:rsid w:val="00D0516C"/>
    <w:rsid w:val="00D05EE7"/>
    <w:rsid w:val="00D068D0"/>
    <w:rsid w:val="00D078D1"/>
    <w:rsid w:val="00D10743"/>
    <w:rsid w:val="00D129A8"/>
    <w:rsid w:val="00D12FB9"/>
    <w:rsid w:val="00D17F94"/>
    <w:rsid w:val="00D200BD"/>
    <w:rsid w:val="00D22399"/>
    <w:rsid w:val="00D23B54"/>
    <w:rsid w:val="00D24178"/>
    <w:rsid w:val="00D31124"/>
    <w:rsid w:val="00D32616"/>
    <w:rsid w:val="00D33751"/>
    <w:rsid w:val="00D35B7B"/>
    <w:rsid w:val="00D36F6E"/>
    <w:rsid w:val="00D37343"/>
    <w:rsid w:val="00D40407"/>
    <w:rsid w:val="00D4205E"/>
    <w:rsid w:val="00D43E3E"/>
    <w:rsid w:val="00D44256"/>
    <w:rsid w:val="00D47EAB"/>
    <w:rsid w:val="00D50084"/>
    <w:rsid w:val="00D5155F"/>
    <w:rsid w:val="00D5190F"/>
    <w:rsid w:val="00D5574C"/>
    <w:rsid w:val="00D61982"/>
    <w:rsid w:val="00D6267A"/>
    <w:rsid w:val="00D67D12"/>
    <w:rsid w:val="00D700A1"/>
    <w:rsid w:val="00D70CBF"/>
    <w:rsid w:val="00D72A67"/>
    <w:rsid w:val="00D7585A"/>
    <w:rsid w:val="00D80618"/>
    <w:rsid w:val="00D82494"/>
    <w:rsid w:val="00D84A4B"/>
    <w:rsid w:val="00D92168"/>
    <w:rsid w:val="00D92A52"/>
    <w:rsid w:val="00D92B67"/>
    <w:rsid w:val="00D940B5"/>
    <w:rsid w:val="00D95CB0"/>
    <w:rsid w:val="00D977C0"/>
    <w:rsid w:val="00DA00A3"/>
    <w:rsid w:val="00DA13F3"/>
    <w:rsid w:val="00DA2010"/>
    <w:rsid w:val="00DA2271"/>
    <w:rsid w:val="00DA2DE3"/>
    <w:rsid w:val="00DA3AB3"/>
    <w:rsid w:val="00DA5C98"/>
    <w:rsid w:val="00DA7146"/>
    <w:rsid w:val="00DA716A"/>
    <w:rsid w:val="00DB1F4F"/>
    <w:rsid w:val="00DB37EE"/>
    <w:rsid w:val="00DB3895"/>
    <w:rsid w:val="00DB4450"/>
    <w:rsid w:val="00DB7B69"/>
    <w:rsid w:val="00DC234A"/>
    <w:rsid w:val="00DC41E4"/>
    <w:rsid w:val="00DC46C7"/>
    <w:rsid w:val="00DC5116"/>
    <w:rsid w:val="00DC561E"/>
    <w:rsid w:val="00DC610B"/>
    <w:rsid w:val="00DC7C77"/>
    <w:rsid w:val="00DD0BB7"/>
    <w:rsid w:val="00DD33DF"/>
    <w:rsid w:val="00DD7D1F"/>
    <w:rsid w:val="00DD7EA2"/>
    <w:rsid w:val="00DE00F2"/>
    <w:rsid w:val="00DE117F"/>
    <w:rsid w:val="00DE401C"/>
    <w:rsid w:val="00DF5C3F"/>
    <w:rsid w:val="00DF63FA"/>
    <w:rsid w:val="00DF719E"/>
    <w:rsid w:val="00E00A1C"/>
    <w:rsid w:val="00E012CC"/>
    <w:rsid w:val="00E02B71"/>
    <w:rsid w:val="00E02DEB"/>
    <w:rsid w:val="00E03C40"/>
    <w:rsid w:val="00E042A1"/>
    <w:rsid w:val="00E1046D"/>
    <w:rsid w:val="00E104FA"/>
    <w:rsid w:val="00E1082A"/>
    <w:rsid w:val="00E11166"/>
    <w:rsid w:val="00E12151"/>
    <w:rsid w:val="00E13182"/>
    <w:rsid w:val="00E1390B"/>
    <w:rsid w:val="00E15383"/>
    <w:rsid w:val="00E1738C"/>
    <w:rsid w:val="00E22D28"/>
    <w:rsid w:val="00E230E3"/>
    <w:rsid w:val="00E25546"/>
    <w:rsid w:val="00E2610D"/>
    <w:rsid w:val="00E30EDF"/>
    <w:rsid w:val="00E31FBA"/>
    <w:rsid w:val="00E35265"/>
    <w:rsid w:val="00E36AAE"/>
    <w:rsid w:val="00E41773"/>
    <w:rsid w:val="00E42790"/>
    <w:rsid w:val="00E513F6"/>
    <w:rsid w:val="00E52F3B"/>
    <w:rsid w:val="00E53D94"/>
    <w:rsid w:val="00E53DEA"/>
    <w:rsid w:val="00E54647"/>
    <w:rsid w:val="00E561CF"/>
    <w:rsid w:val="00E56983"/>
    <w:rsid w:val="00E60B8E"/>
    <w:rsid w:val="00E616DB"/>
    <w:rsid w:val="00E6259C"/>
    <w:rsid w:val="00E627A4"/>
    <w:rsid w:val="00E630ED"/>
    <w:rsid w:val="00E65E60"/>
    <w:rsid w:val="00E66766"/>
    <w:rsid w:val="00E668B1"/>
    <w:rsid w:val="00E73D45"/>
    <w:rsid w:val="00E74EC5"/>
    <w:rsid w:val="00E76B86"/>
    <w:rsid w:val="00E80567"/>
    <w:rsid w:val="00E8342F"/>
    <w:rsid w:val="00E847A7"/>
    <w:rsid w:val="00E86E79"/>
    <w:rsid w:val="00E906B4"/>
    <w:rsid w:val="00E9095B"/>
    <w:rsid w:val="00E926B8"/>
    <w:rsid w:val="00E9399B"/>
    <w:rsid w:val="00E94008"/>
    <w:rsid w:val="00E94762"/>
    <w:rsid w:val="00E95C65"/>
    <w:rsid w:val="00E9611C"/>
    <w:rsid w:val="00E96B52"/>
    <w:rsid w:val="00E97D40"/>
    <w:rsid w:val="00EA2194"/>
    <w:rsid w:val="00EA2244"/>
    <w:rsid w:val="00EA2EDF"/>
    <w:rsid w:val="00EA4E91"/>
    <w:rsid w:val="00EA6FA7"/>
    <w:rsid w:val="00EB067F"/>
    <w:rsid w:val="00EB1F02"/>
    <w:rsid w:val="00EB5BC5"/>
    <w:rsid w:val="00EB65E8"/>
    <w:rsid w:val="00EC086C"/>
    <w:rsid w:val="00EC42D0"/>
    <w:rsid w:val="00EC44F8"/>
    <w:rsid w:val="00EC638F"/>
    <w:rsid w:val="00EC72B6"/>
    <w:rsid w:val="00EC7725"/>
    <w:rsid w:val="00ED7A0A"/>
    <w:rsid w:val="00EE2B75"/>
    <w:rsid w:val="00EE3842"/>
    <w:rsid w:val="00EE4874"/>
    <w:rsid w:val="00EE74FE"/>
    <w:rsid w:val="00EE79A6"/>
    <w:rsid w:val="00EF6111"/>
    <w:rsid w:val="00F005A0"/>
    <w:rsid w:val="00F06616"/>
    <w:rsid w:val="00F11352"/>
    <w:rsid w:val="00F13FDA"/>
    <w:rsid w:val="00F14396"/>
    <w:rsid w:val="00F1498D"/>
    <w:rsid w:val="00F14DDF"/>
    <w:rsid w:val="00F152AD"/>
    <w:rsid w:val="00F2285F"/>
    <w:rsid w:val="00F23155"/>
    <w:rsid w:val="00F24236"/>
    <w:rsid w:val="00F24E0E"/>
    <w:rsid w:val="00F25588"/>
    <w:rsid w:val="00F26693"/>
    <w:rsid w:val="00F27B07"/>
    <w:rsid w:val="00F31763"/>
    <w:rsid w:val="00F356C6"/>
    <w:rsid w:val="00F36130"/>
    <w:rsid w:val="00F40444"/>
    <w:rsid w:val="00F423BD"/>
    <w:rsid w:val="00F42DB9"/>
    <w:rsid w:val="00F432FF"/>
    <w:rsid w:val="00F44F01"/>
    <w:rsid w:val="00F4715C"/>
    <w:rsid w:val="00F54869"/>
    <w:rsid w:val="00F556B2"/>
    <w:rsid w:val="00F5754B"/>
    <w:rsid w:val="00F576DE"/>
    <w:rsid w:val="00F63BF7"/>
    <w:rsid w:val="00F65469"/>
    <w:rsid w:val="00F65617"/>
    <w:rsid w:val="00F666B0"/>
    <w:rsid w:val="00F66D14"/>
    <w:rsid w:val="00F710BE"/>
    <w:rsid w:val="00F736D2"/>
    <w:rsid w:val="00F7564C"/>
    <w:rsid w:val="00F76021"/>
    <w:rsid w:val="00F76220"/>
    <w:rsid w:val="00F76449"/>
    <w:rsid w:val="00F767CE"/>
    <w:rsid w:val="00F768F2"/>
    <w:rsid w:val="00F769BE"/>
    <w:rsid w:val="00F81A09"/>
    <w:rsid w:val="00F82E6B"/>
    <w:rsid w:val="00F86DDD"/>
    <w:rsid w:val="00F92525"/>
    <w:rsid w:val="00F925D2"/>
    <w:rsid w:val="00F93321"/>
    <w:rsid w:val="00F94190"/>
    <w:rsid w:val="00F94ADC"/>
    <w:rsid w:val="00F96931"/>
    <w:rsid w:val="00F9777E"/>
    <w:rsid w:val="00F97B71"/>
    <w:rsid w:val="00FA1EDD"/>
    <w:rsid w:val="00FA2DDA"/>
    <w:rsid w:val="00FA34CA"/>
    <w:rsid w:val="00FA4859"/>
    <w:rsid w:val="00FA4A55"/>
    <w:rsid w:val="00FA4D4F"/>
    <w:rsid w:val="00FA5453"/>
    <w:rsid w:val="00FA54E8"/>
    <w:rsid w:val="00FB0157"/>
    <w:rsid w:val="00FB2D17"/>
    <w:rsid w:val="00FB2F69"/>
    <w:rsid w:val="00FB368B"/>
    <w:rsid w:val="00FB4554"/>
    <w:rsid w:val="00FB45FF"/>
    <w:rsid w:val="00FB5D97"/>
    <w:rsid w:val="00FC1CA5"/>
    <w:rsid w:val="00FC2979"/>
    <w:rsid w:val="00FC3557"/>
    <w:rsid w:val="00FC38BB"/>
    <w:rsid w:val="00FC4F6D"/>
    <w:rsid w:val="00FD1C3C"/>
    <w:rsid w:val="00FD38A8"/>
    <w:rsid w:val="00FD3E1D"/>
    <w:rsid w:val="00FD5E3A"/>
    <w:rsid w:val="00FD64C2"/>
    <w:rsid w:val="00FD6AC8"/>
    <w:rsid w:val="00FE3EA1"/>
    <w:rsid w:val="00FE47A3"/>
    <w:rsid w:val="00FE4818"/>
    <w:rsid w:val="00FE5D80"/>
    <w:rsid w:val="00FF1577"/>
    <w:rsid w:val="00FF3491"/>
    <w:rsid w:val="00FF449F"/>
    <w:rsid w:val="00FF5856"/>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27D39058-2A1A-463D-9720-1276D7F5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B71077"/>
    <w:pPr>
      <w:keepNext/>
      <w:keepLines/>
      <w:spacing w:before="340" w:after="330" w:line="578" w:lineRule="auto"/>
      <w:outlineLvl w:val="0"/>
    </w:pPr>
    <w:rPr>
      <w:b/>
      <w:bCs/>
      <w:kern w:val="44"/>
      <w:sz w:val="44"/>
      <w:szCs w:val="44"/>
    </w:rPr>
  </w:style>
  <w:style w:type="paragraph" w:styleId="2">
    <w:name w:val="heading 2"/>
    <w:basedOn w:val="a"/>
    <w:next w:val="a0"/>
    <w:qFormat/>
    <w:rsid w:val="00607EE2"/>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07EE2"/>
    <w:pPr>
      <w:ind w:firstLineChars="200" w:firstLine="420"/>
    </w:pPr>
  </w:style>
  <w:style w:type="paragraph" w:styleId="a4">
    <w:name w:val="Body Text Indent"/>
    <w:basedOn w:val="a"/>
    <w:rsid w:val="00607EE2"/>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07EE2"/>
    <w:rPr>
      <w:rFonts w:ascii="宋体" w:hAnsi="Courier New"/>
      <w:szCs w:val="21"/>
    </w:rPr>
  </w:style>
  <w:style w:type="paragraph" w:styleId="20">
    <w:name w:val="Body Text Indent 2"/>
    <w:basedOn w:val="a"/>
    <w:rsid w:val="00607EE2"/>
    <w:pPr>
      <w:spacing w:line="560" w:lineRule="exact"/>
      <w:ind w:firstLineChars="200" w:firstLine="480"/>
    </w:pPr>
    <w:rPr>
      <w:rFonts w:ascii="宋体" w:hAnsi="宋体"/>
      <w:color w:val="FF0000"/>
      <w:sz w:val="24"/>
    </w:rPr>
  </w:style>
  <w:style w:type="paragraph" w:styleId="a6">
    <w:name w:val="footer"/>
    <w:basedOn w:val="a"/>
    <w:rsid w:val="00607EE2"/>
    <w:pPr>
      <w:tabs>
        <w:tab w:val="center" w:pos="4153"/>
        <w:tab w:val="right" w:pos="8306"/>
      </w:tabs>
      <w:snapToGrid w:val="0"/>
      <w:jc w:val="left"/>
    </w:pPr>
    <w:rPr>
      <w:sz w:val="18"/>
      <w:szCs w:val="18"/>
    </w:rPr>
  </w:style>
  <w:style w:type="character" w:styleId="a7">
    <w:name w:val="page number"/>
    <w:basedOn w:val="a1"/>
    <w:rsid w:val="00607EE2"/>
  </w:style>
  <w:style w:type="character" w:styleId="a8">
    <w:name w:val="Hyperlink"/>
    <w:basedOn w:val="a1"/>
    <w:rsid w:val="00607EE2"/>
    <w:rPr>
      <w:color w:val="0000FF"/>
      <w:u w:val="single"/>
    </w:rPr>
  </w:style>
  <w:style w:type="paragraph" w:styleId="3">
    <w:name w:val="Body Text Indent 3"/>
    <w:basedOn w:val="a"/>
    <w:rsid w:val="00607EE2"/>
    <w:pPr>
      <w:spacing w:line="560" w:lineRule="exact"/>
      <w:ind w:firstLineChars="200" w:firstLine="420"/>
    </w:pPr>
    <w:rPr>
      <w:rFonts w:ascii="Arial" w:hAnsi="Arial" w:cs="Arial"/>
      <w:color w:val="FF0000"/>
    </w:rPr>
  </w:style>
  <w:style w:type="paragraph" w:styleId="a9">
    <w:name w:val="header"/>
    <w:basedOn w:val="a"/>
    <w:link w:val="Char0"/>
    <w:uiPriority w:val="99"/>
    <w:rsid w:val="00607EE2"/>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607EE2"/>
    <w:rPr>
      <w:color w:val="800080"/>
      <w:u w:val="single"/>
    </w:rPr>
  </w:style>
  <w:style w:type="paragraph" w:styleId="ab">
    <w:name w:val="List"/>
    <w:basedOn w:val="ac"/>
    <w:rsid w:val="00607EE2"/>
    <w:pPr>
      <w:spacing w:after="220" w:line="220" w:lineRule="atLeast"/>
      <w:ind w:left="1440" w:hanging="360"/>
    </w:pPr>
    <w:rPr>
      <w:szCs w:val="20"/>
    </w:rPr>
  </w:style>
  <w:style w:type="paragraph" w:styleId="ac">
    <w:name w:val="Body Text"/>
    <w:basedOn w:val="a"/>
    <w:rsid w:val="00607EE2"/>
    <w:pPr>
      <w:spacing w:after="120"/>
    </w:pPr>
  </w:style>
  <w:style w:type="paragraph" w:styleId="ad">
    <w:name w:val="Date"/>
    <w:basedOn w:val="a"/>
    <w:next w:val="a"/>
    <w:link w:val="Char1"/>
    <w:rsid w:val="00607EE2"/>
    <w:rPr>
      <w:sz w:val="24"/>
      <w:szCs w:val="20"/>
    </w:rPr>
  </w:style>
  <w:style w:type="character" w:customStyle="1" w:styleId="c1">
    <w:name w:val="c1"/>
    <w:basedOn w:val="a1"/>
    <w:rsid w:val="00607EE2"/>
    <w:rPr>
      <w:color w:val="000000"/>
      <w:sz w:val="18"/>
      <w:szCs w:val="18"/>
    </w:rPr>
  </w:style>
  <w:style w:type="paragraph" w:styleId="10">
    <w:name w:val="index 1"/>
    <w:basedOn w:val="a"/>
    <w:next w:val="a"/>
    <w:autoRedefine/>
    <w:semiHidden/>
    <w:rsid w:val="00607EE2"/>
    <w:pPr>
      <w:jc w:val="right"/>
    </w:pPr>
    <w:rPr>
      <w:color w:val="008000"/>
    </w:rPr>
  </w:style>
  <w:style w:type="paragraph" w:customStyle="1" w:styleId="font5">
    <w:name w:val="font5"/>
    <w:basedOn w:val="a"/>
    <w:rsid w:val="00607EE2"/>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07EE2"/>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607EE2"/>
    <w:rPr>
      <w:sz w:val="18"/>
      <w:szCs w:val="18"/>
    </w:rPr>
  </w:style>
  <w:style w:type="character" w:styleId="af">
    <w:name w:val="annotation reference"/>
    <w:basedOn w:val="a1"/>
    <w:semiHidden/>
    <w:rsid w:val="00607EE2"/>
    <w:rPr>
      <w:sz w:val="21"/>
      <w:szCs w:val="21"/>
    </w:rPr>
  </w:style>
  <w:style w:type="paragraph" w:styleId="af0">
    <w:name w:val="annotation text"/>
    <w:basedOn w:val="a"/>
    <w:semiHidden/>
    <w:rsid w:val="00607EE2"/>
    <w:pPr>
      <w:jc w:val="left"/>
    </w:pPr>
  </w:style>
  <w:style w:type="paragraph" w:styleId="af1">
    <w:name w:val="annotation subject"/>
    <w:basedOn w:val="af0"/>
    <w:next w:val="af0"/>
    <w:semiHidden/>
    <w:rsid w:val="00607EE2"/>
    <w:rPr>
      <w:b/>
      <w:bCs/>
    </w:rPr>
  </w:style>
  <w:style w:type="paragraph" w:customStyle="1" w:styleId="Char2">
    <w:name w:val="Char"/>
    <w:basedOn w:val="a"/>
    <w:rsid w:val="00607EE2"/>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3"/>
    <w:rsid w:val="00547D9C"/>
    <w:pPr>
      <w:snapToGrid w:val="0"/>
      <w:jc w:val="left"/>
    </w:pPr>
    <w:rPr>
      <w:sz w:val="18"/>
      <w:szCs w:val="18"/>
    </w:rPr>
  </w:style>
  <w:style w:type="character" w:styleId="af5">
    <w:name w:val="footnote reference"/>
    <w:basedOn w:val="a1"/>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basedOn w:val="a1"/>
    <w:link w:val="a5"/>
    <w:uiPriority w:val="99"/>
    <w:rsid w:val="00A45006"/>
    <w:rPr>
      <w:rFonts w:ascii="宋体" w:hAnsi="Courier New"/>
      <w:kern w:val="2"/>
      <w:sz w:val="21"/>
      <w:szCs w:val="21"/>
    </w:rPr>
  </w:style>
  <w:style w:type="paragraph" w:customStyle="1" w:styleId="Default">
    <w:name w:val="Default"/>
    <w:rsid w:val="00B82B30"/>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982E50"/>
    <w:rPr>
      <w:kern w:val="2"/>
      <w:sz w:val="18"/>
      <w:szCs w:val="18"/>
    </w:rPr>
  </w:style>
  <w:style w:type="character" w:customStyle="1" w:styleId="1Char">
    <w:name w:val="标题 1 Char"/>
    <w:basedOn w:val="a1"/>
    <w:link w:val="1"/>
    <w:rsid w:val="00B71077"/>
    <w:rPr>
      <w:b/>
      <w:bCs/>
      <w:kern w:val="44"/>
      <w:sz w:val="44"/>
      <w:szCs w:val="44"/>
    </w:rPr>
  </w:style>
  <w:style w:type="character" w:customStyle="1" w:styleId="Char1">
    <w:name w:val="日期 Char"/>
    <w:basedOn w:val="a1"/>
    <w:link w:val="ad"/>
    <w:rsid w:val="009C11D4"/>
    <w:rPr>
      <w:kern w:val="2"/>
      <w:sz w:val="24"/>
    </w:rPr>
  </w:style>
  <w:style w:type="character" w:customStyle="1" w:styleId="Char3">
    <w:name w:val="脚注文本 Char"/>
    <w:link w:val="af4"/>
    <w:rsid w:val="00B76BBB"/>
    <w:rPr>
      <w:kern w:val="2"/>
      <w:sz w:val="18"/>
      <w:szCs w:val="18"/>
    </w:rPr>
  </w:style>
  <w:style w:type="paragraph" w:styleId="af8">
    <w:name w:val="List Paragraph"/>
    <w:basedOn w:val="a"/>
    <w:uiPriority w:val="34"/>
    <w:qFormat/>
    <w:rsid w:val="00AC714B"/>
    <w:pPr>
      <w:ind w:firstLineChars="200" w:firstLine="420"/>
    </w:pPr>
  </w:style>
  <w:style w:type="character" w:styleId="af9">
    <w:name w:val="Strong"/>
    <w:basedOn w:val="a1"/>
    <w:uiPriority w:val="22"/>
    <w:qFormat/>
    <w:rsid w:val="00F9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45">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16844562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414284622">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35999612">
      <w:bodyDiv w:val="1"/>
      <w:marLeft w:val="0"/>
      <w:marRight w:val="0"/>
      <w:marTop w:val="0"/>
      <w:marBottom w:val="0"/>
      <w:divBdr>
        <w:top w:val="none" w:sz="0" w:space="0" w:color="auto"/>
        <w:left w:val="none" w:sz="0" w:space="0" w:color="auto"/>
        <w:bottom w:val="none" w:sz="0" w:space="0" w:color="auto"/>
        <w:right w:val="none" w:sz="0" w:space="0" w:color="auto"/>
      </w:divBdr>
    </w:div>
    <w:div w:id="1543321451">
      <w:bodyDiv w:val="1"/>
      <w:marLeft w:val="0"/>
      <w:marRight w:val="0"/>
      <w:marTop w:val="0"/>
      <w:marBottom w:val="0"/>
      <w:divBdr>
        <w:top w:val="none" w:sz="0" w:space="0" w:color="auto"/>
        <w:left w:val="none" w:sz="0" w:space="0" w:color="auto"/>
        <w:bottom w:val="none" w:sz="0" w:space="0" w:color="auto"/>
        <w:right w:val="none" w:sz="0" w:space="0" w:color="auto"/>
      </w:divBdr>
    </w:div>
    <w:div w:id="1593588164">
      <w:bodyDiv w:val="1"/>
      <w:marLeft w:val="0"/>
      <w:marRight w:val="0"/>
      <w:marTop w:val="0"/>
      <w:marBottom w:val="0"/>
      <w:divBdr>
        <w:top w:val="none" w:sz="0" w:space="0" w:color="auto"/>
        <w:left w:val="none" w:sz="0" w:space="0" w:color="auto"/>
        <w:bottom w:val="none" w:sz="0" w:space="0" w:color="auto"/>
        <w:right w:val="none" w:sz="0" w:space="0" w:color="auto"/>
      </w:divBdr>
    </w:div>
    <w:div w:id="1689720633">
      <w:bodyDiv w:val="1"/>
      <w:marLeft w:val="0"/>
      <w:marRight w:val="0"/>
      <w:marTop w:val="0"/>
      <w:marBottom w:val="0"/>
      <w:divBdr>
        <w:top w:val="none" w:sz="0" w:space="0" w:color="auto"/>
        <w:left w:val="none" w:sz="0" w:space="0" w:color="auto"/>
        <w:bottom w:val="none" w:sz="0" w:space="0" w:color="auto"/>
        <w:right w:val="none" w:sz="0" w:space="0" w:color="auto"/>
      </w:divBdr>
    </w:div>
    <w:div w:id="18574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11</Pages>
  <Words>1018</Words>
  <Characters>5806</Characters>
  <Application>Microsoft Office Word</Application>
  <DocSecurity>0</DocSecurity>
  <Lines>48</Lines>
  <Paragraphs>13</Paragraphs>
  <ScaleCrop>false</ScaleCrop>
  <Company>TRT. Ltd. Co.</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395</cp:revision>
  <cp:lastPrinted>2007-07-19T00:46:00Z</cp:lastPrinted>
  <dcterms:created xsi:type="dcterms:W3CDTF">2014-01-20T05:40:00Z</dcterms:created>
  <dcterms:modified xsi:type="dcterms:W3CDTF">2016-10-20T11:45:00Z</dcterms:modified>
</cp:coreProperties>
</file>