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1EB194" w14:textId="1704FCBD" w:rsidR="00AF2DCA" w:rsidRPr="000E75E3" w:rsidRDefault="00572E48" w:rsidP="0060033A">
      <w:pPr>
        <w:rPr>
          <w:rFonts w:ascii="华文楷体" w:eastAsia="华文楷体" w:hAnsi="华文楷体"/>
          <w:b/>
          <w:sz w:val="28"/>
          <w:szCs w:val="28"/>
        </w:rPr>
      </w:pPr>
      <w:r>
        <w:rPr>
          <w:rFonts w:hint="eastAsia"/>
        </w:rPr>
        <w:t xml:space="preserve"> </w:t>
      </w:r>
      <w:r w:rsidR="00185DA1">
        <w:rPr>
          <w:rFonts w:hint="eastAsia"/>
        </w:rPr>
        <w:t xml:space="preserve"> </w:t>
      </w:r>
      <w:r w:rsidR="00AF2DCA" w:rsidRPr="000E75E3">
        <w:rPr>
          <w:rFonts w:ascii="华文楷体" w:eastAsia="华文楷体" w:hAnsi="华文楷体" w:hint="eastAsia"/>
          <w:b/>
          <w:sz w:val="28"/>
          <w:szCs w:val="28"/>
        </w:rPr>
        <w:t>一、</w:t>
      </w:r>
      <w:r w:rsidR="00130856">
        <w:rPr>
          <w:rFonts w:ascii="华文楷体" w:eastAsia="华文楷体" w:hAnsi="华文楷体" w:hint="eastAsia"/>
          <w:b/>
          <w:sz w:val="28"/>
          <w:szCs w:val="28"/>
        </w:rPr>
        <w:t>中国</w:t>
      </w:r>
      <w:r w:rsidR="003340D3">
        <w:rPr>
          <w:rFonts w:ascii="华文楷体" w:eastAsia="华文楷体" w:hAnsi="华文楷体" w:hint="eastAsia"/>
          <w:b/>
          <w:sz w:val="28"/>
          <w:szCs w:val="28"/>
        </w:rPr>
        <w:t>宏观</w:t>
      </w:r>
      <w:r w:rsidR="00447FD0">
        <w:rPr>
          <w:rFonts w:ascii="华文楷体" w:eastAsia="华文楷体" w:hAnsi="华文楷体" w:hint="eastAsia"/>
          <w:b/>
          <w:sz w:val="28"/>
          <w:szCs w:val="28"/>
        </w:rPr>
        <w:t>经济回顾</w:t>
      </w:r>
      <w:r w:rsidR="00447FD0">
        <w:rPr>
          <w:rFonts w:ascii="华文楷体" w:eastAsia="华文楷体" w:hAnsi="华文楷体"/>
          <w:b/>
          <w:sz w:val="28"/>
          <w:szCs w:val="28"/>
        </w:rPr>
        <w:t>及</w:t>
      </w:r>
      <w:r w:rsidR="00AF2DCA" w:rsidRPr="000E75E3">
        <w:rPr>
          <w:rFonts w:ascii="华文楷体" w:eastAsia="华文楷体" w:hAnsi="华文楷体" w:hint="eastAsia"/>
          <w:b/>
          <w:sz w:val="28"/>
          <w:szCs w:val="28"/>
        </w:rPr>
        <w:t>展望</w:t>
      </w:r>
    </w:p>
    <w:p w14:paraId="768F34E8" w14:textId="7CBB1982" w:rsidR="00AF2DCA" w:rsidRPr="000E75E3" w:rsidRDefault="005D10B7" w:rsidP="00AF2DCA">
      <w:pPr>
        <w:rPr>
          <w:rFonts w:ascii="华文楷体" w:eastAsia="华文楷体" w:hAnsi="华文楷体"/>
          <w:b/>
          <w:sz w:val="28"/>
          <w:szCs w:val="28"/>
        </w:rPr>
      </w:pPr>
      <w:r>
        <w:rPr>
          <w:rFonts w:ascii="华文楷体" w:eastAsia="华文楷体" w:hAnsi="华文楷体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F8C301" wp14:editId="28AFD640">
                <wp:simplePos x="0" y="0"/>
                <wp:positionH relativeFrom="column">
                  <wp:posOffset>-26670</wp:posOffset>
                </wp:positionH>
                <wp:positionV relativeFrom="paragraph">
                  <wp:posOffset>64770</wp:posOffset>
                </wp:positionV>
                <wp:extent cx="5260340" cy="0"/>
                <wp:effectExtent l="28575" t="31115" r="26035" b="26035"/>
                <wp:wrapNone/>
                <wp:docPr id="5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60340" cy="0"/>
                        </a:xfrm>
                        <a:prstGeom prst="straightConnector1">
                          <a:avLst/>
                        </a:prstGeom>
                        <a:noFill/>
                        <a:ln w="44450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9115B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4" o:spid="_x0000_s1026" type="#_x0000_t32" style="position:absolute;left:0;text-align:left;margin-left:-2.1pt;margin-top:5.1pt;width:414.2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" strokecolor="#4f81bd" strokeweight="3.5pt"/>
            </w:pict>
          </mc:Fallback>
        </mc:AlternateContent>
      </w:r>
    </w:p>
    <w:p w14:paraId="6EEDA6AF" w14:textId="77777777" w:rsidR="00B355B0" w:rsidRPr="000E75E3" w:rsidRDefault="00B355B0" w:rsidP="00B355B0">
      <w:pPr>
        <w:pStyle w:val="a7"/>
        <w:numPr>
          <w:ilvl w:val="0"/>
          <w:numId w:val="20"/>
        </w:numPr>
        <w:ind w:firstLineChars="0"/>
        <w:rPr>
          <w:rFonts w:ascii="华文楷体" w:eastAsia="华文楷体" w:hAnsi="华文楷体"/>
          <w:b/>
          <w:sz w:val="22"/>
        </w:rPr>
      </w:pPr>
      <w:r w:rsidRPr="000E75E3">
        <w:rPr>
          <w:rFonts w:ascii="华文楷体" w:eastAsia="华文楷体" w:hAnsi="华文楷体" w:hint="eastAsia"/>
          <w:b/>
          <w:sz w:val="22"/>
        </w:rPr>
        <w:t>综述</w:t>
      </w:r>
    </w:p>
    <w:p w14:paraId="2E2071E6" w14:textId="001BBF08" w:rsidR="00C71A02" w:rsidRDefault="00215FEF" w:rsidP="009F5BB6">
      <w:pPr>
        <w:numPr>
          <w:ilvl w:val="0"/>
          <w:numId w:val="24"/>
        </w:numPr>
        <w:adjustRightInd w:val="0"/>
        <w:snapToGrid w:val="0"/>
        <w:rPr>
          <w:rFonts w:ascii="华文楷体" w:eastAsia="华文楷体" w:hAnsi="华文楷体"/>
          <w:sz w:val="22"/>
        </w:rPr>
      </w:pPr>
      <w:r>
        <w:rPr>
          <w:rFonts w:ascii="华文楷体" w:eastAsia="华文楷体" w:hAnsi="华文楷体" w:hint="eastAsia"/>
          <w:b/>
          <w:sz w:val="22"/>
        </w:rPr>
        <w:t>基建和</w:t>
      </w:r>
      <w:r>
        <w:rPr>
          <w:rFonts w:ascii="华文楷体" w:eastAsia="华文楷体" w:hAnsi="华文楷体"/>
          <w:b/>
          <w:sz w:val="22"/>
        </w:rPr>
        <w:t>地产</w:t>
      </w:r>
      <w:r w:rsidR="00732736">
        <w:rPr>
          <w:rFonts w:ascii="华文楷体" w:eastAsia="华文楷体" w:hAnsi="华文楷体" w:hint="eastAsia"/>
          <w:b/>
          <w:sz w:val="22"/>
        </w:rPr>
        <w:t>依然</w:t>
      </w:r>
      <w:r>
        <w:rPr>
          <w:rFonts w:ascii="华文楷体" w:eastAsia="华文楷体" w:hAnsi="华文楷体"/>
          <w:b/>
          <w:sz w:val="22"/>
        </w:rPr>
        <w:t>是下半年</w:t>
      </w:r>
      <w:proofErr w:type="gramStart"/>
      <w:r w:rsidR="00406E5D" w:rsidRPr="00EB0B9A">
        <w:rPr>
          <w:rFonts w:ascii="华文楷体" w:eastAsia="华文楷体" w:hAnsi="华文楷体" w:hint="eastAsia"/>
          <w:b/>
          <w:sz w:val="22"/>
        </w:rPr>
        <w:t>稳</w:t>
      </w:r>
      <w:r w:rsidR="00406E5D" w:rsidRPr="00EB0B9A">
        <w:rPr>
          <w:rFonts w:ascii="华文楷体" w:eastAsia="华文楷体" w:hAnsi="华文楷体"/>
          <w:b/>
          <w:sz w:val="22"/>
        </w:rPr>
        <w:t>增长</w:t>
      </w:r>
      <w:proofErr w:type="gramEnd"/>
      <w:r w:rsidR="00406E5D" w:rsidRPr="00EB0B9A">
        <w:rPr>
          <w:rFonts w:ascii="华文楷体" w:eastAsia="华文楷体" w:hAnsi="华文楷体"/>
          <w:b/>
          <w:sz w:val="22"/>
        </w:rPr>
        <w:t>主要着力点</w:t>
      </w:r>
      <w:r w:rsidR="00B355B0" w:rsidRPr="00EB0B9A">
        <w:rPr>
          <w:rFonts w:ascii="华文楷体" w:eastAsia="华文楷体" w:hAnsi="华文楷体"/>
          <w:b/>
          <w:sz w:val="22"/>
        </w:rPr>
        <w:t>。</w:t>
      </w:r>
      <w:r w:rsidR="00732736">
        <w:rPr>
          <w:rFonts w:ascii="华文楷体" w:eastAsia="华文楷体" w:hAnsi="华文楷体" w:hint="eastAsia"/>
          <w:sz w:val="22"/>
        </w:rPr>
        <w:t>政府</w:t>
      </w:r>
      <w:r w:rsidR="00732736">
        <w:rPr>
          <w:rFonts w:ascii="华文楷体" w:eastAsia="华文楷体" w:hAnsi="华文楷体"/>
          <w:sz w:val="22"/>
        </w:rPr>
        <w:t>主导</w:t>
      </w:r>
      <w:r w:rsidR="00732736">
        <w:rPr>
          <w:rFonts w:ascii="华文楷体" w:eastAsia="华文楷体" w:hAnsi="华文楷体" w:hint="eastAsia"/>
          <w:sz w:val="22"/>
        </w:rPr>
        <w:t>性</w:t>
      </w:r>
      <w:r w:rsidR="0008578D" w:rsidRPr="000E75E3">
        <w:rPr>
          <w:rFonts w:ascii="华文楷体" w:eastAsia="华文楷体" w:hAnsi="华文楷体" w:hint="eastAsia"/>
          <w:sz w:val="22"/>
        </w:rPr>
        <w:t>投资带动</w:t>
      </w:r>
      <w:r w:rsidR="0008578D" w:rsidRPr="000E75E3">
        <w:rPr>
          <w:rFonts w:ascii="华文楷体" w:eastAsia="华文楷体" w:hAnsi="华文楷体"/>
          <w:sz w:val="22"/>
        </w:rPr>
        <w:t>经济的增长模式——政策市</w:t>
      </w:r>
      <w:r w:rsidR="0008578D" w:rsidRPr="000E75E3">
        <w:rPr>
          <w:rFonts w:ascii="华文楷体" w:eastAsia="华文楷体" w:hAnsi="华文楷体" w:hint="eastAsia"/>
          <w:sz w:val="22"/>
        </w:rPr>
        <w:t>成为</w:t>
      </w:r>
      <w:proofErr w:type="gramStart"/>
      <w:r w:rsidR="0008578D" w:rsidRPr="000E75E3">
        <w:rPr>
          <w:rFonts w:ascii="华文楷体" w:eastAsia="华文楷体" w:hAnsi="华文楷体"/>
          <w:sz w:val="22"/>
        </w:rPr>
        <w:t>次贷</w:t>
      </w:r>
      <w:proofErr w:type="gramEnd"/>
      <w:r w:rsidR="0008578D" w:rsidRPr="000E75E3">
        <w:rPr>
          <w:rFonts w:ascii="华文楷体" w:eastAsia="华文楷体" w:hAnsi="华文楷体"/>
          <w:sz w:val="22"/>
        </w:rPr>
        <w:t>危机后经济</w:t>
      </w:r>
      <w:r w:rsidR="0008578D" w:rsidRPr="000E75E3">
        <w:rPr>
          <w:rFonts w:ascii="华文楷体" w:eastAsia="华文楷体" w:hAnsi="华文楷体" w:hint="eastAsia"/>
          <w:sz w:val="22"/>
        </w:rPr>
        <w:t>增长</w:t>
      </w:r>
      <w:r w:rsidR="0008578D" w:rsidRPr="000E75E3">
        <w:rPr>
          <w:rFonts w:ascii="华文楷体" w:eastAsia="华文楷体" w:hAnsi="华文楷体"/>
          <w:sz w:val="22"/>
        </w:rPr>
        <w:t>的主要模式。</w:t>
      </w:r>
      <w:r>
        <w:rPr>
          <w:rFonts w:ascii="华文楷体" w:eastAsia="华文楷体" w:hAnsi="华文楷体"/>
          <w:sz w:val="22"/>
        </w:rPr>
        <w:t>去年</w:t>
      </w:r>
      <w:r>
        <w:rPr>
          <w:rFonts w:ascii="华文楷体" w:eastAsia="华文楷体" w:hAnsi="华文楷体" w:hint="eastAsia"/>
          <w:sz w:val="22"/>
        </w:rPr>
        <w:t>下半年</w:t>
      </w:r>
      <w:r w:rsidR="00574369">
        <w:rPr>
          <w:rFonts w:ascii="华文楷体" w:eastAsia="华文楷体" w:hAnsi="华文楷体" w:hint="eastAsia"/>
          <w:sz w:val="22"/>
        </w:rPr>
        <w:t>开始</w:t>
      </w:r>
      <w:r w:rsidR="00574369">
        <w:rPr>
          <w:rFonts w:ascii="华文楷体" w:eastAsia="华文楷体" w:hAnsi="华文楷体"/>
          <w:sz w:val="22"/>
        </w:rPr>
        <w:t>，</w:t>
      </w:r>
      <w:r w:rsidR="006E492B">
        <w:rPr>
          <w:rFonts w:ascii="华文楷体" w:eastAsia="华文楷体" w:hAnsi="华文楷体"/>
          <w:sz w:val="22"/>
        </w:rPr>
        <w:t>政府</w:t>
      </w:r>
      <w:r w:rsidR="00732736">
        <w:rPr>
          <w:rFonts w:ascii="华文楷体" w:eastAsia="华文楷体" w:hAnsi="华文楷体" w:hint="eastAsia"/>
          <w:sz w:val="22"/>
        </w:rPr>
        <w:t>加大</w:t>
      </w:r>
      <w:r w:rsidR="00732736">
        <w:rPr>
          <w:rFonts w:ascii="华文楷体" w:eastAsia="华文楷体" w:hAnsi="华文楷体"/>
          <w:sz w:val="22"/>
        </w:rPr>
        <w:t>基建投资</w:t>
      </w:r>
      <w:r w:rsidR="006E492B">
        <w:rPr>
          <w:rFonts w:ascii="华文楷体" w:eastAsia="华文楷体" w:hAnsi="华文楷体"/>
          <w:sz w:val="22"/>
        </w:rPr>
        <w:t>力度</w:t>
      </w:r>
      <w:r>
        <w:rPr>
          <w:rFonts w:ascii="华文楷体" w:eastAsia="华文楷体" w:hAnsi="华文楷体"/>
          <w:sz w:val="22"/>
        </w:rPr>
        <w:t>，</w:t>
      </w:r>
      <w:r w:rsidR="00732736">
        <w:rPr>
          <w:rFonts w:ascii="华文楷体" w:eastAsia="华文楷体" w:hAnsi="华文楷体" w:hint="eastAsia"/>
          <w:sz w:val="22"/>
        </w:rPr>
        <w:t>同时</w:t>
      </w:r>
      <w:r>
        <w:rPr>
          <w:rFonts w:ascii="华文楷体" w:eastAsia="华文楷体" w:hAnsi="华文楷体"/>
          <w:sz w:val="22"/>
        </w:rPr>
        <w:t>年初以来各省市十三五规划项目</w:t>
      </w:r>
      <w:r w:rsidR="006E492B">
        <w:rPr>
          <w:rFonts w:ascii="华文楷体" w:eastAsia="华文楷体" w:hAnsi="华文楷体" w:hint="eastAsia"/>
          <w:sz w:val="22"/>
        </w:rPr>
        <w:t>布局</w:t>
      </w:r>
      <w:r>
        <w:rPr>
          <w:rFonts w:ascii="华文楷体" w:eastAsia="华文楷体" w:hAnsi="华文楷体" w:hint="eastAsia"/>
          <w:sz w:val="22"/>
        </w:rPr>
        <w:t>，</w:t>
      </w:r>
      <w:r w:rsidR="00732736">
        <w:rPr>
          <w:rFonts w:ascii="华文楷体" w:eastAsia="华文楷体" w:hAnsi="华文楷体" w:hint="eastAsia"/>
          <w:sz w:val="22"/>
        </w:rPr>
        <w:t>叠加</w:t>
      </w:r>
      <w:r w:rsidR="00732736">
        <w:rPr>
          <w:rFonts w:ascii="华文楷体" w:eastAsia="华文楷体" w:hAnsi="华文楷体"/>
          <w:sz w:val="22"/>
        </w:rPr>
        <w:t>地产投资改善，</w:t>
      </w:r>
      <w:r w:rsidR="006E492B">
        <w:rPr>
          <w:rFonts w:ascii="华文楷体" w:eastAsia="华文楷体" w:hAnsi="华文楷体" w:hint="eastAsia"/>
          <w:sz w:val="22"/>
        </w:rPr>
        <w:t>基建</w:t>
      </w:r>
      <w:r w:rsidR="006E492B">
        <w:rPr>
          <w:rFonts w:ascii="华文楷体" w:eastAsia="华文楷体" w:hAnsi="华文楷体"/>
          <w:sz w:val="22"/>
        </w:rPr>
        <w:t>和地产支撑</w:t>
      </w:r>
      <w:r w:rsidR="00732736">
        <w:rPr>
          <w:rFonts w:ascii="华文楷体" w:eastAsia="华文楷体" w:hAnsi="华文楷体" w:hint="eastAsia"/>
          <w:sz w:val="22"/>
        </w:rPr>
        <w:t>了</w:t>
      </w:r>
      <w:r w:rsidR="00574369">
        <w:rPr>
          <w:rFonts w:ascii="华文楷体" w:eastAsia="华文楷体" w:hAnsi="华文楷体" w:hint="eastAsia"/>
          <w:sz w:val="22"/>
        </w:rPr>
        <w:t>16年</w:t>
      </w:r>
      <w:r w:rsidR="006E492B">
        <w:rPr>
          <w:rFonts w:ascii="华文楷体" w:eastAsia="华文楷体" w:hAnsi="华文楷体"/>
          <w:sz w:val="22"/>
        </w:rPr>
        <w:t>上半年</w:t>
      </w:r>
      <w:r w:rsidR="006E492B">
        <w:rPr>
          <w:rFonts w:ascii="华文楷体" w:eastAsia="华文楷体" w:hAnsi="华文楷体" w:hint="eastAsia"/>
          <w:sz w:val="22"/>
        </w:rPr>
        <w:t>经济</w:t>
      </w:r>
      <w:r w:rsidR="00732736">
        <w:rPr>
          <w:rFonts w:ascii="华文楷体" w:eastAsia="华文楷体" w:hAnsi="华文楷体" w:hint="eastAsia"/>
          <w:sz w:val="22"/>
        </w:rPr>
        <w:t>的</w:t>
      </w:r>
      <w:r w:rsidR="006E492B">
        <w:rPr>
          <w:rFonts w:ascii="华文楷体" w:eastAsia="华文楷体" w:hAnsi="华文楷体"/>
          <w:sz w:val="22"/>
        </w:rPr>
        <w:t>平稳</w:t>
      </w:r>
      <w:r w:rsidR="00732736">
        <w:rPr>
          <w:rFonts w:ascii="华文楷体" w:eastAsia="华文楷体" w:hAnsi="华文楷体" w:hint="eastAsia"/>
          <w:sz w:val="22"/>
        </w:rPr>
        <w:t>运行</w:t>
      </w:r>
      <w:r>
        <w:rPr>
          <w:rFonts w:ascii="华文楷体" w:eastAsia="华文楷体" w:hAnsi="华文楷体" w:hint="eastAsia"/>
          <w:sz w:val="22"/>
        </w:rPr>
        <w:t>。</w:t>
      </w:r>
      <w:r w:rsidR="006E492B">
        <w:rPr>
          <w:rFonts w:ascii="华文楷体" w:eastAsia="华文楷体" w:hAnsi="华文楷体" w:hint="eastAsia"/>
          <w:sz w:val="22"/>
        </w:rPr>
        <w:t>不过</w:t>
      </w:r>
      <w:r w:rsidR="006E492B">
        <w:rPr>
          <w:rFonts w:ascii="华文楷体" w:eastAsia="华文楷体" w:hAnsi="华文楷体"/>
          <w:sz w:val="22"/>
        </w:rPr>
        <w:t>，</w:t>
      </w:r>
      <w:r w:rsidR="006E492B">
        <w:rPr>
          <w:rFonts w:ascii="华文楷体" w:eastAsia="华文楷体" w:hAnsi="华文楷体" w:hint="eastAsia"/>
          <w:sz w:val="22"/>
        </w:rPr>
        <w:t>制造业投资、</w:t>
      </w:r>
      <w:r w:rsidR="006E492B">
        <w:rPr>
          <w:rFonts w:ascii="华文楷体" w:eastAsia="华文楷体" w:hAnsi="华文楷体"/>
          <w:sz w:val="22"/>
        </w:rPr>
        <w:t>以及民间投资</w:t>
      </w:r>
      <w:r w:rsidR="006E492B">
        <w:rPr>
          <w:rFonts w:ascii="华文楷体" w:eastAsia="华文楷体" w:hAnsi="华文楷体" w:hint="eastAsia"/>
          <w:sz w:val="22"/>
        </w:rPr>
        <w:t>年初</w:t>
      </w:r>
      <w:r w:rsidR="006E492B">
        <w:rPr>
          <w:rFonts w:ascii="华文楷体" w:eastAsia="华文楷体" w:hAnsi="华文楷体"/>
          <w:sz w:val="22"/>
        </w:rPr>
        <w:t>以来的快速下滑</w:t>
      </w:r>
      <w:r w:rsidR="006E492B">
        <w:rPr>
          <w:rFonts w:ascii="华文楷体" w:eastAsia="华文楷体" w:hAnsi="华文楷体" w:hint="eastAsia"/>
          <w:sz w:val="22"/>
        </w:rPr>
        <w:t>显示</w:t>
      </w:r>
      <w:r w:rsidR="00732736">
        <w:rPr>
          <w:rFonts w:ascii="华文楷体" w:eastAsia="华文楷体" w:hAnsi="华文楷体"/>
          <w:sz w:val="22"/>
        </w:rPr>
        <w:t>制造业去产能压力仍然在拖累经济</w:t>
      </w:r>
      <w:r w:rsidR="00732736">
        <w:rPr>
          <w:rFonts w:ascii="华文楷体" w:eastAsia="华文楷体" w:hAnsi="华文楷体" w:hint="eastAsia"/>
          <w:sz w:val="22"/>
        </w:rPr>
        <w:t>。</w:t>
      </w:r>
      <w:r w:rsidR="00732736">
        <w:rPr>
          <w:rFonts w:ascii="华文楷体" w:eastAsia="华文楷体" w:hAnsi="华文楷体"/>
          <w:sz w:val="22"/>
        </w:rPr>
        <w:t>因此</w:t>
      </w:r>
      <w:r w:rsidR="00732736">
        <w:rPr>
          <w:rFonts w:ascii="华文楷体" w:eastAsia="华文楷体" w:hAnsi="华文楷体" w:hint="eastAsia"/>
          <w:sz w:val="22"/>
        </w:rPr>
        <w:t>，</w:t>
      </w:r>
      <w:r w:rsidR="006E492B">
        <w:rPr>
          <w:rFonts w:ascii="华文楷体" w:eastAsia="华文楷体" w:hAnsi="华文楷体"/>
          <w:sz w:val="22"/>
        </w:rPr>
        <w:t>下</w:t>
      </w:r>
      <w:r w:rsidR="006E492B">
        <w:rPr>
          <w:rFonts w:ascii="华文楷体" w:eastAsia="华文楷体" w:hAnsi="华文楷体" w:hint="eastAsia"/>
          <w:sz w:val="22"/>
        </w:rPr>
        <w:t>半年</w:t>
      </w:r>
      <w:r w:rsidR="00732736">
        <w:rPr>
          <w:rFonts w:ascii="华文楷体" w:eastAsia="华文楷体" w:hAnsi="华文楷体" w:hint="eastAsia"/>
          <w:sz w:val="22"/>
        </w:rPr>
        <w:t>的</w:t>
      </w:r>
      <w:r w:rsidR="00732736">
        <w:rPr>
          <w:rFonts w:ascii="华文楷体" w:eastAsia="华文楷体" w:hAnsi="华文楷体"/>
          <w:sz w:val="22"/>
        </w:rPr>
        <w:t>经济</w:t>
      </w:r>
      <w:r w:rsidR="006E492B">
        <w:rPr>
          <w:rFonts w:ascii="华文楷体" w:eastAsia="华文楷体" w:hAnsi="华文楷体" w:hint="eastAsia"/>
          <w:sz w:val="22"/>
        </w:rPr>
        <w:t>增长</w:t>
      </w:r>
      <w:r w:rsidR="006E492B">
        <w:rPr>
          <w:rFonts w:ascii="华文楷体" w:eastAsia="华文楷体" w:hAnsi="华文楷体"/>
          <w:sz w:val="22"/>
        </w:rPr>
        <w:t>仍</w:t>
      </w:r>
      <w:r w:rsidR="00574369">
        <w:rPr>
          <w:rFonts w:ascii="华文楷体" w:eastAsia="华文楷体" w:hAnsi="华文楷体" w:hint="eastAsia"/>
          <w:sz w:val="22"/>
        </w:rPr>
        <w:t>依托政府</w:t>
      </w:r>
      <w:proofErr w:type="gramStart"/>
      <w:r w:rsidR="00574369">
        <w:rPr>
          <w:rFonts w:ascii="华文楷体" w:eastAsia="华文楷体" w:hAnsi="华文楷体" w:hint="eastAsia"/>
          <w:sz w:val="22"/>
        </w:rPr>
        <w:t>稳增长</w:t>
      </w:r>
      <w:proofErr w:type="gramEnd"/>
      <w:r w:rsidR="00574369">
        <w:rPr>
          <w:rFonts w:ascii="华文楷体" w:eastAsia="华文楷体" w:hAnsi="华文楷体"/>
          <w:sz w:val="22"/>
        </w:rPr>
        <w:t>政策。</w:t>
      </w:r>
      <w:r w:rsidR="006E492B">
        <w:rPr>
          <w:rFonts w:ascii="华文楷体" w:eastAsia="华文楷体" w:hAnsi="华文楷体"/>
          <w:sz w:val="22"/>
        </w:rPr>
        <w:t>我们</w:t>
      </w:r>
      <w:r w:rsidR="006E492B">
        <w:rPr>
          <w:rFonts w:ascii="华文楷体" w:eastAsia="华文楷体" w:hAnsi="华文楷体" w:hint="eastAsia"/>
          <w:sz w:val="22"/>
        </w:rPr>
        <w:t>预计全年</w:t>
      </w:r>
      <w:r w:rsidR="006E492B">
        <w:rPr>
          <w:rFonts w:ascii="华文楷体" w:eastAsia="华文楷体" w:hAnsi="华文楷体"/>
          <w:sz w:val="22"/>
        </w:rPr>
        <w:t>经济增速在</w:t>
      </w:r>
      <w:r w:rsidR="006E492B">
        <w:rPr>
          <w:rFonts w:ascii="华文楷体" w:eastAsia="华文楷体" w:hAnsi="华文楷体" w:hint="eastAsia"/>
          <w:sz w:val="22"/>
        </w:rPr>
        <w:t>6.7</w:t>
      </w:r>
      <w:r w:rsidR="006E492B">
        <w:rPr>
          <w:rFonts w:ascii="华文楷体" w:eastAsia="华文楷体" w:hAnsi="华文楷体"/>
          <w:sz w:val="22"/>
        </w:rPr>
        <w:t>%左右，</w:t>
      </w:r>
      <w:r w:rsidR="006E492B">
        <w:rPr>
          <w:rFonts w:ascii="华文楷体" w:eastAsia="华文楷体" w:hAnsi="华文楷体" w:hint="eastAsia"/>
          <w:sz w:val="22"/>
        </w:rPr>
        <w:t>下半年</w:t>
      </w:r>
      <w:r w:rsidR="006E492B">
        <w:rPr>
          <w:rFonts w:ascii="华文楷体" w:eastAsia="华文楷体" w:hAnsi="华文楷体"/>
          <w:sz w:val="22"/>
        </w:rPr>
        <w:t>经济走势整体平稳</w:t>
      </w:r>
      <w:r w:rsidR="006E492B">
        <w:rPr>
          <w:rFonts w:ascii="华文楷体" w:eastAsia="华文楷体" w:hAnsi="华文楷体" w:hint="eastAsia"/>
          <w:sz w:val="22"/>
        </w:rPr>
        <w:t>。</w:t>
      </w:r>
      <w:r w:rsidR="006E492B">
        <w:rPr>
          <w:rFonts w:ascii="华文楷体" w:eastAsia="华文楷体" w:hAnsi="华文楷体"/>
          <w:sz w:val="22"/>
        </w:rPr>
        <w:t>通胀</w:t>
      </w:r>
      <w:r w:rsidR="006E492B">
        <w:rPr>
          <w:rFonts w:ascii="华文楷体" w:eastAsia="华文楷体" w:hAnsi="华文楷体" w:hint="eastAsia"/>
          <w:sz w:val="22"/>
        </w:rPr>
        <w:t>三季度</w:t>
      </w:r>
      <w:r w:rsidR="00732736">
        <w:rPr>
          <w:rFonts w:ascii="华文楷体" w:eastAsia="华文楷体" w:hAnsi="华文楷体"/>
          <w:sz w:val="22"/>
        </w:rPr>
        <w:t>低位，</w:t>
      </w:r>
      <w:r w:rsidR="006E492B">
        <w:rPr>
          <w:rFonts w:ascii="华文楷体" w:eastAsia="华文楷体" w:hAnsi="华文楷体"/>
          <w:sz w:val="22"/>
        </w:rPr>
        <w:t>四季度或有抬头</w:t>
      </w:r>
      <w:r w:rsidR="00732736">
        <w:rPr>
          <w:rFonts w:ascii="华文楷体" w:eastAsia="华文楷体" w:hAnsi="华文楷体" w:hint="eastAsia"/>
          <w:sz w:val="22"/>
        </w:rPr>
        <w:t>，</w:t>
      </w:r>
      <w:r w:rsidR="00732736">
        <w:rPr>
          <w:rFonts w:ascii="华文楷体" w:eastAsia="华文楷体" w:hAnsi="华文楷体"/>
          <w:sz w:val="22"/>
        </w:rPr>
        <w:t>不过</w:t>
      </w:r>
      <w:r w:rsidR="00732736">
        <w:rPr>
          <w:rFonts w:ascii="华文楷体" w:eastAsia="华文楷体" w:hAnsi="华文楷体" w:hint="eastAsia"/>
          <w:sz w:val="22"/>
        </w:rPr>
        <w:t>高点</w:t>
      </w:r>
      <w:r w:rsidR="00732736">
        <w:rPr>
          <w:rFonts w:ascii="华文楷体" w:eastAsia="华文楷体" w:hAnsi="华文楷体"/>
          <w:sz w:val="22"/>
        </w:rPr>
        <w:t>超过</w:t>
      </w:r>
      <w:r w:rsidR="00732736">
        <w:rPr>
          <w:rFonts w:ascii="华文楷体" w:eastAsia="华文楷体" w:hAnsi="华文楷体" w:hint="eastAsia"/>
          <w:sz w:val="22"/>
        </w:rPr>
        <w:t>3</w:t>
      </w:r>
      <w:r w:rsidR="00732736">
        <w:rPr>
          <w:rFonts w:ascii="华文楷体" w:eastAsia="华文楷体" w:hAnsi="华文楷体"/>
          <w:sz w:val="22"/>
        </w:rPr>
        <w:t>%的概率不大</w:t>
      </w:r>
      <w:r w:rsidR="006E492B">
        <w:rPr>
          <w:rFonts w:ascii="华文楷体" w:eastAsia="华文楷体" w:hAnsi="华文楷体"/>
          <w:sz w:val="22"/>
        </w:rPr>
        <w:t>。货币政策</w:t>
      </w:r>
      <w:r w:rsidR="006E492B">
        <w:rPr>
          <w:rFonts w:ascii="华文楷体" w:eastAsia="华文楷体" w:hAnsi="华文楷体" w:hint="eastAsia"/>
          <w:sz w:val="22"/>
        </w:rPr>
        <w:t>维持</w:t>
      </w:r>
      <w:r w:rsidR="006E492B">
        <w:rPr>
          <w:rFonts w:ascii="华文楷体" w:eastAsia="华文楷体" w:hAnsi="华文楷体"/>
          <w:sz w:val="22"/>
        </w:rPr>
        <w:t>中性，财政政策或更加积极。</w:t>
      </w:r>
    </w:p>
    <w:p w14:paraId="2DBE54CE" w14:textId="77777777" w:rsidR="009F5BB6" w:rsidRPr="00B36D5C" w:rsidRDefault="009F5BB6" w:rsidP="009F5BB6">
      <w:pPr>
        <w:adjustRightInd w:val="0"/>
        <w:snapToGrid w:val="0"/>
        <w:ind w:left="420"/>
        <w:rPr>
          <w:rFonts w:ascii="华文楷体" w:eastAsia="华文楷体" w:hAnsi="华文楷体"/>
          <w:sz w:val="22"/>
        </w:rPr>
      </w:pPr>
    </w:p>
    <w:p w14:paraId="79C82AEA" w14:textId="77777777" w:rsidR="00B355B0" w:rsidRPr="000E75E3" w:rsidRDefault="00B355B0" w:rsidP="00B355B0">
      <w:pPr>
        <w:pStyle w:val="a7"/>
        <w:numPr>
          <w:ilvl w:val="0"/>
          <w:numId w:val="20"/>
        </w:numPr>
        <w:ind w:firstLineChars="0"/>
        <w:rPr>
          <w:rFonts w:ascii="华文楷体" w:eastAsia="华文楷体" w:hAnsi="华文楷体"/>
          <w:b/>
          <w:sz w:val="22"/>
        </w:rPr>
      </w:pPr>
      <w:r w:rsidRPr="000E75E3">
        <w:rPr>
          <w:rFonts w:ascii="华文楷体" w:eastAsia="华文楷体" w:hAnsi="华文楷体" w:hint="eastAsia"/>
          <w:b/>
          <w:sz w:val="22"/>
        </w:rPr>
        <w:t>宏观调控政策</w:t>
      </w:r>
    </w:p>
    <w:p w14:paraId="75429E85" w14:textId="1257436F" w:rsidR="00574369" w:rsidRPr="000E75E3" w:rsidRDefault="00574369" w:rsidP="00574369">
      <w:pPr>
        <w:numPr>
          <w:ilvl w:val="0"/>
          <w:numId w:val="24"/>
        </w:numPr>
        <w:adjustRightInd w:val="0"/>
        <w:snapToGrid w:val="0"/>
        <w:rPr>
          <w:rFonts w:ascii="华文楷体" w:eastAsia="华文楷体" w:hAnsi="华文楷体"/>
          <w:sz w:val="22"/>
        </w:rPr>
      </w:pPr>
      <w:r w:rsidRPr="00FF4B06">
        <w:rPr>
          <w:rFonts w:ascii="华文楷体" w:eastAsia="华文楷体" w:hAnsi="华文楷体" w:hint="eastAsia"/>
          <w:b/>
          <w:sz w:val="22"/>
        </w:rPr>
        <w:t>货币政策</w:t>
      </w:r>
      <w:r>
        <w:rPr>
          <w:rFonts w:ascii="华文楷体" w:eastAsia="华文楷体" w:hAnsi="华文楷体" w:hint="eastAsia"/>
          <w:b/>
          <w:sz w:val="22"/>
        </w:rPr>
        <w:t>下半年</w:t>
      </w:r>
      <w:r w:rsidR="00B36D5C">
        <w:rPr>
          <w:rFonts w:ascii="华文楷体" w:eastAsia="华文楷体" w:hAnsi="华文楷体" w:hint="eastAsia"/>
          <w:b/>
          <w:sz w:val="22"/>
        </w:rPr>
        <w:t>将</w:t>
      </w:r>
      <w:r w:rsidR="00B36D5C">
        <w:rPr>
          <w:rFonts w:ascii="华文楷体" w:eastAsia="华文楷体" w:hAnsi="华文楷体"/>
          <w:b/>
          <w:sz w:val="22"/>
        </w:rPr>
        <w:t>保持中性</w:t>
      </w:r>
      <w:r>
        <w:rPr>
          <w:rFonts w:ascii="华文楷体" w:eastAsia="华文楷体" w:hAnsi="华文楷体" w:hint="eastAsia"/>
          <w:sz w:val="22"/>
        </w:rPr>
        <w:t>：</w:t>
      </w:r>
      <w:r w:rsidR="007430DB">
        <w:rPr>
          <w:rFonts w:ascii="华文楷体" w:eastAsia="华文楷体" w:hAnsi="华文楷体" w:hint="eastAsia"/>
          <w:sz w:val="22"/>
        </w:rPr>
        <w:t>上半年货币政策大幅波动，在经历了1季度信贷</w:t>
      </w:r>
      <w:proofErr w:type="gramStart"/>
      <w:r w:rsidR="007430DB">
        <w:rPr>
          <w:rFonts w:ascii="华文楷体" w:eastAsia="华文楷体" w:hAnsi="华文楷体" w:hint="eastAsia"/>
          <w:sz w:val="22"/>
        </w:rPr>
        <w:t>社融快速</w:t>
      </w:r>
      <w:proofErr w:type="gramEnd"/>
      <w:r w:rsidR="007430DB">
        <w:rPr>
          <w:rFonts w:ascii="华文楷体" w:eastAsia="华文楷体" w:hAnsi="华文楷体" w:hint="eastAsia"/>
          <w:sz w:val="22"/>
        </w:rPr>
        <w:t>投放之后，4、5月份信贷</w:t>
      </w:r>
      <w:proofErr w:type="gramStart"/>
      <w:r w:rsidR="007430DB">
        <w:rPr>
          <w:rFonts w:ascii="华文楷体" w:eastAsia="华文楷体" w:hAnsi="华文楷体" w:hint="eastAsia"/>
          <w:sz w:val="22"/>
        </w:rPr>
        <w:t>社融开</w:t>
      </w:r>
      <w:r w:rsidR="00496FFB">
        <w:rPr>
          <w:rFonts w:ascii="华文楷体" w:eastAsia="华文楷体" w:hAnsi="华文楷体" w:hint="eastAsia"/>
          <w:sz w:val="22"/>
        </w:rPr>
        <w:t>始</w:t>
      </w:r>
      <w:proofErr w:type="gramEnd"/>
      <w:r w:rsidR="00496FFB">
        <w:rPr>
          <w:rFonts w:ascii="华文楷体" w:eastAsia="华文楷体" w:hAnsi="华文楷体" w:hint="eastAsia"/>
          <w:sz w:val="22"/>
        </w:rPr>
        <w:t>明显收紧。</w:t>
      </w:r>
      <w:proofErr w:type="gramStart"/>
      <w:r w:rsidR="00496FFB">
        <w:rPr>
          <w:rFonts w:ascii="华文楷体" w:eastAsia="华文楷体" w:hAnsi="华文楷体" w:hint="eastAsia"/>
          <w:sz w:val="22"/>
        </w:rPr>
        <w:t>信贷社融加速</w:t>
      </w:r>
      <w:proofErr w:type="gramEnd"/>
      <w:r w:rsidR="00496FFB">
        <w:rPr>
          <w:rFonts w:ascii="华文楷体" w:eastAsia="华文楷体" w:hAnsi="华文楷体" w:hint="eastAsia"/>
          <w:sz w:val="22"/>
        </w:rPr>
        <w:t>投放推动需求改善，带动经济出现复苏态势；</w:t>
      </w:r>
      <w:r w:rsidR="007430DB">
        <w:rPr>
          <w:rFonts w:ascii="华文楷体" w:eastAsia="华文楷体" w:hAnsi="华文楷体" w:hint="eastAsia"/>
          <w:sz w:val="22"/>
        </w:rPr>
        <w:t>而4、5月份</w:t>
      </w:r>
      <w:proofErr w:type="gramStart"/>
      <w:r w:rsidR="007430DB">
        <w:rPr>
          <w:rFonts w:ascii="华文楷体" w:eastAsia="华文楷体" w:hAnsi="华文楷体" w:hint="eastAsia"/>
          <w:sz w:val="22"/>
        </w:rPr>
        <w:t>信贷社融边际</w:t>
      </w:r>
      <w:proofErr w:type="gramEnd"/>
      <w:r w:rsidR="007430DB">
        <w:rPr>
          <w:rFonts w:ascii="华文楷体" w:eastAsia="华文楷体" w:hAnsi="华文楷体" w:hint="eastAsia"/>
          <w:sz w:val="22"/>
        </w:rPr>
        <w:t>收紧</w:t>
      </w:r>
      <w:proofErr w:type="gramStart"/>
      <w:r w:rsidR="007430DB">
        <w:rPr>
          <w:rFonts w:ascii="华文楷体" w:eastAsia="华文楷体" w:hAnsi="华文楷体" w:hint="eastAsia"/>
          <w:sz w:val="22"/>
        </w:rPr>
        <w:t>后需求</w:t>
      </w:r>
      <w:proofErr w:type="gramEnd"/>
      <w:r w:rsidR="007430DB">
        <w:rPr>
          <w:rFonts w:ascii="华文楷体" w:eastAsia="华文楷体" w:hAnsi="华文楷体" w:hint="eastAsia"/>
          <w:sz w:val="22"/>
        </w:rPr>
        <w:t>出现回落，经济下行压力再度上升。</w:t>
      </w:r>
      <w:r w:rsidR="00496FFB">
        <w:rPr>
          <w:rFonts w:ascii="华文楷体" w:eastAsia="华文楷体" w:hAnsi="华文楷体" w:hint="eastAsia"/>
          <w:sz w:val="22"/>
        </w:rPr>
        <w:t>我们</w:t>
      </w:r>
      <w:r w:rsidR="00496FFB">
        <w:rPr>
          <w:rFonts w:ascii="华文楷体" w:eastAsia="华文楷体" w:hAnsi="华文楷体"/>
          <w:sz w:val="22"/>
        </w:rPr>
        <w:t>认为下</w:t>
      </w:r>
      <w:r w:rsidR="00496FFB">
        <w:rPr>
          <w:rFonts w:ascii="华文楷体" w:eastAsia="华文楷体" w:hAnsi="华文楷体" w:hint="eastAsia"/>
          <w:sz w:val="22"/>
        </w:rPr>
        <w:t>半年</w:t>
      </w:r>
      <w:r w:rsidR="00496FFB">
        <w:rPr>
          <w:rFonts w:ascii="华文楷体" w:eastAsia="华文楷体" w:hAnsi="华文楷体"/>
          <w:sz w:val="22"/>
        </w:rPr>
        <w:t>货币政策将保持中性，一方面</w:t>
      </w:r>
      <w:r w:rsidR="00496FFB">
        <w:rPr>
          <w:rFonts w:ascii="华文楷体" w:eastAsia="华文楷体" w:hAnsi="华文楷体" w:hint="eastAsia"/>
          <w:sz w:val="22"/>
        </w:rPr>
        <w:t>下半年</w:t>
      </w:r>
      <w:r w:rsidR="007430DB">
        <w:rPr>
          <w:rFonts w:ascii="华文楷体" w:eastAsia="华文楷体" w:hAnsi="华文楷体" w:hint="eastAsia"/>
          <w:sz w:val="22"/>
        </w:rPr>
        <w:t>经济增速依然面临6.5%</w:t>
      </w:r>
      <w:r w:rsidR="00496FFB">
        <w:rPr>
          <w:rFonts w:ascii="华文楷体" w:eastAsia="华文楷体" w:hAnsi="华文楷体" w:hint="eastAsia"/>
          <w:sz w:val="22"/>
        </w:rPr>
        <w:t>底线的考验，货币政策难以显著收紧；</w:t>
      </w:r>
      <w:r w:rsidR="007430DB">
        <w:rPr>
          <w:rFonts w:ascii="华文楷体" w:eastAsia="华文楷体" w:hAnsi="华文楷体" w:hint="eastAsia"/>
          <w:sz w:val="22"/>
        </w:rPr>
        <w:t>另一方面，供给</w:t>
      </w:r>
      <w:proofErr w:type="gramStart"/>
      <w:r w:rsidR="007430DB">
        <w:rPr>
          <w:rFonts w:ascii="华文楷体" w:eastAsia="华文楷体" w:hAnsi="华文楷体" w:hint="eastAsia"/>
          <w:sz w:val="22"/>
        </w:rPr>
        <w:t>侧改革</w:t>
      </w:r>
      <w:proofErr w:type="gramEnd"/>
      <w:r w:rsidR="007430DB">
        <w:rPr>
          <w:rFonts w:ascii="华文楷体" w:eastAsia="华文楷体" w:hAnsi="华文楷体" w:hint="eastAsia"/>
          <w:sz w:val="22"/>
        </w:rPr>
        <w:t>的推进要求降杠杆、去产能，货币政策如1</w:t>
      </w:r>
      <w:r w:rsidR="00496FFB">
        <w:rPr>
          <w:rFonts w:ascii="华文楷体" w:eastAsia="华文楷体" w:hAnsi="华文楷体" w:hint="eastAsia"/>
          <w:sz w:val="22"/>
        </w:rPr>
        <w:t>季度大幅宽松的可能性较小</w:t>
      </w:r>
      <w:r w:rsidR="007430DB">
        <w:rPr>
          <w:rFonts w:ascii="华文楷体" w:eastAsia="华文楷体" w:hAnsi="华文楷体" w:hint="eastAsia"/>
          <w:sz w:val="22"/>
        </w:rPr>
        <w:t>。</w:t>
      </w:r>
      <w:r w:rsidR="00496FFB">
        <w:rPr>
          <w:rFonts w:ascii="华文楷体" w:eastAsia="华文楷体" w:hAnsi="华文楷体" w:hint="eastAsia"/>
          <w:sz w:val="22"/>
        </w:rPr>
        <w:t>不过，</w:t>
      </w:r>
      <w:r w:rsidR="00496FFB">
        <w:rPr>
          <w:rFonts w:ascii="华文楷体" w:eastAsia="华文楷体" w:hAnsi="华文楷体"/>
          <w:sz w:val="22"/>
        </w:rPr>
        <w:t>考虑到</w:t>
      </w:r>
      <w:r w:rsidR="00496FFB">
        <w:rPr>
          <w:rFonts w:ascii="华文楷体" w:eastAsia="华文楷体" w:hAnsi="华文楷体" w:hint="eastAsia"/>
          <w:sz w:val="22"/>
        </w:rPr>
        <w:t>外汇占款</w:t>
      </w:r>
      <w:r w:rsidR="00496FFB">
        <w:rPr>
          <w:rFonts w:ascii="华文楷体" w:eastAsia="华文楷体" w:hAnsi="华文楷体"/>
          <w:sz w:val="22"/>
        </w:rPr>
        <w:t>导致基础货币</w:t>
      </w:r>
      <w:r w:rsidR="00496FFB">
        <w:rPr>
          <w:rFonts w:ascii="华文楷体" w:eastAsia="华文楷体" w:hAnsi="华文楷体" w:hint="eastAsia"/>
          <w:sz w:val="22"/>
        </w:rPr>
        <w:t>持续</w:t>
      </w:r>
      <w:r w:rsidR="00496FFB">
        <w:rPr>
          <w:rFonts w:ascii="华文楷体" w:eastAsia="华文楷体" w:hAnsi="华文楷体"/>
          <w:sz w:val="22"/>
        </w:rPr>
        <w:t>下行，不排除下</w:t>
      </w:r>
      <w:r w:rsidR="00496FFB">
        <w:rPr>
          <w:rFonts w:ascii="华文楷体" w:eastAsia="华文楷体" w:hAnsi="华文楷体" w:hint="eastAsia"/>
          <w:sz w:val="22"/>
        </w:rPr>
        <w:t>半年</w:t>
      </w:r>
      <w:r w:rsidR="00496FFB">
        <w:rPr>
          <w:rFonts w:ascii="华文楷体" w:eastAsia="华文楷体" w:hAnsi="华文楷体"/>
          <w:sz w:val="22"/>
        </w:rPr>
        <w:t>央行在</w:t>
      </w:r>
      <w:r w:rsidR="00496FFB">
        <w:rPr>
          <w:rFonts w:ascii="华文楷体" w:eastAsia="华文楷体" w:hAnsi="华文楷体" w:hint="eastAsia"/>
          <w:sz w:val="22"/>
        </w:rPr>
        <w:t>常规货币</w:t>
      </w:r>
      <w:r w:rsidR="00496FFB">
        <w:rPr>
          <w:rFonts w:ascii="华文楷体" w:eastAsia="华文楷体" w:hAnsi="华文楷体"/>
          <w:sz w:val="22"/>
        </w:rPr>
        <w:t>工具之外进行</w:t>
      </w:r>
      <w:r w:rsidR="00496FFB">
        <w:rPr>
          <w:rFonts w:ascii="华文楷体" w:eastAsia="华文楷体" w:hAnsi="华文楷体" w:hint="eastAsia"/>
          <w:sz w:val="22"/>
        </w:rPr>
        <w:t>1</w:t>
      </w:r>
      <w:r w:rsidR="00496FFB">
        <w:rPr>
          <w:rFonts w:ascii="华文楷体" w:eastAsia="华文楷体" w:hAnsi="华文楷体"/>
          <w:sz w:val="22"/>
        </w:rPr>
        <w:t>-</w:t>
      </w:r>
      <w:proofErr w:type="gramStart"/>
      <w:r w:rsidR="00496FFB">
        <w:rPr>
          <w:rFonts w:ascii="华文楷体" w:eastAsia="华文楷体" w:hAnsi="华文楷体"/>
          <w:sz w:val="22"/>
        </w:rPr>
        <w:t>2</w:t>
      </w:r>
      <w:r w:rsidR="00496FFB">
        <w:rPr>
          <w:rFonts w:ascii="华文楷体" w:eastAsia="华文楷体" w:hAnsi="华文楷体" w:hint="eastAsia"/>
          <w:sz w:val="22"/>
        </w:rPr>
        <w:t>次</w:t>
      </w:r>
      <w:r w:rsidR="00496FFB">
        <w:rPr>
          <w:rFonts w:ascii="华文楷体" w:eastAsia="华文楷体" w:hAnsi="华文楷体"/>
          <w:sz w:val="22"/>
        </w:rPr>
        <w:t>降准</w:t>
      </w:r>
      <w:r w:rsidR="00496FFB">
        <w:rPr>
          <w:rFonts w:ascii="华文楷体" w:eastAsia="华文楷体" w:hAnsi="华文楷体" w:hint="eastAsia"/>
          <w:sz w:val="22"/>
        </w:rPr>
        <w:t>对</w:t>
      </w:r>
      <w:proofErr w:type="gramEnd"/>
      <w:r w:rsidR="00496FFB">
        <w:rPr>
          <w:rFonts w:ascii="华文楷体" w:eastAsia="华文楷体" w:hAnsi="华文楷体" w:hint="eastAsia"/>
          <w:sz w:val="22"/>
        </w:rPr>
        <w:t>冲</w:t>
      </w:r>
      <w:r w:rsidR="00496FFB">
        <w:rPr>
          <w:rFonts w:ascii="华文楷体" w:eastAsia="华文楷体" w:hAnsi="华文楷体"/>
          <w:sz w:val="22"/>
        </w:rPr>
        <w:t>。</w:t>
      </w:r>
    </w:p>
    <w:p w14:paraId="17C83CD8" w14:textId="65C66934" w:rsidR="00574369" w:rsidRPr="000E75E3" w:rsidRDefault="00574369" w:rsidP="00574369">
      <w:pPr>
        <w:numPr>
          <w:ilvl w:val="0"/>
          <w:numId w:val="24"/>
        </w:numPr>
        <w:adjustRightInd w:val="0"/>
        <w:snapToGrid w:val="0"/>
        <w:rPr>
          <w:rFonts w:ascii="华文楷体" w:eastAsia="华文楷体" w:hAnsi="华文楷体"/>
          <w:sz w:val="22"/>
        </w:rPr>
      </w:pPr>
      <w:r w:rsidRPr="002A3D7E">
        <w:rPr>
          <w:rFonts w:ascii="华文楷体" w:eastAsia="华文楷体" w:hAnsi="华文楷体" w:hint="eastAsia"/>
          <w:b/>
          <w:sz w:val="22"/>
        </w:rPr>
        <w:t>财政</w:t>
      </w:r>
      <w:r w:rsidRPr="002A3D7E">
        <w:rPr>
          <w:rFonts w:ascii="华文楷体" w:eastAsia="华文楷体" w:hAnsi="华文楷体"/>
          <w:b/>
          <w:sz w:val="22"/>
        </w:rPr>
        <w:t>政策</w:t>
      </w:r>
      <w:r w:rsidR="007321B2">
        <w:rPr>
          <w:rFonts w:ascii="华文楷体" w:eastAsia="华文楷体" w:hAnsi="华文楷体" w:hint="eastAsia"/>
          <w:b/>
          <w:sz w:val="22"/>
        </w:rPr>
        <w:t>将</w:t>
      </w:r>
      <w:r w:rsidR="007321B2">
        <w:rPr>
          <w:rFonts w:ascii="华文楷体" w:eastAsia="华文楷体" w:hAnsi="华文楷体"/>
          <w:b/>
          <w:sz w:val="22"/>
        </w:rPr>
        <w:t>更加积极</w:t>
      </w:r>
      <w:r w:rsidRPr="002A3D7E">
        <w:rPr>
          <w:rFonts w:ascii="华文楷体" w:eastAsia="华文楷体" w:hAnsi="华文楷体"/>
          <w:b/>
          <w:sz w:val="22"/>
        </w:rPr>
        <w:t>：</w:t>
      </w:r>
      <w:r w:rsidR="00B36D5C">
        <w:rPr>
          <w:rFonts w:ascii="华文楷体" w:eastAsia="华文楷体" w:hAnsi="华文楷体" w:hint="eastAsia"/>
          <w:sz w:val="22"/>
        </w:rPr>
        <w:t>在</w:t>
      </w:r>
      <w:r w:rsidR="00B36D5C">
        <w:rPr>
          <w:rFonts w:ascii="华文楷体" w:eastAsia="华文楷体" w:hAnsi="华文楷体"/>
          <w:sz w:val="22"/>
        </w:rPr>
        <w:t>货币政策维持中性的</w:t>
      </w:r>
      <w:r w:rsidR="00B36D5C">
        <w:rPr>
          <w:rFonts w:ascii="华文楷体" w:eastAsia="华文楷体" w:hAnsi="华文楷体" w:hint="eastAsia"/>
          <w:sz w:val="22"/>
        </w:rPr>
        <w:t>情况下</w:t>
      </w:r>
      <w:r w:rsidR="00B36D5C">
        <w:rPr>
          <w:rFonts w:ascii="华文楷体" w:eastAsia="华文楷体" w:hAnsi="华文楷体"/>
          <w:sz w:val="22"/>
        </w:rPr>
        <w:t>，我们认为下</w:t>
      </w:r>
      <w:r w:rsidR="00B36D5C">
        <w:rPr>
          <w:rFonts w:ascii="华文楷体" w:eastAsia="华文楷体" w:hAnsi="华文楷体" w:hint="eastAsia"/>
          <w:sz w:val="22"/>
        </w:rPr>
        <w:t>半年财政政策将更加积极。</w:t>
      </w:r>
      <w:r w:rsidR="007430DB">
        <w:rPr>
          <w:rFonts w:ascii="华文楷体" w:eastAsia="华文楷体" w:hAnsi="华文楷体" w:hint="eastAsia"/>
          <w:sz w:val="22"/>
        </w:rPr>
        <w:t>2016年前5个月，财政盈余为3352亿元，较去年同期减少2439亿元，而2016年财政赤字目标较去年增长5600亿元，意味着今年后7个月财政赤字规模将较去年同期增加3141亿元。</w:t>
      </w:r>
      <w:r w:rsidR="00B36D5C">
        <w:rPr>
          <w:rFonts w:ascii="华文楷体" w:eastAsia="华文楷体" w:hAnsi="华文楷体" w:hint="eastAsia"/>
          <w:sz w:val="22"/>
        </w:rPr>
        <w:t>此外</w:t>
      </w:r>
      <w:r w:rsidR="00B36D5C">
        <w:rPr>
          <w:rFonts w:ascii="华文楷体" w:eastAsia="华文楷体" w:hAnsi="华文楷体"/>
          <w:sz w:val="22"/>
        </w:rPr>
        <w:t>，</w:t>
      </w:r>
      <w:r w:rsidR="007430DB">
        <w:rPr>
          <w:rFonts w:ascii="华文楷体" w:eastAsia="华文楷体" w:hAnsi="华文楷体" w:hint="eastAsia"/>
          <w:sz w:val="22"/>
        </w:rPr>
        <w:t>6月底国新办关于债务率的吹风会中表示“政府杠杆率还有上升空间……地方融资平台并不违法”</w:t>
      </w:r>
      <w:r w:rsidR="00B36D5C">
        <w:rPr>
          <w:rFonts w:ascii="华文楷体" w:eastAsia="华文楷体" w:hAnsi="华文楷体" w:hint="eastAsia"/>
          <w:sz w:val="22"/>
        </w:rPr>
        <w:t>，预计</w:t>
      </w:r>
      <w:r w:rsidR="007430DB">
        <w:rPr>
          <w:rFonts w:ascii="华文楷体" w:eastAsia="华文楷体" w:hAnsi="华文楷体" w:hint="eastAsia"/>
          <w:sz w:val="22"/>
        </w:rPr>
        <w:t>政府将继续通过地方政府债、</w:t>
      </w:r>
      <w:proofErr w:type="gramStart"/>
      <w:r w:rsidR="007430DB">
        <w:rPr>
          <w:rFonts w:ascii="华文楷体" w:eastAsia="华文楷体" w:hAnsi="华文楷体" w:hint="eastAsia"/>
          <w:sz w:val="22"/>
        </w:rPr>
        <w:t>城投债以及</w:t>
      </w:r>
      <w:proofErr w:type="gramEnd"/>
      <w:r w:rsidR="007430DB">
        <w:rPr>
          <w:rFonts w:ascii="华文楷体" w:eastAsia="华文楷体" w:hAnsi="华文楷体" w:hint="eastAsia"/>
          <w:sz w:val="22"/>
        </w:rPr>
        <w:t>加大信贷规模等方式提高杠杆率。</w:t>
      </w:r>
      <w:r w:rsidR="00496FFB">
        <w:rPr>
          <w:rFonts w:ascii="华文楷体" w:eastAsia="华文楷体" w:hAnsi="华文楷体" w:hint="eastAsia"/>
          <w:sz w:val="22"/>
        </w:rPr>
        <w:t>专项金融债</w:t>
      </w:r>
      <w:r w:rsidR="00496FFB">
        <w:rPr>
          <w:rFonts w:ascii="华文楷体" w:eastAsia="华文楷体" w:hAnsi="华文楷体"/>
          <w:sz w:val="22"/>
        </w:rPr>
        <w:t>、专项建设基金等</w:t>
      </w:r>
      <w:r w:rsidR="00496FFB">
        <w:rPr>
          <w:rFonts w:ascii="华文楷体" w:eastAsia="华文楷体" w:hAnsi="华文楷体" w:hint="eastAsia"/>
          <w:sz w:val="22"/>
        </w:rPr>
        <w:t>财政</w:t>
      </w:r>
      <w:r w:rsidR="00496FFB">
        <w:rPr>
          <w:rFonts w:ascii="华文楷体" w:eastAsia="华文楷体" w:hAnsi="华文楷体"/>
          <w:sz w:val="22"/>
        </w:rPr>
        <w:t>货币化</w:t>
      </w:r>
      <w:r w:rsidR="00B36D5C">
        <w:rPr>
          <w:rFonts w:ascii="华文楷体" w:eastAsia="华文楷体" w:hAnsi="华文楷体" w:hint="eastAsia"/>
          <w:sz w:val="22"/>
        </w:rPr>
        <w:t>等</w:t>
      </w:r>
      <w:r w:rsidR="00496FFB">
        <w:rPr>
          <w:rFonts w:ascii="华文楷体" w:eastAsia="华文楷体" w:hAnsi="华文楷体"/>
          <w:sz w:val="22"/>
        </w:rPr>
        <w:t>也是财政刺激的手段之一。</w:t>
      </w:r>
    </w:p>
    <w:p w14:paraId="0CB67A61" w14:textId="1B70D1AA" w:rsidR="00B355B0" w:rsidRPr="000E75E3" w:rsidRDefault="00192DE6" w:rsidP="00B36D5C">
      <w:pPr>
        <w:numPr>
          <w:ilvl w:val="0"/>
          <w:numId w:val="24"/>
        </w:numPr>
        <w:adjustRightInd w:val="0"/>
        <w:snapToGrid w:val="0"/>
        <w:rPr>
          <w:rFonts w:ascii="华文楷体" w:eastAsia="华文楷体" w:hAnsi="华文楷体"/>
          <w:sz w:val="22"/>
        </w:rPr>
      </w:pPr>
      <w:r w:rsidRPr="002A3D7E">
        <w:rPr>
          <w:rFonts w:ascii="华文楷体" w:eastAsia="华文楷体" w:hAnsi="华文楷体" w:hint="eastAsia"/>
          <w:b/>
          <w:sz w:val="22"/>
        </w:rPr>
        <w:t>房地产</w:t>
      </w:r>
      <w:r w:rsidR="007430DB">
        <w:rPr>
          <w:rFonts w:ascii="华文楷体" w:eastAsia="华文楷体" w:hAnsi="华文楷体" w:hint="eastAsia"/>
          <w:b/>
          <w:sz w:val="22"/>
        </w:rPr>
        <w:t>市场</w:t>
      </w:r>
      <w:r w:rsidR="007430DB">
        <w:rPr>
          <w:rFonts w:ascii="华文楷体" w:eastAsia="华文楷体" w:hAnsi="华文楷体"/>
          <w:b/>
          <w:sz w:val="22"/>
        </w:rPr>
        <w:t>温和改善</w:t>
      </w:r>
      <w:r w:rsidRPr="002A3D7E">
        <w:rPr>
          <w:rFonts w:ascii="华文楷体" w:eastAsia="华文楷体" w:hAnsi="华文楷体"/>
          <w:b/>
          <w:sz w:val="22"/>
        </w:rPr>
        <w:t>：</w:t>
      </w:r>
      <w:r w:rsidR="007430DB">
        <w:rPr>
          <w:rFonts w:ascii="华文楷体" w:eastAsia="华文楷体" w:hAnsi="华文楷体" w:hint="eastAsia"/>
          <w:sz w:val="22"/>
        </w:rPr>
        <w:t>宽松的货币环境下，房地产需求在上半年出现明显改善。房地产销售面积增长（5月累计同比33.2%）带动新开工和土地购置面积回升（5月累计同比分别为18.3%和-5.9%），推高房地产投资增速（5月累计同比7.0%）。虽然高频数据显示房地产销售同比增速在6</w:t>
      </w:r>
      <w:r w:rsidR="00496FFB">
        <w:rPr>
          <w:rFonts w:ascii="华文楷体" w:eastAsia="华文楷体" w:hAnsi="华文楷体" w:hint="eastAsia"/>
          <w:sz w:val="22"/>
        </w:rPr>
        <w:t>月开始放缓，</w:t>
      </w:r>
      <w:r w:rsidR="00B36D5C">
        <w:rPr>
          <w:rFonts w:ascii="华文楷体" w:eastAsia="华文楷体" w:hAnsi="华文楷体" w:hint="eastAsia"/>
          <w:sz w:val="22"/>
        </w:rPr>
        <w:t>不过经济相对</w:t>
      </w:r>
      <w:r w:rsidR="00B36D5C">
        <w:rPr>
          <w:rFonts w:ascii="华文楷体" w:eastAsia="华文楷体" w:hAnsi="华文楷体"/>
          <w:sz w:val="22"/>
        </w:rPr>
        <w:t>安全，</w:t>
      </w:r>
      <w:r w:rsidR="00B36D5C">
        <w:rPr>
          <w:rFonts w:ascii="华文楷体" w:eastAsia="华文楷体" w:hAnsi="华文楷体" w:hint="eastAsia"/>
          <w:sz w:val="22"/>
        </w:rPr>
        <w:t>货币政策中性。同时，我们</w:t>
      </w:r>
      <w:r w:rsidR="00B36D5C">
        <w:rPr>
          <w:rFonts w:ascii="华文楷体" w:eastAsia="华文楷体" w:hAnsi="华文楷体"/>
          <w:sz w:val="22"/>
        </w:rPr>
        <w:t>观测到</w:t>
      </w:r>
      <w:r w:rsidR="00B36D5C">
        <w:rPr>
          <w:rFonts w:ascii="华文楷体" w:eastAsia="华文楷体" w:hAnsi="华文楷体" w:hint="eastAsia"/>
          <w:sz w:val="22"/>
        </w:rPr>
        <w:t>重点城市库存去化周期</w:t>
      </w:r>
      <w:r w:rsidR="00B36D5C" w:rsidRPr="00B36D5C">
        <w:rPr>
          <w:rFonts w:ascii="华文楷体" w:eastAsia="华文楷体" w:hAnsi="华文楷体" w:hint="eastAsia"/>
          <w:sz w:val="22"/>
        </w:rPr>
        <w:t>明显下降</w:t>
      </w:r>
      <w:r w:rsidR="00B36D5C">
        <w:rPr>
          <w:rFonts w:ascii="华文楷体" w:eastAsia="华文楷体" w:hAnsi="华文楷体" w:hint="eastAsia"/>
          <w:sz w:val="22"/>
        </w:rPr>
        <w:t>，</w:t>
      </w:r>
      <w:r w:rsidR="007430DB">
        <w:rPr>
          <w:rFonts w:ascii="华文楷体" w:eastAsia="华文楷体" w:hAnsi="华文楷体" w:hint="eastAsia"/>
          <w:sz w:val="22"/>
        </w:rPr>
        <w:t>上半年新开工面积快速回升，</w:t>
      </w:r>
      <w:r w:rsidR="00B36D5C">
        <w:rPr>
          <w:rFonts w:ascii="华文楷体" w:eastAsia="华文楷体" w:hAnsi="华文楷体" w:hint="eastAsia"/>
          <w:sz w:val="22"/>
        </w:rPr>
        <w:t>因此预计下半年</w:t>
      </w:r>
      <w:r w:rsidR="007430DB">
        <w:rPr>
          <w:rFonts w:ascii="华文楷体" w:eastAsia="华文楷体" w:hAnsi="华文楷体" w:hint="eastAsia"/>
          <w:sz w:val="22"/>
        </w:rPr>
        <w:t>房地产投资将延续温和回升态势</w:t>
      </w:r>
      <w:r w:rsidR="00B355B0" w:rsidRPr="000E75E3">
        <w:rPr>
          <w:rFonts w:ascii="华文楷体" w:eastAsia="华文楷体" w:hAnsi="华文楷体"/>
          <w:sz w:val="22"/>
        </w:rPr>
        <w:t>。</w:t>
      </w:r>
    </w:p>
    <w:p w14:paraId="4F818C8A" w14:textId="77777777" w:rsidR="00433EE1" w:rsidRDefault="00433EE1" w:rsidP="00433EE1">
      <w:pPr>
        <w:pStyle w:val="a7"/>
        <w:ind w:left="1260" w:firstLineChars="0" w:firstLine="0"/>
        <w:rPr>
          <w:rFonts w:ascii="华文楷体" w:eastAsia="华文楷体" w:hAnsi="华文楷体"/>
          <w:sz w:val="22"/>
        </w:rPr>
      </w:pPr>
    </w:p>
    <w:p w14:paraId="5CCC2E81" w14:textId="77777777" w:rsidR="0060033A" w:rsidRPr="00B36D5C" w:rsidRDefault="0060033A" w:rsidP="00433EE1">
      <w:pPr>
        <w:pStyle w:val="a7"/>
        <w:ind w:left="1260" w:firstLineChars="0" w:firstLine="0"/>
        <w:rPr>
          <w:rFonts w:ascii="华文楷体" w:eastAsia="华文楷体" w:hAnsi="华文楷体"/>
          <w:sz w:val="22"/>
        </w:rPr>
      </w:pPr>
    </w:p>
    <w:p w14:paraId="129AC0BE" w14:textId="77777777" w:rsidR="0060033A" w:rsidRPr="00855239" w:rsidRDefault="0060033A" w:rsidP="00855239">
      <w:pPr>
        <w:rPr>
          <w:rFonts w:ascii="华文楷体" w:eastAsia="华文楷体" w:hAnsi="华文楷体"/>
          <w:b/>
          <w:sz w:val="22"/>
        </w:rPr>
      </w:pPr>
    </w:p>
    <w:p w14:paraId="37F977E7" w14:textId="25CF4BB6" w:rsidR="00B355B0" w:rsidRPr="000E75E3" w:rsidRDefault="00B355B0" w:rsidP="00B355B0">
      <w:pPr>
        <w:pStyle w:val="a7"/>
        <w:numPr>
          <w:ilvl w:val="0"/>
          <w:numId w:val="20"/>
        </w:numPr>
        <w:ind w:firstLineChars="0"/>
        <w:rPr>
          <w:rFonts w:ascii="华文楷体" w:eastAsia="华文楷体" w:hAnsi="华文楷体"/>
          <w:b/>
          <w:sz w:val="22"/>
        </w:rPr>
      </w:pPr>
      <w:r w:rsidRPr="000E75E3">
        <w:rPr>
          <w:rFonts w:ascii="华文楷体" w:eastAsia="华文楷体" w:hAnsi="华文楷体" w:hint="eastAsia"/>
          <w:b/>
          <w:sz w:val="22"/>
        </w:rPr>
        <w:t>通胀</w:t>
      </w:r>
      <w:r w:rsidR="00283284">
        <w:rPr>
          <w:rFonts w:ascii="华文楷体" w:eastAsia="华文楷体" w:hAnsi="华文楷体" w:hint="eastAsia"/>
          <w:b/>
          <w:sz w:val="22"/>
        </w:rPr>
        <w:t>数据</w:t>
      </w:r>
      <w:r w:rsidRPr="000E75E3">
        <w:rPr>
          <w:rFonts w:ascii="华文楷体" w:eastAsia="华文楷体" w:hAnsi="华文楷体"/>
          <w:b/>
          <w:sz w:val="22"/>
        </w:rPr>
        <w:t>预测</w:t>
      </w:r>
    </w:p>
    <w:p w14:paraId="3E642407" w14:textId="17C0F44D" w:rsidR="00496FFB" w:rsidRPr="00B36D5C" w:rsidRDefault="00E55FB3" w:rsidP="00B36D5C">
      <w:pPr>
        <w:pStyle w:val="a7"/>
        <w:numPr>
          <w:ilvl w:val="0"/>
          <w:numId w:val="31"/>
        </w:numPr>
        <w:snapToGrid w:val="0"/>
        <w:ind w:firstLineChars="0"/>
        <w:rPr>
          <w:kern w:val="0"/>
          <w:szCs w:val="21"/>
        </w:rPr>
      </w:pPr>
      <w:r w:rsidRPr="00B36D5C">
        <w:rPr>
          <w:rFonts w:ascii="华文楷体" w:eastAsia="华文楷体" w:hAnsi="华文楷体" w:hint="eastAsia"/>
          <w:b/>
          <w:sz w:val="22"/>
        </w:rPr>
        <w:t>全年通胀或</w:t>
      </w:r>
      <w:r w:rsidRPr="00B36D5C">
        <w:rPr>
          <w:rFonts w:ascii="华文楷体" w:eastAsia="华文楷体" w:hAnsi="华文楷体"/>
          <w:b/>
          <w:sz w:val="22"/>
        </w:rPr>
        <w:t>维持较低水平</w:t>
      </w:r>
      <w:r w:rsidRPr="00B36D5C">
        <w:rPr>
          <w:rFonts w:ascii="华文楷体" w:eastAsia="华文楷体" w:hAnsi="华文楷体" w:hint="eastAsia"/>
          <w:b/>
          <w:sz w:val="22"/>
        </w:rPr>
        <w:t>：</w:t>
      </w:r>
      <w:r w:rsidR="00496FFB" w:rsidRPr="00B36D5C">
        <w:rPr>
          <w:rFonts w:ascii="华文楷体" w:eastAsia="华文楷体" w:hAnsi="华文楷体" w:hint="eastAsia"/>
          <w:sz w:val="22"/>
        </w:rPr>
        <w:t>蔬菜和猪肉</w:t>
      </w:r>
      <w:r w:rsidR="00496FFB">
        <w:rPr>
          <w:rFonts w:ascii="华文楷体" w:eastAsia="华文楷体" w:hAnsi="华文楷体" w:hint="eastAsia"/>
          <w:sz w:val="22"/>
        </w:rPr>
        <w:t>推动</w:t>
      </w:r>
      <w:r w:rsidR="00496FFB" w:rsidRPr="00B36D5C">
        <w:rPr>
          <w:rFonts w:ascii="华文楷体" w:eastAsia="华文楷体" w:hAnsi="华文楷体" w:hint="eastAsia"/>
          <w:sz w:val="22"/>
        </w:rPr>
        <w:t>上半年CPI同比快速上涨，从15年底1.6%的水平上升至今年3、4月最高的2.3%。然而随着供给面的改善，蔬菜价格从5月以来快速下跌，同时猪肉价格在6月出现环比下挫。结合去年猪周期形成的高基数效应，猪肉价格同比增速将在三季度继续下行，拉低CPI同比增速。而经济平稳增长态势下，基数效应将推动PPI同比跌幅收窄，但难以转正。我们预计下半年CPI同比增速在1.8%左右，四季度增速较3季度有所回升。PPI同比跌幅将持续收窄，但难以转正。</w:t>
      </w:r>
    </w:p>
    <w:p w14:paraId="22C6F13E" w14:textId="6068E950" w:rsidR="00496FFB" w:rsidRDefault="00496FFB" w:rsidP="00496FFB">
      <w:pPr>
        <w:snapToGrid w:val="0"/>
        <w:ind w:left="420" w:hanging="420"/>
        <w:rPr>
          <w:rFonts w:ascii="华文楷体" w:eastAsia="华文楷体" w:hAnsi="华文楷体"/>
          <w:sz w:val="22"/>
        </w:rPr>
      </w:pPr>
      <w:r>
        <w:rPr>
          <w:rFonts w:ascii="Wingdings" w:hAnsi="Wingdings"/>
          <w:sz w:val="22"/>
        </w:rPr>
        <w:t></w:t>
      </w:r>
      <w:r>
        <w:rPr>
          <w:rFonts w:ascii="Times New Roman" w:hAnsi="Times New Roman"/>
          <w:sz w:val="14"/>
          <w:szCs w:val="14"/>
        </w:rPr>
        <w:t xml:space="preserve">  </w:t>
      </w:r>
      <w:r>
        <w:rPr>
          <w:rFonts w:ascii="华文楷体" w:eastAsia="华文楷体" w:hAnsi="华文楷体" w:hint="eastAsia"/>
          <w:b/>
          <w:bCs/>
          <w:sz w:val="22"/>
        </w:rPr>
        <w:t>警惕通胀预期抬头：</w:t>
      </w:r>
      <w:r>
        <w:rPr>
          <w:rFonts w:ascii="华文楷体" w:eastAsia="华文楷体" w:hAnsi="华文楷体" w:hint="eastAsia"/>
          <w:sz w:val="22"/>
        </w:rPr>
        <w:t>虽然通胀低位波动，但需要警惕通胀预期抬头。一方面，生猪存栏量虽然近</w:t>
      </w:r>
      <w:proofErr w:type="gramStart"/>
      <w:r>
        <w:rPr>
          <w:rFonts w:ascii="华文楷体" w:eastAsia="华文楷体" w:hAnsi="华文楷体" w:hint="eastAsia"/>
          <w:sz w:val="22"/>
        </w:rPr>
        <w:t>几</w:t>
      </w:r>
      <w:proofErr w:type="gramEnd"/>
      <w:r>
        <w:rPr>
          <w:rFonts w:ascii="华文楷体" w:eastAsia="华文楷体" w:hAnsi="华文楷体" w:hint="eastAsia"/>
          <w:sz w:val="22"/>
        </w:rPr>
        <w:t>月略有回升，但依然处于3.7亿头的低位，相对于13年末4.7亿头左右的水平大幅减少，供给依然相对偏紧。另一方面，上半年房价的快速上升以及PPI价格环比上涨都有可能向CPI传导，推高CPI同比。</w:t>
      </w:r>
      <w:r>
        <w:rPr>
          <w:rFonts w:ascii="华文楷体" w:eastAsia="华文楷体" w:hAnsi="华文楷体"/>
          <w:sz w:val="22"/>
        </w:rPr>
        <w:t>叠加</w:t>
      </w:r>
      <w:r>
        <w:rPr>
          <w:rFonts w:ascii="华文楷体" w:eastAsia="华文楷体" w:hAnsi="华文楷体" w:hint="eastAsia"/>
          <w:sz w:val="22"/>
        </w:rPr>
        <w:t>商品</w:t>
      </w:r>
      <w:r>
        <w:rPr>
          <w:rFonts w:ascii="华文楷体" w:eastAsia="华文楷体" w:hAnsi="华文楷体"/>
          <w:sz w:val="22"/>
        </w:rPr>
        <w:t>等资产价格的阶段性上冲，</w:t>
      </w:r>
      <w:r>
        <w:rPr>
          <w:rFonts w:ascii="华文楷体" w:eastAsia="华文楷体" w:hAnsi="华文楷体" w:hint="eastAsia"/>
          <w:sz w:val="22"/>
        </w:rPr>
        <w:t>警惕通胀预期抬头</w:t>
      </w:r>
      <w:r w:rsidR="00F36134">
        <w:rPr>
          <w:rFonts w:ascii="华文楷体" w:eastAsia="华文楷体" w:hAnsi="华文楷体" w:hint="eastAsia"/>
          <w:sz w:val="22"/>
        </w:rPr>
        <w:t>对于</w:t>
      </w:r>
      <w:r w:rsidR="00F36134">
        <w:rPr>
          <w:rFonts w:ascii="华文楷体" w:eastAsia="华文楷体" w:hAnsi="华文楷体"/>
          <w:sz w:val="22"/>
        </w:rPr>
        <w:t>资本市场的短期冲击</w:t>
      </w:r>
      <w:r>
        <w:rPr>
          <w:rFonts w:ascii="华文楷体" w:eastAsia="华文楷体" w:hAnsi="华文楷体" w:hint="eastAsia"/>
          <w:sz w:val="22"/>
        </w:rPr>
        <w:t>。</w:t>
      </w:r>
    </w:p>
    <w:p w14:paraId="4521A30D" w14:textId="77777777" w:rsidR="00496FFB" w:rsidRPr="00B36D5C" w:rsidRDefault="00496FFB" w:rsidP="00496FFB">
      <w:pPr>
        <w:snapToGrid w:val="0"/>
        <w:ind w:left="420"/>
        <w:rPr>
          <w:rFonts w:ascii="华文楷体" w:eastAsia="华文楷体" w:hAnsi="华文楷体"/>
          <w:b/>
          <w:sz w:val="22"/>
        </w:rPr>
      </w:pPr>
      <w:r w:rsidRPr="00B36D5C">
        <w:rPr>
          <w:rFonts w:ascii="华文楷体" w:eastAsia="华文楷体" w:hAnsi="华文楷体" w:hint="eastAsia"/>
          <w:b/>
          <w:sz w:val="22"/>
        </w:rPr>
        <w:t> </w:t>
      </w:r>
    </w:p>
    <w:p w14:paraId="36790729" w14:textId="77777777" w:rsidR="00496FFB" w:rsidRDefault="00496FFB" w:rsidP="00B36D5C">
      <w:r w:rsidRPr="00B36D5C">
        <w:rPr>
          <w:rFonts w:ascii="Wingdings" w:hAnsi="Wingdings"/>
          <w:sz w:val="22"/>
        </w:rPr>
        <w:t></w:t>
      </w:r>
      <w:r w:rsidRPr="00B36D5C">
        <w:rPr>
          <w:rFonts w:ascii="Times New Roman" w:hAnsi="Times New Roman"/>
          <w:sz w:val="14"/>
          <w:szCs w:val="14"/>
        </w:rPr>
        <w:t xml:space="preserve">  </w:t>
      </w:r>
      <w:r w:rsidRPr="00B36D5C">
        <w:rPr>
          <w:rFonts w:ascii="华文楷体" w:eastAsia="华文楷体" w:hAnsi="华文楷体" w:hint="eastAsia"/>
          <w:b/>
          <w:bCs/>
          <w:sz w:val="22"/>
        </w:rPr>
        <w:t>流动性及改革</w:t>
      </w:r>
    </w:p>
    <w:p w14:paraId="5C1476C6" w14:textId="452091A5" w:rsidR="00496FFB" w:rsidRDefault="00496FFB" w:rsidP="00496FFB">
      <w:pPr>
        <w:snapToGrid w:val="0"/>
        <w:ind w:left="420" w:hanging="420"/>
        <w:rPr>
          <w:rFonts w:ascii="华文楷体" w:eastAsia="华文楷体" w:hAnsi="华文楷体"/>
          <w:b/>
          <w:bCs/>
          <w:sz w:val="22"/>
        </w:rPr>
      </w:pPr>
      <w:r>
        <w:rPr>
          <w:rFonts w:ascii="Wingdings" w:hAnsi="Wingdings"/>
          <w:sz w:val="22"/>
        </w:rPr>
        <w:t></w:t>
      </w:r>
      <w:r>
        <w:rPr>
          <w:rFonts w:ascii="Times New Roman" w:hAnsi="Times New Roman"/>
          <w:sz w:val="14"/>
          <w:szCs w:val="14"/>
        </w:rPr>
        <w:t> </w:t>
      </w:r>
      <w:r>
        <w:rPr>
          <w:rFonts w:ascii="华文楷体" w:eastAsia="华文楷体" w:hAnsi="华文楷体" w:hint="eastAsia"/>
          <w:b/>
          <w:bCs/>
          <w:sz w:val="22"/>
        </w:rPr>
        <w:t>流动性维持平稳，可能</w:t>
      </w:r>
      <w:r w:rsidR="00F36134">
        <w:rPr>
          <w:rFonts w:ascii="华文楷体" w:eastAsia="华文楷体" w:hAnsi="华文楷体" w:hint="eastAsia"/>
          <w:b/>
          <w:bCs/>
          <w:sz w:val="22"/>
        </w:rPr>
        <w:t>阶段</w:t>
      </w:r>
      <w:r w:rsidR="00F36134">
        <w:rPr>
          <w:rFonts w:ascii="华文楷体" w:eastAsia="华文楷体" w:hAnsi="华文楷体"/>
          <w:b/>
          <w:bCs/>
          <w:sz w:val="22"/>
        </w:rPr>
        <w:t>性存在</w:t>
      </w:r>
      <w:r>
        <w:rPr>
          <w:rFonts w:ascii="华文楷体" w:eastAsia="华文楷体" w:hAnsi="华文楷体" w:hint="eastAsia"/>
          <w:b/>
          <w:bCs/>
          <w:sz w:val="22"/>
        </w:rPr>
        <w:t>波折：</w:t>
      </w:r>
      <w:proofErr w:type="gramStart"/>
      <w:r>
        <w:rPr>
          <w:rFonts w:ascii="华文楷体" w:eastAsia="华文楷体" w:hAnsi="华文楷体" w:hint="eastAsia"/>
          <w:sz w:val="22"/>
        </w:rPr>
        <w:t>英国退欧之后</w:t>
      </w:r>
      <w:proofErr w:type="gramEnd"/>
      <w:r>
        <w:rPr>
          <w:rFonts w:ascii="华文楷体" w:eastAsia="华文楷体" w:hAnsi="华文楷体" w:hint="eastAsia"/>
          <w:sz w:val="22"/>
        </w:rPr>
        <w:t>，外围不稳定性增加，美联储加息预期显著下降，年中基本不可能加息，12</w:t>
      </w:r>
      <w:r w:rsidR="00283284">
        <w:rPr>
          <w:rFonts w:ascii="华文楷体" w:eastAsia="华文楷体" w:hAnsi="华文楷体" w:hint="eastAsia"/>
          <w:sz w:val="22"/>
        </w:rPr>
        <w:t>月存在今年唯一的一次加息可能，外部流动性</w:t>
      </w:r>
      <w:r>
        <w:rPr>
          <w:rFonts w:ascii="华文楷体" w:eastAsia="华文楷体" w:hAnsi="华文楷体" w:hint="eastAsia"/>
          <w:sz w:val="22"/>
        </w:rPr>
        <w:t>维持相对宽松状态</w:t>
      </w:r>
      <w:r w:rsidR="00283284">
        <w:rPr>
          <w:rFonts w:ascii="华文楷体" w:eastAsia="华文楷体" w:hAnsi="华文楷体" w:hint="eastAsia"/>
          <w:sz w:val="22"/>
        </w:rPr>
        <w:t>的</w:t>
      </w:r>
      <w:r w:rsidR="00283284">
        <w:rPr>
          <w:rFonts w:ascii="华文楷体" w:eastAsia="华文楷体" w:hAnsi="华文楷体"/>
          <w:sz w:val="22"/>
        </w:rPr>
        <w:t>概率较大</w:t>
      </w:r>
      <w:r>
        <w:rPr>
          <w:rFonts w:ascii="华文楷体" w:eastAsia="华文楷体" w:hAnsi="华文楷体" w:hint="eastAsia"/>
          <w:sz w:val="22"/>
        </w:rPr>
        <w:t>。国内金融风险上升环境下，监管机构意图降杠杆</w:t>
      </w:r>
      <w:r w:rsidR="00F36134">
        <w:rPr>
          <w:rFonts w:ascii="华文楷体" w:eastAsia="华文楷体" w:hAnsi="华文楷体" w:hint="eastAsia"/>
          <w:sz w:val="22"/>
        </w:rPr>
        <w:t>可能</w:t>
      </w:r>
      <w:r w:rsidR="00F36134">
        <w:rPr>
          <w:rFonts w:ascii="华文楷体" w:eastAsia="华文楷体" w:hAnsi="华文楷体"/>
          <w:sz w:val="22"/>
        </w:rPr>
        <w:t>带来流动性阶段性收紧</w:t>
      </w:r>
      <w:r>
        <w:rPr>
          <w:rFonts w:ascii="华文楷体" w:eastAsia="华文楷体" w:hAnsi="华文楷体" w:hint="eastAsia"/>
          <w:sz w:val="22"/>
        </w:rPr>
        <w:t>，</w:t>
      </w:r>
      <w:r w:rsidR="00F36134">
        <w:rPr>
          <w:rFonts w:ascii="华文楷体" w:eastAsia="华文楷体" w:hAnsi="华文楷体" w:hint="eastAsia"/>
          <w:sz w:val="22"/>
        </w:rPr>
        <w:t>但维持</w:t>
      </w:r>
      <w:r w:rsidR="00F36134">
        <w:rPr>
          <w:rFonts w:ascii="华文楷体" w:eastAsia="华文楷体" w:hAnsi="华文楷体"/>
          <w:sz w:val="22"/>
        </w:rPr>
        <w:t>资本市场平稳运行的</w:t>
      </w:r>
      <w:proofErr w:type="gramStart"/>
      <w:r w:rsidR="00F36134">
        <w:rPr>
          <w:rFonts w:ascii="华文楷体" w:eastAsia="华文楷体" w:hAnsi="华文楷体" w:hint="eastAsia"/>
          <w:sz w:val="22"/>
        </w:rPr>
        <w:t>考量</w:t>
      </w:r>
      <w:proofErr w:type="gramEnd"/>
      <w:r w:rsidR="00F36134">
        <w:rPr>
          <w:rFonts w:ascii="华文楷体" w:eastAsia="华文楷体" w:hAnsi="华文楷体"/>
          <w:sz w:val="22"/>
        </w:rPr>
        <w:t>或令</w:t>
      </w:r>
      <w:r w:rsidR="00F36134">
        <w:rPr>
          <w:rFonts w:ascii="华文楷体" w:eastAsia="华文楷体" w:hAnsi="华文楷体" w:hint="eastAsia"/>
          <w:sz w:val="22"/>
        </w:rPr>
        <w:t>监管机构</w:t>
      </w:r>
      <w:r>
        <w:rPr>
          <w:rFonts w:ascii="华文楷体" w:eastAsia="华文楷体" w:hAnsi="华文楷体" w:hint="eastAsia"/>
          <w:sz w:val="22"/>
        </w:rPr>
        <w:t>难以采取明显</w:t>
      </w:r>
      <w:r w:rsidR="00F36134">
        <w:rPr>
          <w:rFonts w:ascii="华文楷体" w:eastAsia="华文楷体" w:hAnsi="华文楷体" w:hint="eastAsia"/>
          <w:sz w:val="22"/>
        </w:rPr>
        <w:t>收紧</w:t>
      </w:r>
      <w:r w:rsidR="00F36134">
        <w:rPr>
          <w:rFonts w:ascii="华文楷体" w:eastAsia="华文楷体" w:hAnsi="华文楷体"/>
          <w:sz w:val="22"/>
        </w:rPr>
        <w:t>流动性的</w:t>
      </w:r>
      <w:r>
        <w:rPr>
          <w:rFonts w:ascii="华文楷体" w:eastAsia="华文楷体" w:hAnsi="华文楷体" w:hint="eastAsia"/>
          <w:sz w:val="22"/>
        </w:rPr>
        <w:t>措施。预计银行间7天回购价</w:t>
      </w:r>
      <w:proofErr w:type="gramStart"/>
      <w:r>
        <w:rPr>
          <w:rFonts w:ascii="华文楷体" w:eastAsia="华文楷体" w:hAnsi="华文楷体" w:hint="eastAsia"/>
          <w:sz w:val="22"/>
        </w:rPr>
        <w:t>格维持</w:t>
      </w:r>
      <w:proofErr w:type="gramEnd"/>
      <w:r>
        <w:rPr>
          <w:rFonts w:ascii="华文楷体" w:eastAsia="华文楷体" w:hAnsi="华文楷体" w:hint="eastAsia"/>
          <w:sz w:val="22"/>
        </w:rPr>
        <w:t>在2.5%左右。而随着信贷</w:t>
      </w:r>
      <w:proofErr w:type="gramStart"/>
      <w:r>
        <w:rPr>
          <w:rFonts w:ascii="华文楷体" w:eastAsia="华文楷体" w:hAnsi="华文楷体" w:hint="eastAsia"/>
          <w:sz w:val="22"/>
        </w:rPr>
        <w:t>社融较</w:t>
      </w:r>
      <w:proofErr w:type="gramEnd"/>
      <w:r>
        <w:rPr>
          <w:rFonts w:ascii="华文楷体" w:eastAsia="华文楷体" w:hAnsi="华文楷体" w:hint="eastAsia"/>
          <w:sz w:val="22"/>
        </w:rPr>
        <w:t>4、5月份出现边际改善，实体经济流动性将有所好转。</w:t>
      </w:r>
    </w:p>
    <w:p w14:paraId="181D83B1" w14:textId="48954069" w:rsidR="00496FFB" w:rsidRDefault="00496FFB" w:rsidP="00496FFB">
      <w:pPr>
        <w:snapToGrid w:val="0"/>
        <w:ind w:left="420" w:hanging="420"/>
        <w:rPr>
          <w:szCs w:val="21"/>
        </w:rPr>
      </w:pPr>
      <w:r>
        <w:rPr>
          <w:rFonts w:ascii="Wingdings" w:hAnsi="Wingdings"/>
          <w:sz w:val="22"/>
        </w:rPr>
        <w:t></w:t>
      </w:r>
      <w:r>
        <w:rPr>
          <w:rFonts w:ascii="Times New Roman" w:hAnsi="Times New Roman"/>
          <w:sz w:val="14"/>
          <w:szCs w:val="14"/>
        </w:rPr>
        <w:t xml:space="preserve">  </w:t>
      </w:r>
      <w:r>
        <w:rPr>
          <w:rFonts w:ascii="华文楷体" w:eastAsia="华文楷体" w:hAnsi="华文楷体" w:hint="eastAsia"/>
          <w:b/>
          <w:bCs/>
          <w:sz w:val="22"/>
        </w:rPr>
        <w:t>人民币面临贬值压力：</w:t>
      </w:r>
      <w:r>
        <w:rPr>
          <w:rFonts w:ascii="华文楷体" w:eastAsia="华文楷体" w:hAnsi="华文楷体" w:hint="eastAsia"/>
          <w:sz w:val="22"/>
        </w:rPr>
        <w:t>随着国内资本回报率的下行，以及外部经济持续复苏，货币政策周期差异将推动人民币继续面临贬值压力。下半年国际市场并不平静，继续面临美国大选、美联储加息等风险事件，可能对美元持续产生推高作用，相应的对人民币形成贬值压力。</w:t>
      </w:r>
      <w:r w:rsidR="00F36134">
        <w:rPr>
          <w:rFonts w:ascii="华文楷体" w:eastAsia="华文楷体" w:hAnsi="华文楷体" w:hint="eastAsia"/>
          <w:sz w:val="22"/>
        </w:rPr>
        <w:t>尽管定价</w:t>
      </w:r>
      <w:r w:rsidR="00F36134">
        <w:rPr>
          <w:rFonts w:ascii="华文楷体" w:eastAsia="华文楷体" w:hAnsi="华文楷体"/>
          <w:sz w:val="22"/>
        </w:rPr>
        <w:t>机制中，</w:t>
      </w:r>
      <w:r w:rsidR="00F36134">
        <w:rPr>
          <w:rFonts w:ascii="华文楷体" w:eastAsia="华文楷体" w:hAnsi="华文楷体" w:hint="eastAsia"/>
          <w:sz w:val="22"/>
        </w:rPr>
        <w:t>一篮子</w:t>
      </w:r>
      <w:r w:rsidR="00F36134">
        <w:rPr>
          <w:rFonts w:ascii="华文楷体" w:eastAsia="华文楷体" w:hAnsi="华文楷体"/>
          <w:sz w:val="22"/>
        </w:rPr>
        <w:t>货币</w:t>
      </w:r>
      <w:r w:rsidR="00F36134">
        <w:rPr>
          <w:rFonts w:ascii="华文楷体" w:eastAsia="华文楷体" w:hAnsi="华文楷体" w:hint="eastAsia"/>
          <w:sz w:val="22"/>
        </w:rPr>
        <w:t>可以</w:t>
      </w:r>
      <w:r w:rsidR="00F36134">
        <w:rPr>
          <w:rFonts w:ascii="华文楷体" w:eastAsia="华文楷体" w:hAnsi="华文楷体"/>
          <w:sz w:val="22"/>
        </w:rPr>
        <w:t>在关键时刻缓冲人民币对美元的贬值压力，不过仍然需要关注</w:t>
      </w:r>
      <w:r>
        <w:rPr>
          <w:rFonts w:ascii="华文楷体" w:eastAsia="华文楷体" w:hAnsi="华文楷体" w:hint="eastAsia"/>
          <w:sz w:val="22"/>
        </w:rPr>
        <w:t>这些事件</w:t>
      </w:r>
      <w:r w:rsidR="00F36134">
        <w:rPr>
          <w:rFonts w:ascii="华文楷体" w:eastAsia="华文楷体" w:hAnsi="华文楷体" w:hint="eastAsia"/>
          <w:sz w:val="22"/>
        </w:rPr>
        <w:t>导致</w:t>
      </w:r>
      <w:r>
        <w:rPr>
          <w:rFonts w:ascii="华文楷体" w:eastAsia="华文楷体" w:hAnsi="华文楷体" w:hint="eastAsia"/>
          <w:sz w:val="22"/>
        </w:rPr>
        <w:t>人民币汇率</w:t>
      </w:r>
      <w:r w:rsidR="00F36134">
        <w:rPr>
          <w:rFonts w:ascii="华文楷体" w:eastAsia="华文楷体" w:hAnsi="华文楷体" w:hint="eastAsia"/>
          <w:sz w:val="22"/>
        </w:rPr>
        <w:t>的</w:t>
      </w:r>
      <w:r>
        <w:rPr>
          <w:rFonts w:ascii="华文楷体" w:eastAsia="华文楷体" w:hAnsi="华文楷体" w:hint="eastAsia"/>
          <w:sz w:val="22"/>
        </w:rPr>
        <w:t>贬值预期</w:t>
      </w:r>
      <w:r w:rsidR="00F36134">
        <w:rPr>
          <w:rFonts w:ascii="华文楷体" w:eastAsia="华文楷体" w:hAnsi="华文楷体" w:hint="eastAsia"/>
          <w:sz w:val="22"/>
        </w:rPr>
        <w:t>变化</w:t>
      </w:r>
      <w:r>
        <w:rPr>
          <w:rFonts w:ascii="华文楷体" w:eastAsia="华文楷体" w:hAnsi="华文楷体" w:hint="eastAsia"/>
          <w:sz w:val="22"/>
        </w:rPr>
        <w:t>，因而需要密切观</w:t>
      </w:r>
      <w:r w:rsidR="009D59B6">
        <w:rPr>
          <w:rFonts w:ascii="华文楷体" w:eastAsia="华文楷体" w:hAnsi="华文楷体" w:hint="eastAsia"/>
          <w:sz w:val="22"/>
        </w:rPr>
        <w:t>望</w:t>
      </w:r>
      <w:r w:rsidR="009D59B6">
        <w:rPr>
          <w:rFonts w:ascii="华文楷体" w:eastAsia="华文楷体" w:hAnsi="华文楷体"/>
          <w:sz w:val="22"/>
        </w:rPr>
        <w:t>离岸人民币走势及即期</w:t>
      </w:r>
      <w:r w:rsidR="009D59B6">
        <w:rPr>
          <w:rFonts w:ascii="华文楷体" w:eastAsia="华文楷体" w:hAnsi="华文楷体" w:hint="eastAsia"/>
          <w:sz w:val="22"/>
        </w:rPr>
        <w:t>外汇市场</w:t>
      </w:r>
      <w:r w:rsidR="009D59B6">
        <w:rPr>
          <w:rFonts w:ascii="华文楷体" w:eastAsia="华文楷体" w:hAnsi="华文楷体"/>
          <w:sz w:val="22"/>
        </w:rPr>
        <w:t>成交</w:t>
      </w:r>
      <w:r>
        <w:rPr>
          <w:rFonts w:ascii="华文楷体" w:eastAsia="华文楷体" w:hAnsi="华文楷体" w:hint="eastAsia"/>
          <w:sz w:val="22"/>
        </w:rPr>
        <w:t>。</w:t>
      </w:r>
    </w:p>
    <w:p w14:paraId="3F51D725" w14:textId="77777777" w:rsidR="00496FFB" w:rsidRDefault="00496FFB" w:rsidP="00496FFB">
      <w:pPr>
        <w:snapToGrid w:val="0"/>
        <w:ind w:left="420" w:hanging="420"/>
        <w:rPr>
          <w:rFonts w:ascii="华文楷体" w:eastAsia="华文楷体" w:hAnsi="华文楷体"/>
          <w:b/>
          <w:bCs/>
          <w:sz w:val="22"/>
        </w:rPr>
      </w:pPr>
      <w:r>
        <w:rPr>
          <w:rFonts w:ascii="Wingdings" w:hAnsi="Wingdings"/>
          <w:sz w:val="22"/>
        </w:rPr>
        <w:t></w:t>
      </w:r>
      <w:r>
        <w:rPr>
          <w:rFonts w:ascii="Times New Roman" w:hAnsi="Times New Roman"/>
          <w:sz w:val="14"/>
          <w:szCs w:val="14"/>
        </w:rPr>
        <w:t> </w:t>
      </w:r>
      <w:r>
        <w:rPr>
          <w:rFonts w:ascii="华文楷体" w:eastAsia="华文楷体" w:hAnsi="华文楷体" w:hint="eastAsia"/>
          <w:b/>
          <w:bCs/>
          <w:sz w:val="22"/>
        </w:rPr>
        <w:t>供给侧改革：</w:t>
      </w:r>
      <w:r>
        <w:rPr>
          <w:rFonts w:ascii="华文楷体" w:eastAsia="华文楷体" w:hAnsi="华文楷体" w:hint="eastAsia"/>
          <w:sz w:val="22"/>
        </w:rPr>
        <w:t>供给</w:t>
      </w:r>
      <w:proofErr w:type="gramStart"/>
      <w:r>
        <w:rPr>
          <w:rFonts w:ascii="华文楷体" w:eastAsia="华文楷体" w:hAnsi="华文楷体" w:hint="eastAsia"/>
          <w:sz w:val="22"/>
        </w:rPr>
        <w:t>侧改革</w:t>
      </w:r>
      <w:proofErr w:type="gramEnd"/>
      <w:r>
        <w:rPr>
          <w:rFonts w:ascii="华文楷体" w:eastAsia="华文楷体" w:hAnsi="华文楷体" w:hint="eastAsia"/>
          <w:sz w:val="22"/>
        </w:rPr>
        <w:t>作为去年底政治局经济工作会议确定的今年工作重点，将继续在下半年强力推进。煤炭、钢铁等重点产能过剩行业将实现</w:t>
      </w:r>
      <w:proofErr w:type="gramStart"/>
      <w:r>
        <w:rPr>
          <w:rFonts w:ascii="华文楷体" w:eastAsia="华文楷体" w:hAnsi="华文楷体" w:hint="eastAsia"/>
          <w:sz w:val="22"/>
        </w:rPr>
        <w:t>有效去</w:t>
      </w:r>
      <w:proofErr w:type="gramEnd"/>
      <w:r>
        <w:rPr>
          <w:rFonts w:ascii="华文楷体" w:eastAsia="华文楷体" w:hAnsi="华文楷体" w:hint="eastAsia"/>
          <w:sz w:val="22"/>
        </w:rPr>
        <w:t>产能，未来5年需要完成1.5亿吨钢铁去产能，5亿吨煤炭去产能目标。在产业基金资金支持下，下半年去产能将成为重要改革之一。房地产销售保持相对较高增速将继续帮助三四线城市去库存，而对僵尸企业财务支持减小将推动去杠杆进程，行政审批将继续减少助力经济降成本，而在补短板方面将继续通过倾斜性政策支持新经济发展。</w:t>
      </w:r>
    </w:p>
    <w:p w14:paraId="1D79C275" w14:textId="77777777" w:rsidR="007A0550" w:rsidRDefault="007A0550" w:rsidP="00B355B0">
      <w:pPr>
        <w:rPr>
          <w:rFonts w:ascii="华文楷体" w:eastAsia="华文楷体" w:hAnsi="华文楷体"/>
          <w:b/>
        </w:rPr>
      </w:pPr>
    </w:p>
    <w:p w14:paraId="5F22A013" w14:textId="6E1B2C14" w:rsidR="009D59B6" w:rsidRDefault="009D59B6" w:rsidP="00B355B0">
      <w:pPr>
        <w:rPr>
          <w:rFonts w:ascii="华文楷体" w:eastAsia="华文楷体" w:hAnsi="华文楷体"/>
          <w:b/>
        </w:rPr>
      </w:pPr>
    </w:p>
    <w:p w14:paraId="4E63EC5E" w14:textId="3B4DD974" w:rsidR="009D59B6" w:rsidRDefault="009D59B6" w:rsidP="00B355B0">
      <w:pPr>
        <w:rPr>
          <w:rFonts w:ascii="华文楷体" w:eastAsia="华文楷体" w:hAnsi="华文楷体"/>
          <w:b/>
        </w:rPr>
      </w:pPr>
    </w:p>
    <w:p w14:paraId="6EF67C34" w14:textId="724BFD53" w:rsidR="0060033A" w:rsidRDefault="0060033A" w:rsidP="00B355B0">
      <w:pPr>
        <w:rPr>
          <w:rFonts w:ascii="华文楷体" w:eastAsia="华文楷体" w:hAnsi="华文楷体"/>
          <w:b/>
          <w:sz w:val="28"/>
          <w:szCs w:val="28"/>
        </w:rPr>
      </w:pPr>
    </w:p>
    <w:p w14:paraId="0107DC91" w14:textId="05E9C7B3" w:rsidR="0060033A" w:rsidRDefault="0060033A" w:rsidP="00B355B0">
      <w:pPr>
        <w:rPr>
          <w:rFonts w:ascii="华文楷体" w:eastAsia="华文楷体" w:hAnsi="华文楷体"/>
          <w:b/>
          <w:sz w:val="28"/>
          <w:szCs w:val="28"/>
        </w:rPr>
      </w:pPr>
    </w:p>
    <w:p w14:paraId="6C80FC81" w14:textId="3C8CDAC5" w:rsidR="00B355B0" w:rsidRPr="00B36D5C" w:rsidRDefault="00B355B0" w:rsidP="00B355B0">
      <w:pPr>
        <w:rPr>
          <w:rFonts w:ascii="华文楷体" w:eastAsia="华文楷体" w:hAnsi="华文楷体"/>
          <w:b/>
          <w:sz w:val="28"/>
          <w:szCs w:val="28"/>
        </w:rPr>
      </w:pPr>
      <w:r w:rsidRPr="00B36D5C">
        <w:rPr>
          <w:rFonts w:ascii="华文楷体" w:eastAsia="华文楷体" w:hAnsi="华文楷体" w:hint="eastAsia"/>
          <w:b/>
          <w:sz w:val="28"/>
          <w:szCs w:val="28"/>
        </w:rPr>
        <w:t>二、海外市场展望</w:t>
      </w:r>
    </w:p>
    <w:p w14:paraId="2B63C0D9" w14:textId="02B184BF" w:rsidR="00B355B0" w:rsidRPr="00B36D5C" w:rsidRDefault="00FB1D14" w:rsidP="00B355B0">
      <w:pPr>
        <w:rPr>
          <w:rFonts w:ascii="华文楷体" w:eastAsia="华文楷体" w:hAnsi="华文楷体"/>
        </w:rPr>
      </w:pPr>
      <w:r w:rsidRPr="00B36D5C">
        <w:rPr>
          <w:rFonts w:ascii="华文楷体" w:eastAsia="华文楷体" w:hAnsi="华文楷体"/>
          <w:noProof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0B5DD4CF" wp14:editId="38126EAF">
                <wp:simplePos x="0" y="0"/>
                <wp:positionH relativeFrom="margin">
                  <wp:align>right</wp:align>
                </wp:positionH>
                <wp:positionV relativeFrom="paragraph">
                  <wp:posOffset>81915</wp:posOffset>
                </wp:positionV>
                <wp:extent cx="5260340" cy="0"/>
                <wp:effectExtent l="0" t="19050" r="35560" b="19050"/>
                <wp:wrapNone/>
                <wp:docPr id="8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60340" cy="0"/>
                        </a:xfrm>
                        <a:prstGeom prst="straightConnector1">
                          <a:avLst/>
                        </a:prstGeom>
                        <a:noFill/>
                        <a:ln w="44450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E2C94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5" o:spid="_x0000_s1026" type="#_x0000_t32" style="position:absolute;left:0;text-align:left;margin-left:363pt;margin-top:6.45pt;width:414.2pt;height:0;z-index:251663360;visibility:visible;mso-wrap-style:square;mso-width-percent:0;mso-height-percent:0;mso-wrap-distance-left:9pt;mso-wrap-distance-top:-3e-5mm;mso-wrap-distance-right:9pt;mso-wrap-distance-bottom:-3e-5mm;mso-position-horizontal:righ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" strokecolor="#4f81bd" strokeweight="3.5pt">
                <w10:wrap anchorx="margin"/>
              </v:shape>
            </w:pict>
          </mc:Fallback>
        </mc:AlternateContent>
      </w:r>
    </w:p>
    <w:p w14:paraId="2CEA1289" w14:textId="564BACC1" w:rsidR="00B355B0" w:rsidRPr="00B36D5C" w:rsidRDefault="00B355B0" w:rsidP="005F5329">
      <w:pPr>
        <w:pStyle w:val="a7"/>
        <w:numPr>
          <w:ilvl w:val="0"/>
          <w:numId w:val="20"/>
        </w:numPr>
        <w:ind w:firstLineChars="0"/>
        <w:rPr>
          <w:rFonts w:ascii="华文楷体" w:eastAsia="华文楷体" w:hAnsi="华文楷体"/>
          <w:b/>
          <w:sz w:val="22"/>
        </w:rPr>
      </w:pPr>
      <w:r w:rsidRPr="00B36D5C">
        <w:rPr>
          <w:rFonts w:ascii="华文楷体" w:eastAsia="华文楷体" w:hAnsi="华文楷体"/>
          <w:b/>
          <w:sz w:val="22"/>
        </w:rPr>
        <w:t>全球宏观经济展望</w:t>
      </w:r>
    </w:p>
    <w:p w14:paraId="2AD5D31C" w14:textId="22F6E182" w:rsidR="00197F04" w:rsidRPr="00B36D5C" w:rsidRDefault="00992173" w:rsidP="00197F04">
      <w:pPr>
        <w:numPr>
          <w:ilvl w:val="0"/>
          <w:numId w:val="24"/>
        </w:numPr>
        <w:adjustRightInd w:val="0"/>
        <w:snapToGrid w:val="0"/>
        <w:rPr>
          <w:rFonts w:ascii="华文楷体" w:eastAsia="华文楷体" w:hAnsi="华文楷体"/>
          <w:sz w:val="22"/>
        </w:rPr>
      </w:pPr>
      <w:r w:rsidRPr="00B36D5C">
        <w:rPr>
          <w:rFonts w:ascii="华文楷体" w:eastAsia="华文楷体" w:hAnsi="华文楷体" w:hint="eastAsia"/>
          <w:b/>
          <w:sz w:val="22"/>
        </w:rPr>
        <w:t>回顾</w:t>
      </w:r>
      <w:r w:rsidRPr="00B36D5C">
        <w:rPr>
          <w:rFonts w:ascii="华文楷体" w:eastAsia="华文楷体" w:hAnsi="华文楷体"/>
          <w:b/>
          <w:sz w:val="22"/>
        </w:rPr>
        <w:t>上半年走势</w:t>
      </w:r>
      <w:r w:rsidR="001E5CF2" w:rsidRPr="00B36D5C">
        <w:rPr>
          <w:rFonts w:ascii="华文楷体" w:eastAsia="华文楷体" w:hAnsi="华文楷体" w:hint="eastAsia"/>
          <w:b/>
          <w:sz w:val="22"/>
        </w:rPr>
        <w:t>，</w:t>
      </w:r>
      <w:r w:rsidR="00A53218" w:rsidRPr="00B36D5C">
        <w:rPr>
          <w:rFonts w:ascii="华文楷体" w:eastAsia="华文楷体" w:hAnsi="华文楷体" w:hint="eastAsia"/>
          <w:b/>
          <w:sz w:val="22"/>
        </w:rPr>
        <w:t>发达</w:t>
      </w:r>
      <w:r w:rsidR="00A53218" w:rsidRPr="00B36D5C">
        <w:rPr>
          <w:rFonts w:ascii="华文楷体" w:eastAsia="华文楷体" w:hAnsi="华文楷体"/>
          <w:b/>
          <w:sz w:val="22"/>
        </w:rPr>
        <w:t>国家经济增长动能</w:t>
      </w:r>
      <w:r w:rsidR="005E4CB3" w:rsidRPr="00B36D5C">
        <w:rPr>
          <w:rFonts w:ascii="华文楷体" w:eastAsia="华文楷体" w:hAnsi="华文楷体" w:hint="eastAsia"/>
          <w:b/>
          <w:sz w:val="22"/>
        </w:rPr>
        <w:t>减弱</w:t>
      </w:r>
      <w:r w:rsidR="001E5CF2" w:rsidRPr="00B36D5C">
        <w:rPr>
          <w:rFonts w:ascii="华文楷体" w:eastAsia="华文楷体" w:hAnsi="华文楷体" w:hint="eastAsia"/>
          <w:b/>
          <w:sz w:val="22"/>
        </w:rPr>
        <w:t>：</w:t>
      </w:r>
      <w:r w:rsidR="00A53218" w:rsidRPr="00B36D5C">
        <w:rPr>
          <w:rFonts w:ascii="华文楷体" w:eastAsia="华文楷体" w:hAnsi="华文楷体"/>
          <w:sz w:val="22"/>
        </w:rPr>
        <w:t>美国经济步入扩张周期</w:t>
      </w:r>
      <w:r w:rsidR="005E4CB3" w:rsidRPr="00B36D5C">
        <w:rPr>
          <w:rFonts w:ascii="华文楷体" w:eastAsia="华文楷体" w:hAnsi="华文楷体" w:hint="eastAsia"/>
          <w:sz w:val="22"/>
        </w:rPr>
        <w:t>末端</w:t>
      </w:r>
      <w:r w:rsidR="00A53218" w:rsidRPr="00B36D5C">
        <w:rPr>
          <w:rFonts w:ascii="华文楷体" w:eastAsia="华文楷体" w:hAnsi="华文楷体"/>
          <w:sz w:val="22"/>
        </w:rPr>
        <w:t>，</w:t>
      </w:r>
      <w:r w:rsidR="007428C7" w:rsidRPr="00B36D5C">
        <w:rPr>
          <w:rFonts w:ascii="华文楷体" w:eastAsia="华文楷体" w:hAnsi="华文楷体" w:hint="eastAsia"/>
          <w:sz w:val="22"/>
        </w:rPr>
        <w:t>企业盈利</w:t>
      </w:r>
      <w:r w:rsidR="007428C7" w:rsidRPr="00B36D5C">
        <w:rPr>
          <w:rFonts w:ascii="华文楷体" w:eastAsia="华文楷体" w:hAnsi="华文楷体"/>
          <w:sz w:val="22"/>
        </w:rPr>
        <w:t>与</w:t>
      </w:r>
      <w:r w:rsidR="007428C7" w:rsidRPr="00B36D5C">
        <w:rPr>
          <w:rFonts w:ascii="华文楷体" w:eastAsia="华文楷体" w:hAnsi="华文楷体" w:hint="eastAsia"/>
          <w:sz w:val="22"/>
        </w:rPr>
        <w:t>企业</w:t>
      </w:r>
      <w:r w:rsidR="007428C7" w:rsidRPr="00B36D5C">
        <w:rPr>
          <w:rFonts w:ascii="华文楷体" w:eastAsia="华文楷体" w:hAnsi="华文楷体"/>
          <w:sz w:val="22"/>
        </w:rPr>
        <w:t>投资</w:t>
      </w:r>
      <w:r w:rsidR="005E4CB3" w:rsidRPr="00B36D5C">
        <w:rPr>
          <w:rFonts w:ascii="华文楷体" w:eastAsia="华文楷体" w:hAnsi="华文楷体"/>
          <w:sz w:val="22"/>
        </w:rPr>
        <w:t>见顶，但</w:t>
      </w:r>
      <w:r w:rsidR="00670B24" w:rsidRPr="00B36D5C">
        <w:rPr>
          <w:rFonts w:ascii="华文楷体" w:eastAsia="华文楷体" w:hAnsi="华文楷体" w:hint="eastAsia"/>
          <w:sz w:val="22"/>
        </w:rPr>
        <w:t>稳定</w:t>
      </w:r>
      <w:r w:rsidR="00670B24" w:rsidRPr="00B36D5C">
        <w:rPr>
          <w:rFonts w:ascii="华文楷体" w:eastAsia="华文楷体" w:hAnsi="华文楷体"/>
          <w:sz w:val="22"/>
        </w:rPr>
        <w:t>的</w:t>
      </w:r>
      <w:r w:rsidR="005E4CB3" w:rsidRPr="00B36D5C">
        <w:rPr>
          <w:rFonts w:ascii="华文楷体" w:eastAsia="华文楷体" w:hAnsi="华文楷体"/>
          <w:sz w:val="22"/>
        </w:rPr>
        <w:t>房地产扩张与居民消费将托底经济</w:t>
      </w:r>
      <w:r w:rsidR="00A53218" w:rsidRPr="00B36D5C">
        <w:rPr>
          <w:rFonts w:ascii="华文楷体" w:eastAsia="华文楷体" w:hAnsi="华文楷体" w:hint="eastAsia"/>
          <w:sz w:val="22"/>
        </w:rPr>
        <w:t>；欧元区</w:t>
      </w:r>
      <w:r w:rsidR="005E4CB3" w:rsidRPr="00B36D5C">
        <w:rPr>
          <w:rFonts w:ascii="华文楷体" w:eastAsia="华文楷体" w:hAnsi="华文楷体" w:hint="eastAsia"/>
          <w:sz w:val="22"/>
        </w:rPr>
        <w:t>下半年</w:t>
      </w:r>
      <w:r w:rsidR="005E4CB3" w:rsidRPr="00B36D5C">
        <w:rPr>
          <w:rFonts w:ascii="华文楷体" w:eastAsia="华文楷体" w:hAnsi="华文楷体"/>
          <w:sz w:val="22"/>
        </w:rPr>
        <w:t>经济将显著放缓，房地产</w:t>
      </w:r>
      <w:r w:rsidR="005E4CB3" w:rsidRPr="00B36D5C">
        <w:rPr>
          <w:rFonts w:ascii="华文楷体" w:eastAsia="华文楷体" w:hAnsi="华文楷体" w:hint="eastAsia"/>
          <w:sz w:val="22"/>
        </w:rPr>
        <w:t>与</w:t>
      </w:r>
      <w:r w:rsidR="005E4CB3" w:rsidRPr="00B36D5C">
        <w:rPr>
          <w:rFonts w:ascii="华文楷体" w:eastAsia="华文楷体" w:hAnsi="华文楷体"/>
          <w:sz w:val="22"/>
        </w:rPr>
        <w:t>库存周期见顶</w:t>
      </w:r>
      <w:r w:rsidR="005E4CB3" w:rsidRPr="00B36D5C">
        <w:rPr>
          <w:rFonts w:ascii="华文楷体" w:eastAsia="华文楷体" w:hAnsi="华文楷体" w:hint="eastAsia"/>
          <w:sz w:val="22"/>
        </w:rPr>
        <w:t>叠加</w:t>
      </w:r>
      <w:r w:rsidR="00670B24" w:rsidRPr="00B36D5C">
        <w:rPr>
          <w:rFonts w:ascii="华文楷体" w:eastAsia="华文楷体" w:hAnsi="华文楷体"/>
          <w:sz w:val="22"/>
        </w:rPr>
        <w:t>英国</w:t>
      </w:r>
      <w:proofErr w:type="gramStart"/>
      <w:r w:rsidR="00670B24" w:rsidRPr="00B36D5C">
        <w:rPr>
          <w:rFonts w:ascii="华文楷体" w:eastAsia="华文楷体" w:hAnsi="华文楷体"/>
          <w:sz w:val="22"/>
        </w:rPr>
        <w:t>退欧风险</w:t>
      </w:r>
      <w:proofErr w:type="gramEnd"/>
      <w:r w:rsidR="00670B24" w:rsidRPr="00B36D5C">
        <w:rPr>
          <w:rFonts w:ascii="华文楷体" w:eastAsia="华文楷体" w:hAnsi="华文楷体" w:hint="eastAsia"/>
          <w:sz w:val="22"/>
        </w:rPr>
        <w:t>或</w:t>
      </w:r>
      <w:r w:rsidR="00670B24" w:rsidRPr="00B36D5C">
        <w:rPr>
          <w:rFonts w:ascii="华文楷体" w:eastAsia="华文楷体" w:hAnsi="华文楷体"/>
          <w:sz w:val="22"/>
        </w:rPr>
        <w:t>终结</w:t>
      </w:r>
      <w:r w:rsidR="0045087D" w:rsidRPr="00B36D5C">
        <w:rPr>
          <w:rFonts w:ascii="华文楷体" w:eastAsia="华文楷体" w:hAnsi="华文楷体" w:hint="eastAsia"/>
          <w:sz w:val="22"/>
        </w:rPr>
        <w:t>本轮</w:t>
      </w:r>
      <w:r w:rsidR="00670B24" w:rsidRPr="00B36D5C">
        <w:rPr>
          <w:rFonts w:ascii="华文楷体" w:eastAsia="华文楷体" w:hAnsi="华文楷体"/>
          <w:sz w:val="22"/>
        </w:rPr>
        <w:t>经济复苏</w:t>
      </w:r>
      <w:r w:rsidR="00A53218" w:rsidRPr="00B36D5C">
        <w:rPr>
          <w:rFonts w:ascii="华文楷体" w:eastAsia="华文楷体" w:hAnsi="华文楷体" w:hint="eastAsia"/>
          <w:sz w:val="22"/>
        </w:rPr>
        <w:t>；日本经济</w:t>
      </w:r>
      <w:r w:rsidR="007428C7" w:rsidRPr="00B36D5C">
        <w:rPr>
          <w:rFonts w:ascii="华文楷体" w:eastAsia="华文楷体" w:hAnsi="华文楷体" w:hint="eastAsia"/>
          <w:sz w:val="22"/>
        </w:rPr>
        <w:t>受制于</w:t>
      </w:r>
      <w:r w:rsidR="007428C7" w:rsidRPr="00B36D5C">
        <w:rPr>
          <w:rFonts w:ascii="华文楷体" w:eastAsia="华文楷体" w:hAnsi="华文楷体"/>
          <w:sz w:val="22"/>
        </w:rPr>
        <w:t>汇率</w:t>
      </w:r>
      <w:r w:rsidR="007428C7" w:rsidRPr="00B36D5C">
        <w:rPr>
          <w:rFonts w:ascii="华文楷体" w:eastAsia="华文楷体" w:hAnsi="华文楷体" w:hint="eastAsia"/>
          <w:sz w:val="22"/>
        </w:rPr>
        <w:t>持续</w:t>
      </w:r>
      <w:r w:rsidR="007428C7" w:rsidRPr="00B36D5C">
        <w:rPr>
          <w:rFonts w:ascii="华文楷体" w:eastAsia="华文楷体" w:hAnsi="华文楷体"/>
          <w:sz w:val="22"/>
        </w:rPr>
        <w:t>升值，日元</w:t>
      </w:r>
      <w:r w:rsidR="00D07DF3" w:rsidRPr="00B36D5C">
        <w:rPr>
          <w:rFonts w:ascii="华文楷体" w:eastAsia="华文楷体" w:hAnsi="华文楷体" w:hint="eastAsia"/>
          <w:sz w:val="22"/>
        </w:rPr>
        <w:t>贬值</w:t>
      </w:r>
      <w:r w:rsidR="007428C7" w:rsidRPr="00B36D5C">
        <w:rPr>
          <w:rFonts w:ascii="华文楷体" w:eastAsia="华文楷体" w:hAnsi="华文楷体"/>
          <w:sz w:val="22"/>
        </w:rPr>
        <w:t>这一近年来经济扩张源动力消失在全球避险情绪之中，</w:t>
      </w:r>
      <w:r w:rsidR="007428C7" w:rsidRPr="00B36D5C">
        <w:rPr>
          <w:rFonts w:ascii="华文楷体" w:eastAsia="华文楷体" w:hAnsi="华文楷体" w:hint="eastAsia"/>
          <w:sz w:val="22"/>
        </w:rPr>
        <w:t>日本</w:t>
      </w:r>
      <w:r w:rsidR="007428C7" w:rsidRPr="00B36D5C">
        <w:rPr>
          <w:rFonts w:ascii="华文楷体" w:eastAsia="华文楷体" w:hAnsi="华文楷体"/>
          <w:sz w:val="22"/>
        </w:rPr>
        <w:t>政府三季度的财政刺激计划仅能延缓而非逆转</w:t>
      </w:r>
      <w:r w:rsidR="007428C7" w:rsidRPr="00B36D5C">
        <w:rPr>
          <w:rFonts w:ascii="华文楷体" w:eastAsia="华文楷体" w:hAnsi="华文楷体" w:hint="eastAsia"/>
          <w:sz w:val="22"/>
        </w:rPr>
        <w:t>经济放缓进程</w:t>
      </w:r>
      <w:r w:rsidR="00A53218" w:rsidRPr="00B36D5C">
        <w:rPr>
          <w:rFonts w:ascii="华文楷体" w:eastAsia="华文楷体" w:hAnsi="华文楷体" w:hint="eastAsia"/>
          <w:sz w:val="22"/>
        </w:rPr>
        <w:t>。</w:t>
      </w:r>
    </w:p>
    <w:p w14:paraId="68109BA2" w14:textId="77777777" w:rsidR="00197F04" w:rsidRPr="00B36D5C" w:rsidRDefault="00197F04" w:rsidP="00197F04">
      <w:pPr>
        <w:numPr>
          <w:ilvl w:val="0"/>
          <w:numId w:val="24"/>
        </w:numPr>
        <w:adjustRightInd w:val="0"/>
        <w:snapToGrid w:val="0"/>
        <w:rPr>
          <w:rFonts w:ascii="华文楷体" w:eastAsia="华文楷体" w:hAnsi="华文楷体"/>
          <w:sz w:val="22"/>
        </w:rPr>
      </w:pPr>
      <w:r w:rsidRPr="00B36D5C">
        <w:rPr>
          <w:rFonts w:ascii="华文楷体" w:eastAsia="华文楷体" w:hAnsi="华文楷体" w:hint="eastAsia"/>
          <w:b/>
          <w:sz w:val="22"/>
        </w:rPr>
        <w:t>美国</w:t>
      </w:r>
      <w:r w:rsidRPr="00B36D5C">
        <w:rPr>
          <w:rFonts w:ascii="华文楷体" w:eastAsia="华文楷体" w:hAnsi="华文楷体"/>
          <w:b/>
          <w:sz w:val="22"/>
        </w:rPr>
        <w:t>经济</w:t>
      </w:r>
      <w:r w:rsidRPr="00B36D5C">
        <w:rPr>
          <w:rFonts w:ascii="华文楷体" w:eastAsia="华文楷体" w:hAnsi="华文楷体" w:hint="eastAsia"/>
          <w:b/>
          <w:sz w:val="22"/>
        </w:rPr>
        <w:t>及</w:t>
      </w:r>
      <w:r w:rsidRPr="00B36D5C">
        <w:rPr>
          <w:rFonts w:ascii="华文楷体" w:eastAsia="华文楷体" w:hAnsi="华文楷体"/>
          <w:b/>
          <w:sz w:val="22"/>
        </w:rPr>
        <w:t>货币政策：</w:t>
      </w:r>
    </w:p>
    <w:p w14:paraId="602F741C" w14:textId="54AE5DE8" w:rsidR="008B6A8C" w:rsidRPr="00B36D5C" w:rsidRDefault="00197F04" w:rsidP="008B6A8C">
      <w:pPr>
        <w:adjustRightInd w:val="0"/>
        <w:snapToGrid w:val="0"/>
        <w:ind w:left="420"/>
        <w:rPr>
          <w:rFonts w:ascii="华文楷体" w:eastAsia="华文楷体" w:hAnsi="华文楷体"/>
          <w:sz w:val="22"/>
        </w:rPr>
      </w:pPr>
      <w:r w:rsidRPr="00B36D5C">
        <w:rPr>
          <w:rFonts w:ascii="华文楷体" w:eastAsia="华文楷体" w:hAnsi="华文楷体" w:hint="eastAsia"/>
          <w:sz w:val="22"/>
        </w:rPr>
        <w:t>（</w:t>
      </w:r>
      <w:r w:rsidRPr="00B36D5C">
        <w:rPr>
          <w:rFonts w:ascii="华文楷体" w:eastAsia="华文楷体" w:hAnsi="华文楷体"/>
          <w:sz w:val="22"/>
        </w:rPr>
        <w:t>1）预计美国</w:t>
      </w:r>
      <w:r w:rsidR="003D0DFC" w:rsidRPr="00B36D5C">
        <w:rPr>
          <w:rFonts w:ascii="华文楷体" w:eastAsia="华文楷体" w:hAnsi="华文楷体" w:hint="eastAsia"/>
          <w:sz w:val="22"/>
        </w:rPr>
        <w:t>二季度</w:t>
      </w:r>
      <w:r w:rsidRPr="00B36D5C">
        <w:rPr>
          <w:rFonts w:ascii="华文楷体" w:eastAsia="华文楷体" w:hAnsi="华文楷体" w:hint="eastAsia"/>
          <w:sz w:val="22"/>
        </w:rPr>
        <w:t>经济增速或</w:t>
      </w:r>
      <w:r w:rsidRPr="00B36D5C">
        <w:rPr>
          <w:rFonts w:ascii="华文楷体" w:eastAsia="华文楷体" w:hAnsi="华文楷体"/>
          <w:sz w:val="22"/>
        </w:rPr>
        <w:t>将</w:t>
      </w:r>
      <w:r w:rsidRPr="00B36D5C">
        <w:rPr>
          <w:rFonts w:ascii="华文楷体" w:eastAsia="华文楷体" w:hAnsi="华文楷体" w:hint="eastAsia"/>
          <w:sz w:val="22"/>
        </w:rPr>
        <w:t>好于</w:t>
      </w:r>
      <w:r w:rsidR="003D0DFC" w:rsidRPr="00B36D5C">
        <w:rPr>
          <w:rFonts w:ascii="华文楷体" w:eastAsia="华文楷体" w:hAnsi="华文楷体" w:hint="eastAsia"/>
          <w:sz w:val="22"/>
        </w:rPr>
        <w:t>一季度</w:t>
      </w:r>
      <w:r w:rsidR="003D0DFC" w:rsidRPr="00B36D5C">
        <w:rPr>
          <w:rFonts w:ascii="华文楷体" w:eastAsia="华文楷体" w:hAnsi="华文楷体"/>
          <w:sz w:val="22"/>
        </w:rPr>
        <w:t>，但下半年经济增速将继续回落</w:t>
      </w:r>
      <w:r w:rsidRPr="00B36D5C">
        <w:rPr>
          <w:rFonts w:ascii="华文楷体" w:eastAsia="华文楷体" w:hAnsi="华文楷体" w:hint="eastAsia"/>
          <w:sz w:val="22"/>
        </w:rPr>
        <w:t>。</w:t>
      </w:r>
      <w:r w:rsidR="00BA7807" w:rsidRPr="00B36D5C">
        <w:rPr>
          <w:rFonts w:ascii="华文楷体" w:eastAsia="华文楷体" w:hAnsi="华文楷体" w:hint="eastAsia"/>
          <w:sz w:val="22"/>
        </w:rPr>
        <w:t>主要</w:t>
      </w:r>
      <w:r w:rsidR="00BA7807" w:rsidRPr="00B36D5C">
        <w:rPr>
          <w:rFonts w:ascii="华文楷体" w:eastAsia="华文楷体" w:hAnsi="华文楷体"/>
          <w:sz w:val="22"/>
        </w:rPr>
        <w:t>正面</w:t>
      </w:r>
      <w:r w:rsidR="00BA7807" w:rsidRPr="00B36D5C">
        <w:rPr>
          <w:rFonts w:ascii="华文楷体" w:eastAsia="华文楷体" w:hAnsi="华文楷体" w:hint="eastAsia"/>
          <w:sz w:val="22"/>
        </w:rPr>
        <w:t>因素</w:t>
      </w:r>
      <w:r w:rsidR="00BA7807" w:rsidRPr="00B36D5C">
        <w:rPr>
          <w:rFonts w:ascii="华文楷体" w:eastAsia="华文楷体" w:hAnsi="华文楷体"/>
          <w:sz w:val="22"/>
        </w:rPr>
        <w:t>来自于</w:t>
      </w:r>
      <w:r w:rsidR="00BA7807" w:rsidRPr="00B36D5C">
        <w:rPr>
          <w:rFonts w:ascii="华文楷体" w:eastAsia="华文楷体" w:hAnsi="华文楷体" w:hint="eastAsia"/>
          <w:sz w:val="22"/>
        </w:rPr>
        <w:t>稳定</w:t>
      </w:r>
      <w:r w:rsidR="00BA7807" w:rsidRPr="00B36D5C">
        <w:rPr>
          <w:rFonts w:ascii="华文楷体" w:eastAsia="华文楷体" w:hAnsi="华文楷体"/>
          <w:sz w:val="22"/>
        </w:rPr>
        <w:t>的</w:t>
      </w:r>
      <w:r w:rsidR="00BA7807" w:rsidRPr="00B36D5C">
        <w:rPr>
          <w:rFonts w:ascii="华文楷体" w:eastAsia="华文楷体" w:hAnsi="华文楷体" w:hint="eastAsia"/>
          <w:sz w:val="22"/>
        </w:rPr>
        <w:t>房地产</w:t>
      </w:r>
      <w:r w:rsidR="00BA7807" w:rsidRPr="00B36D5C">
        <w:rPr>
          <w:rFonts w:ascii="华文楷体" w:eastAsia="华文楷体" w:hAnsi="华文楷体"/>
          <w:sz w:val="22"/>
        </w:rPr>
        <w:t>与居民消费</w:t>
      </w:r>
      <w:r w:rsidR="00BA7807" w:rsidRPr="00B36D5C">
        <w:rPr>
          <w:rFonts w:ascii="华文楷体" w:eastAsia="华文楷体" w:hAnsi="华文楷体" w:hint="eastAsia"/>
          <w:sz w:val="22"/>
        </w:rPr>
        <w:t>开支</w:t>
      </w:r>
      <w:r w:rsidR="00BA7807" w:rsidRPr="00B36D5C">
        <w:rPr>
          <w:rFonts w:ascii="华文楷体" w:eastAsia="华文楷体" w:hAnsi="华文楷体"/>
          <w:sz w:val="22"/>
        </w:rPr>
        <w:t>，去库存压力减小。</w:t>
      </w:r>
      <w:r w:rsidR="004F52FF" w:rsidRPr="00B36D5C">
        <w:rPr>
          <w:rFonts w:ascii="华文楷体" w:eastAsia="华文楷体" w:hAnsi="华文楷体" w:hint="eastAsia"/>
          <w:sz w:val="22"/>
        </w:rPr>
        <w:t>但劳动力</w:t>
      </w:r>
      <w:r w:rsidR="004F52FF" w:rsidRPr="00B36D5C">
        <w:rPr>
          <w:rFonts w:ascii="华文楷体" w:eastAsia="华文楷体" w:hAnsi="华文楷体"/>
          <w:sz w:val="22"/>
        </w:rPr>
        <w:t>市场实现</w:t>
      </w:r>
      <w:r w:rsidR="004F52FF" w:rsidRPr="00B36D5C">
        <w:rPr>
          <w:rFonts w:ascii="华文楷体" w:eastAsia="华文楷体" w:hAnsi="华文楷体" w:hint="eastAsia"/>
          <w:sz w:val="22"/>
        </w:rPr>
        <w:t>充分</w:t>
      </w:r>
      <w:r w:rsidR="004F52FF" w:rsidRPr="00B36D5C">
        <w:rPr>
          <w:rFonts w:ascii="华文楷体" w:eastAsia="华文楷体" w:hAnsi="华文楷体"/>
          <w:sz w:val="22"/>
        </w:rPr>
        <w:t>就业之后继续扩张</w:t>
      </w:r>
      <w:r w:rsidR="004F52FF" w:rsidRPr="00B36D5C">
        <w:rPr>
          <w:rFonts w:ascii="华文楷体" w:eastAsia="华文楷体" w:hAnsi="华文楷体" w:hint="eastAsia"/>
          <w:sz w:val="22"/>
        </w:rPr>
        <w:t>空间</w:t>
      </w:r>
      <w:r w:rsidR="004F52FF" w:rsidRPr="00B36D5C">
        <w:rPr>
          <w:rFonts w:ascii="华文楷体" w:eastAsia="华文楷体" w:hAnsi="华文楷体"/>
          <w:sz w:val="22"/>
        </w:rPr>
        <w:t>有限，预计美国</w:t>
      </w:r>
      <w:r w:rsidR="004F52FF" w:rsidRPr="00B36D5C">
        <w:rPr>
          <w:rFonts w:ascii="华文楷体" w:eastAsia="华文楷体" w:hAnsi="华文楷体" w:hint="eastAsia"/>
          <w:sz w:val="22"/>
        </w:rPr>
        <w:t>下半年</w:t>
      </w:r>
      <w:r w:rsidR="004F52FF" w:rsidRPr="00B36D5C">
        <w:rPr>
          <w:rFonts w:ascii="华文楷体" w:eastAsia="华文楷体" w:hAnsi="华文楷体"/>
          <w:sz w:val="22"/>
        </w:rPr>
        <w:t>经济</w:t>
      </w:r>
      <w:r w:rsidR="004F52FF" w:rsidRPr="00B36D5C">
        <w:rPr>
          <w:rFonts w:ascii="华文楷体" w:eastAsia="华文楷体" w:hAnsi="华文楷体" w:hint="eastAsia"/>
          <w:sz w:val="22"/>
        </w:rPr>
        <w:t>增速</w:t>
      </w:r>
      <w:r w:rsidR="004F52FF" w:rsidRPr="00B36D5C">
        <w:rPr>
          <w:rFonts w:ascii="华文楷体" w:eastAsia="华文楷体" w:hAnsi="华文楷体"/>
          <w:sz w:val="22"/>
        </w:rPr>
        <w:t>将不高于2%。</w:t>
      </w:r>
    </w:p>
    <w:p w14:paraId="17864358" w14:textId="51BE3D56" w:rsidR="00197F04" w:rsidRPr="00B36D5C" w:rsidRDefault="008B6A8C" w:rsidP="008B6A8C">
      <w:pPr>
        <w:adjustRightInd w:val="0"/>
        <w:snapToGrid w:val="0"/>
        <w:ind w:left="420"/>
        <w:rPr>
          <w:rFonts w:ascii="华文楷体" w:eastAsia="华文楷体" w:hAnsi="华文楷体"/>
          <w:sz w:val="22"/>
        </w:rPr>
      </w:pPr>
      <w:r w:rsidRPr="00B36D5C">
        <w:rPr>
          <w:rFonts w:ascii="华文楷体" w:eastAsia="华文楷体" w:hAnsi="华文楷体" w:hint="eastAsia"/>
          <w:sz w:val="22"/>
        </w:rPr>
        <w:t>（</w:t>
      </w:r>
      <w:r w:rsidRPr="00B36D5C">
        <w:rPr>
          <w:rFonts w:ascii="华文楷体" w:eastAsia="华文楷体" w:hAnsi="华文楷体"/>
          <w:sz w:val="22"/>
        </w:rPr>
        <w:t>2）</w:t>
      </w:r>
      <w:r w:rsidR="00197F04" w:rsidRPr="00B36D5C">
        <w:rPr>
          <w:rFonts w:ascii="华文楷体" w:eastAsia="华文楷体" w:hAnsi="华文楷体" w:hint="eastAsia"/>
          <w:sz w:val="22"/>
        </w:rPr>
        <w:t>通胀</w:t>
      </w:r>
      <w:r w:rsidR="00197F04" w:rsidRPr="00B36D5C">
        <w:rPr>
          <w:rFonts w:ascii="华文楷体" w:eastAsia="华文楷体" w:hAnsi="华文楷体"/>
          <w:sz w:val="22"/>
        </w:rPr>
        <w:t>方面，</w:t>
      </w:r>
      <w:r w:rsidR="000B2BF1" w:rsidRPr="00B36D5C">
        <w:rPr>
          <w:rFonts w:ascii="华文楷体" w:eastAsia="华文楷体" w:hAnsi="华文楷体" w:hint="eastAsia"/>
          <w:sz w:val="22"/>
        </w:rPr>
        <w:t>充分就业</w:t>
      </w:r>
      <w:r w:rsidR="003D0DFC" w:rsidRPr="00B36D5C">
        <w:rPr>
          <w:rFonts w:ascii="华文楷体" w:eastAsia="华文楷体" w:hAnsi="华文楷体"/>
          <w:sz w:val="22"/>
        </w:rPr>
        <w:t>带来</w:t>
      </w:r>
      <w:r w:rsidR="00197F04" w:rsidRPr="00B36D5C">
        <w:rPr>
          <w:rFonts w:ascii="华文楷体" w:eastAsia="华文楷体" w:hAnsi="华文楷体" w:hint="eastAsia"/>
          <w:sz w:val="22"/>
        </w:rPr>
        <w:t>薪资上涨</w:t>
      </w:r>
      <w:r w:rsidR="000B2BF1" w:rsidRPr="00B36D5C">
        <w:rPr>
          <w:rFonts w:ascii="华文楷体" w:eastAsia="华文楷体" w:hAnsi="华文楷体" w:hint="eastAsia"/>
          <w:sz w:val="22"/>
        </w:rPr>
        <w:t>、核心</w:t>
      </w:r>
      <w:r w:rsidR="000B2BF1" w:rsidRPr="00B36D5C">
        <w:rPr>
          <w:rFonts w:ascii="华文楷体" w:eastAsia="华文楷体" w:hAnsi="华文楷体"/>
          <w:sz w:val="22"/>
        </w:rPr>
        <w:t>通胀上升的趋势</w:t>
      </w:r>
      <w:r w:rsidR="003D0DFC" w:rsidRPr="00B36D5C">
        <w:rPr>
          <w:rFonts w:ascii="华文楷体" w:eastAsia="华文楷体" w:hAnsi="华文楷体"/>
          <w:sz w:val="22"/>
        </w:rPr>
        <w:t>，同时房地产库存不足</w:t>
      </w:r>
      <w:r w:rsidR="003D0DFC" w:rsidRPr="00B36D5C">
        <w:rPr>
          <w:rFonts w:ascii="华文楷体" w:eastAsia="华文楷体" w:hAnsi="华文楷体" w:hint="eastAsia"/>
          <w:sz w:val="22"/>
        </w:rPr>
        <w:t>带来</w:t>
      </w:r>
      <w:r w:rsidR="003D0DFC" w:rsidRPr="00B36D5C">
        <w:rPr>
          <w:rFonts w:ascii="华文楷体" w:eastAsia="华文楷体" w:hAnsi="华文楷体"/>
          <w:sz w:val="22"/>
        </w:rPr>
        <w:t>房租</w:t>
      </w:r>
      <w:r w:rsidR="000B2BF1" w:rsidRPr="00B36D5C">
        <w:rPr>
          <w:rFonts w:ascii="华文楷体" w:eastAsia="华文楷体" w:hAnsi="华文楷体" w:hint="eastAsia"/>
          <w:sz w:val="22"/>
        </w:rPr>
        <w:t>增长</w:t>
      </w:r>
      <w:r w:rsidR="000B2BF1" w:rsidRPr="00B36D5C">
        <w:rPr>
          <w:rFonts w:ascii="华文楷体" w:eastAsia="华文楷体" w:hAnsi="华文楷体"/>
          <w:sz w:val="22"/>
        </w:rPr>
        <w:t>压力</w:t>
      </w:r>
      <w:r w:rsidR="003D0DFC" w:rsidRPr="00B36D5C">
        <w:rPr>
          <w:rFonts w:ascii="华文楷体" w:eastAsia="华文楷体" w:hAnsi="华文楷体"/>
          <w:sz w:val="22"/>
        </w:rPr>
        <w:t>，</w:t>
      </w:r>
      <w:r w:rsidR="003D0DFC" w:rsidRPr="00B36D5C">
        <w:rPr>
          <w:rFonts w:ascii="华文楷体" w:eastAsia="华文楷体" w:hAnsi="华文楷体" w:hint="eastAsia"/>
          <w:sz w:val="22"/>
        </w:rPr>
        <w:t>美国通胀</w:t>
      </w:r>
      <w:r w:rsidR="003D0DFC" w:rsidRPr="00B36D5C">
        <w:rPr>
          <w:rFonts w:ascii="华文楷体" w:eastAsia="华文楷体" w:hAnsi="华文楷体"/>
          <w:sz w:val="22"/>
        </w:rPr>
        <w:t>已进入稳定上升的</w:t>
      </w:r>
      <w:r w:rsidR="003D0DFC" w:rsidRPr="00B36D5C">
        <w:rPr>
          <w:rFonts w:ascii="华文楷体" w:eastAsia="华文楷体" w:hAnsi="华文楷体" w:hint="eastAsia"/>
          <w:sz w:val="22"/>
        </w:rPr>
        <w:t>通道</w:t>
      </w:r>
      <w:r w:rsidR="003D0DFC" w:rsidRPr="00B36D5C">
        <w:rPr>
          <w:rFonts w:ascii="华文楷体" w:eastAsia="华文楷体" w:hAnsi="华文楷体"/>
          <w:sz w:val="22"/>
        </w:rPr>
        <w:t>；</w:t>
      </w:r>
      <w:r w:rsidR="007245D3" w:rsidRPr="00B36D5C">
        <w:rPr>
          <w:rFonts w:ascii="华文楷体" w:eastAsia="华文楷体" w:hAnsi="华文楷体" w:hint="eastAsia"/>
          <w:sz w:val="22"/>
        </w:rPr>
        <w:t>下半年油价</w:t>
      </w:r>
      <w:r w:rsidR="007245D3" w:rsidRPr="00B36D5C">
        <w:rPr>
          <w:rFonts w:ascii="华文楷体" w:eastAsia="华文楷体" w:hAnsi="华文楷体"/>
          <w:sz w:val="22"/>
        </w:rPr>
        <w:t>回落将减缓通胀压力，</w:t>
      </w:r>
      <w:r w:rsidR="0045087D" w:rsidRPr="00B36D5C">
        <w:rPr>
          <w:rFonts w:ascii="华文楷体" w:eastAsia="华文楷体" w:hAnsi="华文楷体" w:hint="eastAsia"/>
          <w:sz w:val="22"/>
        </w:rPr>
        <w:t>预计</w:t>
      </w:r>
      <w:r w:rsidR="007245D3" w:rsidRPr="00B36D5C">
        <w:rPr>
          <w:rFonts w:ascii="华文楷体" w:eastAsia="华文楷体" w:hAnsi="华文楷体"/>
          <w:sz w:val="22"/>
        </w:rPr>
        <w:t>通胀不会</w:t>
      </w:r>
      <w:r w:rsidR="0055614D" w:rsidRPr="00B36D5C">
        <w:rPr>
          <w:rFonts w:ascii="华文楷体" w:eastAsia="华文楷体" w:hAnsi="华文楷体" w:hint="eastAsia"/>
          <w:sz w:val="22"/>
        </w:rPr>
        <w:t>成为迫使</w:t>
      </w:r>
      <w:r w:rsidR="007245D3" w:rsidRPr="00B36D5C">
        <w:rPr>
          <w:rFonts w:ascii="华文楷体" w:eastAsia="华文楷体" w:hAnsi="华文楷体"/>
          <w:sz w:val="22"/>
        </w:rPr>
        <w:t>美联储</w:t>
      </w:r>
      <w:r w:rsidR="0055614D" w:rsidRPr="00B36D5C">
        <w:rPr>
          <w:rFonts w:ascii="华文楷体" w:eastAsia="华文楷体" w:hAnsi="华文楷体" w:hint="eastAsia"/>
          <w:sz w:val="22"/>
        </w:rPr>
        <w:t>年内</w:t>
      </w:r>
      <w:r w:rsidR="007245D3" w:rsidRPr="00B36D5C">
        <w:rPr>
          <w:rFonts w:ascii="华文楷体" w:eastAsia="华文楷体" w:hAnsi="华文楷体"/>
          <w:sz w:val="22"/>
        </w:rPr>
        <w:t>急于调整货币政策的推动力</w:t>
      </w:r>
      <w:r w:rsidR="00197F04" w:rsidRPr="00B36D5C">
        <w:rPr>
          <w:rFonts w:ascii="华文楷体" w:eastAsia="华文楷体" w:hAnsi="华文楷体" w:hint="eastAsia"/>
          <w:sz w:val="22"/>
        </w:rPr>
        <w:t>。</w:t>
      </w:r>
    </w:p>
    <w:p w14:paraId="14D25366" w14:textId="3937823E" w:rsidR="00197F04" w:rsidRPr="00B36D5C" w:rsidRDefault="008B6A8C" w:rsidP="008B6A8C">
      <w:pPr>
        <w:adjustRightInd w:val="0"/>
        <w:snapToGrid w:val="0"/>
        <w:ind w:left="420"/>
        <w:rPr>
          <w:rFonts w:ascii="华文楷体" w:eastAsia="华文楷体" w:hAnsi="华文楷体"/>
          <w:sz w:val="22"/>
        </w:rPr>
      </w:pPr>
      <w:r w:rsidRPr="00B36D5C">
        <w:rPr>
          <w:rFonts w:ascii="华文楷体" w:eastAsia="华文楷体" w:hAnsi="华文楷体" w:hint="eastAsia"/>
          <w:sz w:val="22"/>
        </w:rPr>
        <w:t>（</w:t>
      </w:r>
      <w:r w:rsidRPr="00B36D5C">
        <w:rPr>
          <w:rFonts w:ascii="华文楷体" w:eastAsia="华文楷体" w:hAnsi="华文楷体"/>
          <w:sz w:val="22"/>
        </w:rPr>
        <w:t>3）</w:t>
      </w:r>
      <w:r w:rsidR="00197F04" w:rsidRPr="00B36D5C">
        <w:rPr>
          <w:rFonts w:ascii="华文楷体" w:eastAsia="华文楷体" w:hAnsi="华文楷体" w:hint="eastAsia"/>
          <w:sz w:val="22"/>
        </w:rPr>
        <w:t>流动性方面，美联储</w:t>
      </w:r>
      <w:r w:rsidR="00197F04" w:rsidRPr="00B36D5C">
        <w:rPr>
          <w:rFonts w:ascii="华文楷体" w:eastAsia="华文楷体" w:hAnsi="华文楷体"/>
          <w:sz w:val="22"/>
        </w:rPr>
        <w:t>6月</w:t>
      </w:r>
      <w:r w:rsidR="0045087D" w:rsidRPr="00B36D5C">
        <w:rPr>
          <w:rFonts w:ascii="华文楷体" w:eastAsia="华文楷体" w:hAnsi="华文楷体" w:hint="eastAsia"/>
          <w:sz w:val="22"/>
        </w:rPr>
        <w:t>议</w:t>
      </w:r>
      <w:proofErr w:type="gramStart"/>
      <w:r w:rsidR="0045087D" w:rsidRPr="00B36D5C">
        <w:rPr>
          <w:rFonts w:ascii="华文楷体" w:eastAsia="华文楷体" w:hAnsi="华文楷体" w:hint="eastAsia"/>
          <w:sz w:val="22"/>
        </w:rPr>
        <w:t>息</w:t>
      </w:r>
      <w:r w:rsidR="00197F04" w:rsidRPr="00B36D5C">
        <w:rPr>
          <w:rFonts w:ascii="华文楷体" w:eastAsia="华文楷体" w:hAnsi="华文楷体" w:hint="eastAsia"/>
          <w:sz w:val="22"/>
        </w:rPr>
        <w:t>会议</w:t>
      </w:r>
      <w:proofErr w:type="gramEnd"/>
      <w:r w:rsidR="0045087D" w:rsidRPr="00B36D5C">
        <w:rPr>
          <w:rFonts w:ascii="华文楷体" w:eastAsia="华文楷体" w:hAnsi="华文楷体" w:hint="eastAsia"/>
          <w:sz w:val="22"/>
        </w:rPr>
        <w:t>会后</w:t>
      </w:r>
      <w:r w:rsidR="00197F04" w:rsidRPr="00B36D5C">
        <w:rPr>
          <w:rFonts w:ascii="华文楷体" w:eastAsia="华文楷体" w:hAnsi="华文楷体" w:hint="eastAsia"/>
          <w:sz w:val="22"/>
        </w:rPr>
        <w:t>声明、</w:t>
      </w:r>
      <w:r w:rsidR="007245D3" w:rsidRPr="00B36D5C">
        <w:rPr>
          <w:rFonts w:ascii="华文楷体" w:eastAsia="华文楷体" w:hAnsi="华文楷体" w:hint="eastAsia"/>
          <w:sz w:val="22"/>
        </w:rPr>
        <w:t>长期</w:t>
      </w:r>
      <w:r w:rsidR="00197F04" w:rsidRPr="00B36D5C">
        <w:rPr>
          <w:rFonts w:ascii="华文楷体" w:eastAsia="华文楷体" w:hAnsi="华文楷体" w:hint="eastAsia"/>
          <w:sz w:val="22"/>
        </w:rPr>
        <w:t>经济</w:t>
      </w:r>
      <w:r w:rsidR="007245D3" w:rsidRPr="00B36D5C">
        <w:rPr>
          <w:rFonts w:ascii="华文楷体" w:eastAsia="华文楷体" w:hAnsi="华文楷体" w:hint="eastAsia"/>
          <w:sz w:val="22"/>
        </w:rPr>
        <w:t>与</w:t>
      </w:r>
      <w:r w:rsidR="007245D3" w:rsidRPr="00B36D5C">
        <w:rPr>
          <w:rFonts w:ascii="华文楷体" w:eastAsia="华文楷体" w:hAnsi="华文楷体"/>
          <w:sz w:val="22"/>
        </w:rPr>
        <w:t>利率路径预测</w:t>
      </w:r>
      <w:r w:rsidR="0055614D" w:rsidRPr="00B36D5C">
        <w:rPr>
          <w:rFonts w:ascii="华文楷体" w:eastAsia="华文楷体" w:hAnsi="华文楷体" w:hint="eastAsia"/>
          <w:sz w:val="22"/>
        </w:rPr>
        <w:t>相比</w:t>
      </w:r>
      <w:r w:rsidR="007533EA" w:rsidRPr="00B36D5C">
        <w:rPr>
          <w:rFonts w:ascii="华文楷体" w:eastAsia="华文楷体" w:hAnsi="华文楷体"/>
          <w:sz w:val="22"/>
        </w:rPr>
        <w:t>4月会议</w:t>
      </w:r>
      <w:r w:rsidR="0055614D" w:rsidRPr="00B36D5C">
        <w:rPr>
          <w:rFonts w:ascii="华文楷体" w:eastAsia="华文楷体" w:hAnsi="华文楷体" w:hint="eastAsia"/>
          <w:sz w:val="22"/>
        </w:rPr>
        <w:t>纪要</w:t>
      </w:r>
      <w:r w:rsidR="0055614D" w:rsidRPr="00B36D5C">
        <w:rPr>
          <w:rFonts w:ascii="华文楷体" w:eastAsia="华文楷体" w:hAnsi="华文楷体"/>
          <w:sz w:val="22"/>
        </w:rPr>
        <w:t>所展现的</w:t>
      </w:r>
      <w:r w:rsidR="0055614D" w:rsidRPr="00B36D5C">
        <w:rPr>
          <w:rFonts w:ascii="华文楷体" w:eastAsia="华文楷体" w:hAnsi="华文楷体" w:hint="eastAsia"/>
          <w:sz w:val="22"/>
        </w:rPr>
        <w:t>鹰派</w:t>
      </w:r>
      <w:r w:rsidR="007533EA" w:rsidRPr="00B36D5C">
        <w:rPr>
          <w:rFonts w:ascii="华文楷体" w:eastAsia="华文楷体" w:hAnsi="华文楷体"/>
          <w:sz w:val="22"/>
        </w:rPr>
        <w:t>气氛已</w:t>
      </w:r>
      <w:r w:rsidR="007533EA" w:rsidRPr="00B36D5C">
        <w:rPr>
          <w:rFonts w:ascii="华文楷体" w:eastAsia="华文楷体" w:hAnsi="华文楷体" w:hint="eastAsia"/>
          <w:sz w:val="22"/>
        </w:rPr>
        <w:t>显著放松</w:t>
      </w:r>
      <w:r w:rsidR="007533EA" w:rsidRPr="00B36D5C">
        <w:rPr>
          <w:rFonts w:ascii="华文楷体" w:eastAsia="华文楷体" w:hAnsi="华文楷体"/>
          <w:sz w:val="22"/>
        </w:rPr>
        <w:t>，目前宏观环境不支持联储加息，</w:t>
      </w:r>
      <w:r w:rsidR="007533EA" w:rsidRPr="00B36D5C">
        <w:rPr>
          <w:rFonts w:ascii="华文楷体" w:eastAsia="华文楷体" w:hAnsi="华文楷体" w:hint="eastAsia"/>
          <w:sz w:val="22"/>
        </w:rPr>
        <w:t>未来</w:t>
      </w:r>
      <w:r w:rsidR="007533EA" w:rsidRPr="00B36D5C">
        <w:rPr>
          <w:rFonts w:ascii="华文楷体" w:eastAsia="华文楷体" w:hAnsi="华文楷体"/>
          <w:sz w:val="22"/>
        </w:rPr>
        <w:t>可能加息时点为12月</w:t>
      </w:r>
      <w:r w:rsidR="00197F04" w:rsidRPr="00B36D5C">
        <w:rPr>
          <w:rFonts w:ascii="华文楷体" w:eastAsia="华文楷体" w:hAnsi="华文楷体" w:hint="eastAsia"/>
          <w:sz w:val="22"/>
        </w:rPr>
        <w:t>。</w:t>
      </w:r>
    </w:p>
    <w:p w14:paraId="2AB057F9" w14:textId="71EC2B25" w:rsidR="0015695A" w:rsidRPr="00B36D5C" w:rsidRDefault="002A442E" w:rsidP="00D10349">
      <w:pPr>
        <w:numPr>
          <w:ilvl w:val="0"/>
          <w:numId w:val="24"/>
        </w:numPr>
        <w:adjustRightInd w:val="0"/>
        <w:snapToGrid w:val="0"/>
        <w:rPr>
          <w:rFonts w:ascii="华文楷体" w:eastAsia="华文楷体" w:hAnsi="华文楷体"/>
          <w:sz w:val="22"/>
        </w:rPr>
      </w:pPr>
      <w:r w:rsidRPr="00B36D5C">
        <w:rPr>
          <w:rFonts w:ascii="华文楷体" w:eastAsia="华文楷体" w:hAnsi="华文楷体" w:hint="eastAsia"/>
          <w:b/>
          <w:sz w:val="22"/>
        </w:rPr>
        <w:t>美元指数</w:t>
      </w:r>
      <w:r w:rsidR="00B2499F" w:rsidRPr="00B36D5C">
        <w:rPr>
          <w:rFonts w:ascii="华文楷体" w:eastAsia="华文楷体" w:hAnsi="华文楷体" w:hint="eastAsia"/>
          <w:b/>
          <w:sz w:val="22"/>
        </w:rPr>
        <w:t>中期依然看涨</w:t>
      </w:r>
      <w:r w:rsidRPr="00B36D5C">
        <w:rPr>
          <w:rFonts w:ascii="华文楷体" w:eastAsia="华文楷体" w:hAnsi="华文楷体" w:hint="eastAsia"/>
          <w:b/>
          <w:sz w:val="22"/>
        </w:rPr>
        <w:t>：</w:t>
      </w:r>
      <w:r w:rsidR="00B2499F" w:rsidRPr="00B36D5C">
        <w:rPr>
          <w:rFonts w:ascii="华文楷体" w:eastAsia="华文楷体" w:hAnsi="华文楷体" w:hint="eastAsia"/>
          <w:sz w:val="22"/>
        </w:rPr>
        <w:t>美元指数</w:t>
      </w:r>
      <w:r w:rsidR="009D2EA8" w:rsidRPr="00B36D5C">
        <w:rPr>
          <w:rFonts w:ascii="华文楷体" w:eastAsia="华文楷体" w:hAnsi="华文楷体" w:hint="eastAsia"/>
          <w:sz w:val="22"/>
        </w:rPr>
        <w:t>将继续</w:t>
      </w:r>
      <w:r w:rsidR="009D2EA8" w:rsidRPr="00B36D5C">
        <w:rPr>
          <w:rFonts w:ascii="华文楷体" w:eastAsia="华文楷体" w:hAnsi="华文楷体"/>
          <w:sz w:val="22"/>
        </w:rPr>
        <w:t>走强</w:t>
      </w:r>
      <w:r w:rsidR="00DD22B6" w:rsidRPr="00B36D5C">
        <w:rPr>
          <w:rFonts w:ascii="华文楷体" w:eastAsia="华文楷体" w:hAnsi="华文楷体" w:hint="eastAsia"/>
          <w:sz w:val="22"/>
        </w:rPr>
        <w:t>，</w:t>
      </w:r>
      <w:r w:rsidR="00DD22B6" w:rsidRPr="00B36D5C">
        <w:rPr>
          <w:rFonts w:ascii="华文楷体" w:eastAsia="华文楷体" w:hAnsi="华文楷体"/>
          <w:sz w:val="22"/>
        </w:rPr>
        <w:t>受美国与欧元区、日本之间经济基本面与货币政策差异，以及全球避险资金流动推动</w:t>
      </w:r>
      <w:r w:rsidRPr="00B36D5C">
        <w:rPr>
          <w:rFonts w:ascii="华文楷体" w:eastAsia="华文楷体" w:hAnsi="华文楷体" w:hint="eastAsia"/>
          <w:sz w:val="22"/>
        </w:rPr>
        <w:t>。</w:t>
      </w:r>
      <w:r w:rsidR="00A1538F" w:rsidRPr="00B36D5C">
        <w:rPr>
          <w:rFonts w:ascii="华文楷体" w:eastAsia="华文楷体" w:hAnsi="华文楷体" w:hint="eastAsia"/>
          <w:sz w:val="22"/>
        </w:rPr>
        <w:t>虽然美联储货币</w:t>
      </w:r>
      <w:r w:rsidR="00A1538F" w:rsidRPr="00B36D5C">
        <w:rPr>
          <w:rFonts w:ascii="华文楷体" w:eastAsia="华文楷体" w:hAnsi="华文楷体"/>
          <w:sz w:val="22"/>
        </w:rPr>
        <w:t>政策收紧空间已被严重制约，但</w:t>
      </w:r>
      <w:r w:rsidR="00A1538F" w:rsidRPr="00B36D5C">
        <w:rPr>
          <w:rFonts w:ascii="华文楷体" w:eastAsia="华文楷体" w:hAnsi="华文楷体" w:hint="eastAsia"/>
          <w:sz w:val="22"/>
        </w:rPr>
        <w:t>欧日</w:t>
      </w:r>
      <w:r w:rsidR="00A1538F" w:rsidRPr="00B36D5C">
        <w:rPr>
          <w:rFonts w:ascii="华文楷体" w:eastAsia="华文楷体" w:hAnsi="华文楷体"/>
          <w:sz w:val="22"/>
        </w:rPr>
        <w:t>经济放缓</w:t>
      </w:r>
      <w:r w:rsidR="00A1538F" w:rsidRPr="00B36D5C">
        <w:rPr>
          <w:rFonts w:ascii="华文楷体" w:eastAsia="华文楷体" w:hAnsi="华文楷体" w:hint="eastAsia"/>
          <w:sz w:val="22"/>
        </w:rPr>
        <w:t>与</w:t>
      </w:r>
      <w:r w:rsidR="00A1538F" w:rsidRPr="00B36D5C">
        <w:rPr>
          <w:rFonts w:ascii="华文楷体" w:eastAsia="华文楷体" w:hAnsi="华文楷体"/>
          <w:sz w:val="22"/>
        </w:rPr>
        <w:t>货币政策维持</w:t>
      </w:r>
      <w:proofErr w:type="gramStart"/>
      <w:r w:rsidR="00A1538F" w:rsidRPr="00B36D5C">
        <w:rPr>
          <w:rFonts w:ascii="华文楷体" w:eastAsia="华文楷体" w:hAnsi="华文楷体"/>
          <w:sz w:val="22"/>
        </w:rPr>
        <w:t>宽松将</w:t>
      </w:r>
      <w:proofErr w:type="gramEnd"/>
      <w:r w:rsidR="00A1538F" w:rsidRPr="00B36D5C">
        <w:rPr>
          <w:rFonts w:ascii="华文楷体" w:eastAsia="华文楷体" w:hAnsi="华文楷体" w:hint="eastAsia"/>
          <w:sz w:val="22"/>
        </w:rPr>
        <w:t>压制</w:t>
      </w:r>
      <w:r w:rsidR="00A1538F" w:rsidRPr="00B36D5C">
        <w:rPr>
          <w:rFonts w:ascii="华文楷体" w:eastAsia="华文楷体" w:hAnsi="华文楷体"/>
          <w:sz w:val="22"/>
        </w:rPr>
        <w:t>欧元与日元汇率，转而</w:t>
      </w:r>
      <w:r w:rsidR="00A1538F" w:rsidRPr="00B36D5C">
        <w:rPr>
          <w:rFonts w:ascii="华文楷体" w:eastAsia="华文楷体" w:hAnsi="华文楷体" w:hint="eastAsia"/>
          <w:sz w:val="22"/>
        </w:rPr>
        <w:t>推动</w:t>
      </w:r>
      <w:r w:rsidR="00A1538F" w:rsidRPr="00B36D5C">
        <w:rPr>
          <w:rFonts w:ascii="华文楷体" w:eastAsia="华文楷体" w:hAnsi="华文楷体"/>
          <w:sz w:val="22"/>
        </w:rPr>
        <w:t>美元升值</w:t>
      </w:r>
      <w:r w:rsidR="00A1141A" w:rsidRPr="00B36D5C">
        <w:rPr>
          <w:rFonts w:ascii="华文楷体" w:eastAsia="华文楷体" w:hAnsi="华文楷体" w:hint="eastAsia"/>
          <w:sz w:val="22"/>
        </w:rPr>
        <w:t>。</w:t>
      </w:r>
      <w:r w:rsidR="00A1538F" w:rsidRPr="00B36D5C">
        <w:rPr>
          <w:rFonts w:ascii="华文楷体" w:eastAsia="华文楷体" w:hAnsi="华文楷体" w:hint="eastAsia"/>
          <w:sz w:val="22"/>
        </w:rPr>
        <w:t>英国</w:t>
      </w:r>
      <w:proofErr w:type="gramStart"/>
      <w:r w:rsidR="00A1538F" w:rsidRPr="00B36D5C">
        <w:rPr>
          <w:rFonts w:ascii="华文楷体" w:eastAsia="华文楷体" w:hAnsi="华文楷体" w:hint="eastAsia"/>
          <w:sz w:val="22"/>
        </w:rPr>
        <w:t>退欧</w:t>
      </w:r>
      <w:r w:rsidR="00A1538F" w:rsidRPr="00B36D5C">
        <w:rPr>
          <w:rFonts w:ascii="华文楷体" w:eastAsia="华文楷体" w:hAnsi="华文楷体"/>
          <w:sz w:val="22"/>
        </w:rPr>
        <w:t>风险</w:t>
      </w:r>
      <w:proofErr w:type="gramEnd"/>
      <w:r w:rsidR="00A1538F" w:rsidRPr="00B36D5C">
        <w:rPr>
          <w:rFonts w:ascii="华文楷体" w:eastAsia="华文楷体" w:hAnsi="华文楷体"/>
          <w:sz w:val="22"/>
        </w:rPr>
        <w:t>或引发欧元区</w:t>
      </w:r>
      <w:r w:rsidR="00A1538F" w:rsidRPr="00B36D5C">
        <w:rPr>
          <w:rFonts w:ascii="华文楷体" w:eastAsia="华文楷体" w:hAnsi="华文楷体" w:hint="eastAsia"/>
          <w:sz w:val="22"/>
        </w:rPr>
        <w:t>配置</w:t>
      </w:r>
      <w:r w:rsidR="00A1538F" w:rsidRPr="00B36D5C">
        <w:rPr>
          <w:rFonts w:ascii="华文楷体" w:eastAsia="华文楷体" w:hAnsi="华文楷体"/>
          <w:sz w:val="22"/>
        </w:rPr>
        <w:t>型资金系统性</w:t>
      </w:r>
      <w:r w:rsidR="00A1538F" w:rsidRPr="00B36D5C">
        <w:rPr>
          <w:rFonts w:ascii="华文楷体" w:eastAsia="华文楷体" w:hAnsi="华文楷体" w:hint="eastAsia"/>
          <w:sz w:val="22"/>
        </w:rPr>
        <w:t>地</w:t>
      </w:r>
      <w:r w:rsidR="00A1538F" w:rsidRPr="00B36D5C">
        <w:rPr>
          <w:rFonts w:ascii="华文楷体" w:eastAsia="华文楷体" w:hAnsi="华文楷体"/>
          <w:sz w:val="22"/>
        </w:rPr>
        <w:t>转向美国。</w:t>
      </w:r>
    </w:p>
    <w:p w14:paraId="4A2BC359" w14:textId="75416779" w:rsidR="00B355B0" w:rsidRPr="00B36D5C" w:rsidRDefault="00302DE5" w:rsidP="009A5021">
      <w:pPr>
        <w:numPr>
          <w:ilvl w:val="0"/>
          <w:numId w:val="24"/>
        </w:numPr>
        <w:adjustRightInd w:val="0"/>
        <w:snapToGrid w:val="0"/>
        <w:rPr>
          <w:rFonts w:ascii="华文楷体" w:eastAsia="华文楷体" w:hAnsi="华文楷体"/>
          <w:sz w:val="22"/>
        </w:rPr>
      </w:pPr>
      <w:r w:rsidRPr="00B36D5C">
        <w:rPr>
          <w:rFonts w:ascii="华文楷体" w:eastAsia="华文楷体" w:hAnsi="华文楷体" w:hint="eastAsia"/>
          <w:b/>
          <w:sz w:val="22"/>
        </w:rPr>
        <w:t>全球</w:t>
      </w:r>
      <w:r w:rsidR="002A442E" w:rsidRPr="00B36D5C">
        <w:rPr>
          <w:rFonts w:ascii="华文楷体" w:eastAsia="华文楷体" w:hAnsi="华文楷体" w:hint="eastAsia"/>
          <w:b/>
          <w:sz w:val="22"/>
        </w:rPr>
        <w:t>债券</w:t>
      </w:r>
      <w:r w:rsidR="002A442E" w:rsidRPr="00B36D5C">
        <w:rPr>
          <w:rFonts w:ascii="华文楷体" w:eastAsia="华文楷体" w:hAnsi="华文楷体"/>
          <w:b/>
          <w:sz w:val="22"/>
        </w:rPr>
        <w:t>市场</w:t>
      </w:r>
      <w:r w:rsidR="009A5021" w:rsidRPr="00B36D5C">
        <w:rPr>
          <w:rFonts w:ascii="华文楷体" w:eastAsia="华文楷体" w:hAnsi="华文楷体" w:hint="eastAsia"/>
          <w:b/>
          <w:sz w:val="22"/>
        </w:rPr>
        <w:t>—债券长端收益率或</w:t>
      </w:r>
      <w:r w:rsidR="00236D89" w:rsidRPr="00B36D5C">
        <w:rPr>
          <w:rFonts w:ascii="华文楷体" w:eastAsia="华文楷体" w:hAnsi="华文楷体" w:hint="eastAsia"/>
          <w:b/>
          <w:sz w:val="22"/>
        </w:rPr>
        <w:t>保持低位</w:t>
      </w:r>
      <w:r w:rsidR="00B355B0" w:rsidRPr="00B36D5C">
        <w:rPr>
          <w:rFonts w:ascii="华文楷体" w:eastAsia="华文楷体" w:hAnsi="华文楷体" w:hint="eastAsia"/>
          <w:b/>
          <w:sz w:val="22"/>
        </w:rPr>
        <w:t>：</w:t>
      </w:r>
      <w:r w:rsidR="00236D89" w:rsidRPr="00B36D5C">
        <w:rPr>
          <w:rFonts w:ascii="华文楷体" w:eastAsia="华文楷体" w:hAnsi="华文楷体" w:hint="eastAsia"/>
          <w:sz w:val="22"/>
        </w:rPr>
        <w:t>由于主要</w:t>
      </w:r>
      <w:r w:rsidR="00E605B7" w:rsidRPr="00B36D5C">
        <w:rPr>
          <w:rFonts w:ascii="华文楷体" w:eastAsia="华文楷体" w:hAnsi="华文楷体"/>
          <w:sz w:val="22"/>
        </w:rPr>
        <w:t>发达国家</w:t>
      </w:r>
      <w:r w:rsidR="00236D89" w:rsidRPr="00B36D5C">
        <w:rPr>
          <w:rFonts w:ascii="华文楷体" w:eastAsia="华文楷体" w:hAnsi="华文楷体" w:hint="eastAsia"/>
          <w:sz w:val="22"/>
        </w:rPr>
        <w:t>经济</w:t>
      </w:r>
      <w:r w:rsidR="00236D89" w:rsidRPr="00B36D5C">
        <w:rPr>
          <w:rFonts w:ascii="华文楷体" w:eastAsia="华文楷体" w:hAnsi="华文楷体"/>
          <w:sz w:val="22"/>
        </w:rPr>
        <w:t>扩张乏力</w:t>
      </w:r>
      <w:r w:rsidRPr="00B36D5C">
        <w:rPr>
          <w:rFonts w:ascii="华文楷体" w:eastAsia="华文楷体" w:hAnsi="华文楷体" w:hint="eastAsia"/>
          <w:sz w:val="22"/>
        </w:rPr>
        <w:t>、</w:t>
      </w:r>
      <w:r w:rsidR="00236D89" w:rsidRPr="00B36D5C">
        <w:rPr>
          <w:rFonts w:ascii="华文楷体" w:eastAsia="华文楷体" w:hAnsi="华文楷体" w:hint="eastAsia"/>
          <w:sz w:val="22"/>
        </w:rPr>
        <w:t>央行</w:t>
      </w:r>
      <w:r w:rsidR="00236D89" w:rsidRPr="00B36D5C">
        <w:rPr>
          <w:rFonts w:ascii="华文楷体" w:eastAsia="华文楷体" w:hAnsi="华文楷体"/>
          <w:sz w:val="22"/>
        </w:rPr>
        <w:t>货币政策难以紧缩、</w:t>
      </w:r>
      <w:r w:rsidR="00236D89" w:rsidRPr="00B36D5C">
        <w:rPr>
          <w:rFonts w:ascii="华文楷体" w:eastAsia="华文楷体" w:hAnsi="华文楷体" w:hint="eastAsia"/>
          <w:sz w:val="22"/>
        </w:rPr>
        <w:t>英国</w:t>
      </w:r>
      <w:proofErr w:type="gramStart"/>
      <w:r w:rsidR="00236D89" w:rsidRPr="00B36D5C">
        <w:rPr>
          <w:rFonts w:ascii="华文楷体" w:eastAsia="华文楷体" w:hAnsi="华文楷体" w:hint="eastAsia"/>
          <w:sz w:val="22"/>
        </w:rPr>
        <w:t>退欧</w:t>
      </w:r>
      <w:r w:rsidR="00236D89" w:rsidRPr="00B36D5C">
        <w:rPr>
          <w:rFonts w:ascii="华文楷体" w:eastAsia="华文楷体" w:hAnsi="华文楷体"/>
          <w:sz w:val="22"/>
        </w:rPr>
        <w:t>风险</w:t>
      </w:r>
      <w:proofErr w:type="gramEnd"/>
      <w:r w:rsidR="00236D89" w:rsidRPr="00B36D5C">
        <w:rPr>
          <w:rFonts w:ascii="华文楷体" w:eastAsia="华文楷体" w:hAnsi="华文楷体"/>
          <w:sz w:val="22"/>
        </w:rPr>
        <w:t>打击全球风险偏好</w:t>
      </w:r>
      <w:r w:rsidR="00E605B7" w:rsidRPr="00B36D5C">
        <w:rPr>
          <w:rFonts w:ascii="华文楷体" w:eastAsia="华文楷体" w:hAnsi="华文楷体"/>
          <w:sz w:val="22"/>
        </w:rPr>
        <w:t>，</w:t>
      </w:r>
      <w:r w:rsidR="00236D89" w:rsidRPr="00B36D5C">
        <w:rPr>
          <w:rFonts w:ascii="华文楷体" w:eastAsia="华文楷体" w:hAnsi="华文楷体" w:hint="eastAsia"/>
          <w:sz w:val="22"/>
        </w:rPr>
        <w:t>发达</w:t>
      </w:r>
      <w:r w:rsidR="00236D89" w:rsidRPr="00B36D5C">
        <w:rPr>
          <w:rFonts w:ascii="华文楷体" w:eastAsia="华文楷体" w:hAnsi="华文楷体"/>
          <w:sz w:val="22"/>
        </w:rPr>
        <w:t>国家长端国</w:t>
      </w:r>
      <w:r w:rsidR="002A442E" w:rsidRPr="00B36D5C">
        <w:rPr>
          <w:rFonts w:ascii="华文楷体" w:eastAsia="华文楷体" w:hAnsi="华文楷体" w:hint="eastAsia"/>
          <w:sz w:val="22"/>
        </w:rPr>
        <w:t>债收益率</w:t>
      </w:r>
      <w:r w:rsidRPr="00B36D5C">
        <w:rPr>
          <w:rFonts w:ascii="华文楷体" w:eastAsia="华文楷体" w:hAnsi="华文楷体" w:hint="eastAsia"/>
          <w:sz w:val="22"/>
        </w:rPr>
        <w:t>或</w:t>
      </w:r>
      <w:r w:rsidR="00236D89" w:rsidRPr="00B36D5C">
        <w:rPr>
          <w:rFonts w:ascii="华文楷体" w:eastAsia="华文楷体" w:hAnsi="华文楷体" w:hint="eastAsia"/>
          <w:sz w:val="22"/>
        </w:rPr>
        <w:t>保持</w:t>
      </w:r>
      <w:r w:rsidR="00236D89" w:rsidRPr="00B36D5C">
        <w:rPr>
          <w:rFonts w:ascii="华文楷体" w:eastAsia="华文楷体" w:hAnsi="华文楷体"/>
          <w:sz w:val="22"/>
        </w:rPr>
        <w:t>低位</w:t>
      </w:r>
      <w:r w:rsidR="002A442E" w:rsidRPr="00B36D5C">
        <w:rPr>
          <w:rFonts w:ascii="华文楷体" w:eastAsia="华文楷体" w:hAnsi="华文楷体" w:hint="eastAsia"/>
          <w:sz w:val="22"/>
        </w:rPr>
        <w:t>。</w:t>
      </w:r>
      <w:r w:rsidR="00236D89" w:rsidRPr="00B36D5C">
        <w:rPr>
          <w:rFonts w:ascii="华文楷体" w:eastAsia="华文楷体" w:hAnsi="华文楷体" w:hint="eastAsia"/>
          <w:sz w:val="22"/>
        </w:rPr>
        <w:t>未来</w:t>
      </w:r>
      <w:r w:rsidR="00236D89" w:rsidRPr="00B36D5C">
        <w:rPr>
          <w:rFonts w:ascii="华文楷体" w:eastAsia="华文楷体" w:hAnsi="华文楷体"/>
          <w:sz w:val="22"/>
        </w:rPr>
        <w:t>长端国债</w:t>
      </w:r>
      <w:r w:rsidR="00236D89" w:rsidRPr="00B36D5C">
        <w:rPr>
          <w:rFonts w:ascii="华文楷体" w:eastAsia="华文楷体" w:hAnsi="华文楷体" w:hint="eastAsia"/>
          <w:sz w:val="22"/>
        </w:rPr>
        <w:t>收益率</w:t>
      </w:r>
      <w:r w:rsidR="00236D89" w:rsidRPr="00B36D5C">
        <w:rPr>
          <w:rFonts w:ascii="华文楷体" w:eastAsia="华文楷体" w:hAnsi="华文楷体"/>
          <w:sz w:val="22"/>
        </w:rPr>
        <w:t>上行催化剂或来源于货币政策空间减少后</w:t>
      </w:r>
      <w:r w:rsidR="00236D89" w:rsidRPr="00B36D5C">
        <w:rPr>
          <w:rFonts w:ascii="华文楷体" w:eastAsia="华文楷体" w:hAnsi="华文楷体" w:hint="eastAsia"/>
          <w:sz w:val="22"/>
        </w:rPr>
        <w:t>各国</w:t>
      </w:r>
      <w:r w:rsidR="00236D89" w:rsidRPr="00B36D5C">
        <w:rPr>
          <w:rFonts w:ascii="华文楷体" w:eastAsia="华文楷体" w:hAnsi="华文楷体"/>
          <w:sz w:val="22"/>
        </w:rPr>
        <w:t>转向财政</w:t>
      </w:r>
      <w:r w:rsidR="00236D89" w:rsidRPr="00B36D5C">
        <w:rPr>
          <w:rFonts w:ascii="华文楷体" w:eastAsia="华文楷体" w:hAnsi="华文楷体" w:hint="eastAsia"/>
          <w:sz w:val="22"/>
        </w:rPr>
        <w:t>政策</w:t>
      </w:r>
      <w:r w:rsidR="00236D89" w:rsidRPr="00B36D5C">
        <w:rPr>
          <w:rFonts w:ascii="华文楷体" w:eastAsia="华文楷体" w:hAnsi="华文楷体"/>
          <w:sz w:val="22"/>
        </w:rPr>
        <w:t>刺激，2016年仅有日本存在这一可能</w:t>
      </w:r>
      <w:r w:rsidR="00236D89" w:rsidRPr="00B36D5C">
        <w:rPr>
          <w:rFonts w:ascii="华文楷体" w:eastAsia="华文楷体" w:hAnsi="华文楷体" w:hint="eastAsia"/>
          <w:sz w:val="22"/>
        </w:rPr>
        <w:t>，</w:t>
      </w:r>
      <w:r w:rsidR="00236D89" w:rsidRPr="00B36D5C">
        <w:rPr>
          <w:rFonts w:ascii="华文楷体" w:eastAsia="华文楷体" w:hAnsi="华文楷体"/>
          <w:sz w:val="22"/>
        </w:rPr>
        <w:t>其余发达国家</w:t>
      </w:r>
      <w:r w:rsidR="00236D89" w:rsidRPr="00B36D5C">
        <w:rPr>
          <w:rFonts w:ascii="华文楷体" w:eastAsia="华文楷体" w:hAnsi="华文楷体" w:hint="eastAsia"/>
          <w:sz w:val="22"/>
        </w:rPr>
        <w:t>在</w:t>
      </w:r>
      <w:r w:rsidR="00236D89" w:rsidRPr="00B36D5C">
        <w:rPr>
          <w:rFonts w:ascii="华文楷体" w:eastAsia="华文楷体" w:hAnsi="华文楷体"/>
          <w:sz w:val="22"/>
        </w:rPr>
        <w:t>2017年政府</w:t>
      </w:r>
      <w:r w:rsidR="00236D89" w:rsidRPr="00B36D5C">
        <w:rPr>
          <w:rFonts w:ascii="华文楷体" w:eastAsia="华文楷体" w:hAnsi="华文楷体" w:hint="eastAsia"/>
          <w:sz w:val="22"/>
        </w:rPr>
        <w:t>完成换届</w:t>
      </w:r>
      <w:r w:rsidR="00236D89" w:rsidRPr="00B36D5C">
        <w:rPr>
          <w:rFonts w:ascii="华文楷体" w:eastAsia="华文楷体" w:hAnsi="华文楷体"/>
          <w:sz w:val="22"/>
        </w:rPr>
        <w:t>后</w:t>
      </w:r>
      <w:r w:rsidR="00236D89" w:rsidRPr="00B36D5C">
        <w:rPr>
          <w:rFonts w:ascii="华文楷体" w:eastAsia="华文楷体" w:hAnsi="华文楷体" w:hint="eastAsia"/>
          <w:sz w:val="22"/>
        </w:rPr>
        <w:t>财政</w:t>
      </w:r>
      <w:r w:rsidR="00236D89" w:rsidRPr="00B36D5C">
        <w:rPr>
          <w:rFonts w:ascii="华文楷体" w:eastAsia="华文楷体" w:hAnsi="华文楷体"/>
          <w:sz w:val="22"/>
        </w:rPr>
        <w:t>刺激空间</w:t>
      </w:r>
      <w:r w:rsidR="00236D89" w:rsidRPr="00B36D5C">
        <w:rPr>
          <w:rFonts w:ascii="华文楷体" w:eastAsia="华文楷体" w:hAnsi="华文楷体" w:hint="eastAsia"/>
          <w:sz w:val="22"/>
        </w:rPr>
        <w:t>才会</w:t>
      </w:r>
      <w:r w:rsidR="00236D89" w:rsidRPr="00B36D5C">
        <w:rPr>
          <w:rFonts w:ascii="华文楷体" w:eastAsia="华文楷体" w:hAnsi="华文楷体"/>
          <w:sz w:val="22"/>
        </w:rPr>
        <w:t>出现</w:t>
      </w:r>
      <w:r w:rsidR="00236D89" w:rsidRPr="00B36D5C">
        <w:rPr>
          <w:rFonts w:ascii="华文楷体" w:eastAsia="华文楷体" w:hAnsi="华文楷体" w:hint="eastAsia"/>
          <w:sz w:val="22"/>
        </w:rPr>
        <w:t>。</w:t>
      </w:r>
      <w:r w:rsidR="00D07DF3" w:rsidRPr="00B36D5C">
        <w:rPr>
          <w:rFonts w:ascii="华文楷体" w:eastAsia="华文楷体" w:hAnsi="华文楷体" w:hint="eastAsia"/>
          <w:sz w:val="22"/>
        </w:rPr>
        <w:t>发达</w:t>
      </w:r>
      <w:r w:rsidR="00D07DF3" w:rsidRPr="00B36D5C">
        <w:rPr>
          <w:rFonts w:ascii="华文楷体" w:eastAsia="华文楷体" w:hAnsi="华文楷体"/>
          <w:sz w:val="22"/>
        </w:rPr>
        <w:t>国家长债收益率的稳定将</w:t>
      </w:r>
      <w:r w:rsidR="00D07DF3" w:rsidRPr="00B36D5C">
        <w:rPr>
          <w:rFonts w:ascii="华文楷体" w:eastAsia="华文楷体" w:hAnsi="华文楷体" w:hint="eastAsia"/>
          <w:sz w:val="22"/>
        </w:rPr>
        <w:t>消除新兴</w:t>
      </w:r>
      <w:r w:rsidR="00D07DF3" w:rsidRPr="00B36D5C">
        <w:rPr>
          <w:rFonts w:ascii="华文楷体" w:eastAsia="华文楷体" w:hAnsi="华文楷体"/>
          <w:sz w:val="22"/>
        </w:rPr>
        <w:t>市场</w:t>
      </w:r>
      <w:r w:rsidR="00D07DF3" w:rsidRPr="00B36D5C">
        <w:rPr>
          <w:rFonts w:ascii="华文楷体" w:eastAsia="华文楷体" w:hAnsi="华文楷体" w:hint="eastAsia"/>
          <w:sz w:val="22"/>
        </w:rPr>
        <w:t>大规模</w:t>
      </w:r>
      <w:r w:rsidR="00D07DF3" w:rsidRPr="00B36D5C">
        <w:rPr>
          <w:rFonts w:ascii="华文楷体" w:eastAsia="华文楷体" w:hAnsi="华文楷体"/>
          <w:sz w:val="22"/>
        </w:rPr>
        <w:t>资本外流风险。</w:t>
      </w:r>
    </w:p>
    <w:p w14:paraId="77E90813" w14:textId="6CBCF2F5" w:rsidR="00236D89" w:rsidRDefault="00FB0ADE" w:rsidP="00760B01">
      <w:pPr>
        <w:numPr>
          <w:ilvl w:val="0"/>
          <w:numId w:val="24"/>
        </w:numPr>
        <w:adjustRightInd w:val="0"/>
        <w:snapToGrid w:val="0"/>
        <w:rPr>
          <w:rFonts w:ascii="华文楷体" w:eastAsia="华文楷体" w:hAnsi="华文楷体"/>
          <w:sz w:val="22"/>
        </w:rPr>
      </w:pPr>
      <w:proofErr w:type="gramStart"/>
      <w:r w:rsidRPr="00B36D5C">
        <w:rPr>
          <w:rFonts w:ascii="华文楷体" w:eastAsia="华文楷体" w:hAnsi="华文楷体" w:hint="eastAsia"/>
          <w:b/>
          <w:sz w:val="22"/>
        </w:rPr>
        <w:t>英国退欧</w:t>
      </w:r>
      <w:r w:rsidR="002A442E" w:rsidRPr="00B36D5C">
        <w:rPr>
          <w:rFonts w:ascii="华文楷体" w:eastAsia="华文楷体" w:hAnsi="华文楷体" w:hint="eastAsia"/>
          <w:b/>
          <w:sz w:val="22"/>
        </w:rPr>
        <w:t>问题</w:t>
      </w:r>
      <w:proofErr w:type="gramEnd"/>
      <w:r w:rsidR="00F9328F" w:rsidRPr="00B36D5C">
        <w:rPr>
          <w:rFonts w:ascii="华文楷体" w:eastAsia="华文楷体" w:hAnsi="华文楷体"/>
          <w:b/>
          <w:sz w:val="22"/>
        </w:rPr>
        <w:t>风险</w:t>
      </w:r>
      <w:r w:rsidR="00AF0AC7" w:rsidRPr="00B36D5C">
        <w:rPr>
          <w:rFonts w:ascii="华文楷体" w:eastAsia="华文楷体" w:hAnsi="华文楷体" w:hint="eastAsia"/>
          <w:b/>
          <w:sz w:val="22"/>
        </w:rPr>
        <w:t>仍</w:t>
      </w:r>
      <w:r w:rsidR="00AF0AC7" w:rsidRPr="00B36D5C">
        <w:rPr>
          <w:rFonts w:ascii="华文楷体" w:eastAsia="华文楷体" w:hAnsi="华文楷体"/>
          <w:b/>
          <w:sz w:val="22"/>
        </w:rPr>
        <w:t>未被市场完全消化</w:t>
      </w:r>
      <w:r w:rsidR="00B355B0" w:rsidRPr="00B36D5C">
        <w:rPr>
          <w:rFonts w:ascii="华文楷体" w:eastAsia="华文楷体" w:hAnsi="华文楷体" w:hint="eastAsia"/>
          <w:b/>
          <w:sz w:val="22"/>
        </w:rPr>
        <w:t>：</w:t>
      </w:r>
      <w:r w:rsidR="00236D89" w:rsidRPr="00B36D5C">
        <w:rPr>
          <w:rFonts w:ascii="华文楷体" w:eastAsia="华文楷体" w:hAnsi="华文楷体" w:hint="eastAsia"/>
          <w:sz w:val="22"/>
        </w:rPr>
        <w:t>目前</w:t>
      </w:r>
      <w:proofErr w:type="gramStart"/>
      <w:r w:rsidR="00236D89" w:rsidRPr="00B36D5C">
        <w:rPr>
          <w:rFonts w:ascii="华文楷体" w:eastAsia="华文楷体" w:hAnsi="华文楷体" w:hint="eastAsia"/>
          <w:sz w:val="22"/>
        </w:rPr>
        <w:t>英国退欧公</w:t>
      </w:r>
      <w:proofErr w:type="gramEnd"/>
      <w:r w:rsidR="00236D89" w:rsidRPr="00B36D5C">
        <w:rPr>
          <w:rFonts w:ascii="华文楷体" w:eastAsia="华文楷体" w:hAnsi="华文楷体" w:hint="eastAsia"/>
          <w:sz w:val="22"/>
        </w:rPr>
        <w:t>投结果已确定</w:t>
      </w:r>
      <w:proofErr w:type="gramStart"/>
      <w:r w:rsidR="00236D89" w:rsidRPr="00B36D5C">
        <w:rPr>
          <w:rFonts w:ascii="华文楷体" w:eastAsia="华文楷体" w:hAnsi="华文楷体" w:hint="eastAsia"/>
          <w:sz w:val="22"/>
        </w:rPr>
        <w:t>为离开</w:t>
      </w:r>
      <w:proofErr w:type="gramEnd"/>
      <w:r w:rsidR="00236D89" w:rsidRPr="00B36D5C">
        <w:rPr>
          <w:rFonts w:ascii="华文楷体" w:eastAsia="华文楷体" w:hAnsi="华文楷体" w:hint="eastAsia"/>
          <w:sz w:val="22"/>
        </w:rPr>
        <w:t>欧盟，英国政界无法否决公投结果，在没有必胜把握下也难以发动二次公投；里斯本条约</w:t>
      </w:r>
      <w:r w:rsidR="00236D89" w:rsidRPr="00B36D5C">
        <w:rPr>
          <w:rFonts w:ascii="华文楷体" w:eastAsia="华文楷体" w:hAnsi="华文楷体"/>
          <w:sz w:val="22"/>
        </w:rPr>
        <w:t>50条款启动后最慢2年之内英国将</w:t>
      </w:r>
      <w:proofErr w:type="gramStart"/>
      <w:r w:rsidR="00236D89" w:rsidRPr="00B36D5C">
        <w:rPr>
          <w:rFonts w:ascii="华文楷体" w:eastAsia="华文楷体" w:hAnsi="华文楷体" w:hint="eastAsia"/>
          <w:sz w:val="22"/>
        </w:rPr>
        <w:t>完成退欧进程</w:t>
      </w:r>
      <w:proofErr w:type="gramEnd"/>
      <w:r w:rsidR="00236D89" w:rsidRPr="00B36D5C">
        <w:rPr>
          <w:rFonts w:ascii="华文楷体" w:eastAsia="华文楷体" w:hAnsi="华文楷体" w:hint="eastAsia"/>
          <w:sz w:val="22"/>
        </w:rPr>
        <w:t>，欧盟已施压英国希望尽快启动以减少不确定性。由于英国</w:t>
      </w:r>
      <w:proofErr w:type="gramStart"/>
      <w:r w:rsidR="00236D89" w:rsidRPr="00B36D5C">
        <w:rPr>
          <w:rFonts w:ascii="华文楷体" w:eastAsia="华文楷体" w:hAnsi="华文楷体" w:hint="eastAsia"/>
          <w:sz w:val="22"/>
        </w:rPr>
        <w:t>退欧损失</w:t>
      </w:r>
      <w:proofErr w:type="gramEnd"/>
      <w:r w:rsidR="00236D89" w:rsidRPr="00B36D5C">
        <w:rPr>
          <w:rFonts w:ascii="华文楷体" w:eastAsia="华文楷体" w:hAnsi="华文楷体" w:hint="eastAsia"/>
          <w:sz w:val="22"/>
        </w:rPr>
        <w:t>较大且欧盟主要成员强硬应对，短期在欧盟内部不易产生示范效果，因此目前</w:t>
      </w:r>
      <w:proofErr w:type="gramStart"/>
      <w:r w:rsidR="00236D89" w:rsidRPr="00B36D5C">
        <w:rPr>
          <w:rFonts w:ascii="华文楷体" w:eastAsia="华文楷体" w:hAnsi="华文楷体" w:hint="eastAsia"/>
          <w:sz w:val="22"/>
        </w:rPr>
        <w:t>英国退欧的</w:t>
      </w:r>
      <w:proofErr w:type="gramEnd"/>
      <w:r w:rsidR="00236D89" w:rsidRPr="00B36D5C">
        <w:rPr>
          <w:rFonts w:ascii="华文楷体" w:eastAsia="华文楷体" w:hAnsi="华文楷体" w:hint="eastAsia"/>
          <w:sz w:val="22"/>
        </w:rPr>
        <w:t>政治风险不易传播，影响将主要体现在经济和金融活动中。英国的经济体量不足全球经济的</w:t>
      </w:r>
      <w:r w:rsidR="00236D89" w:rsidRPr="00B36D5C">
        <w:rPr>
          <w:rFonts w:ascii="华文楷体" w:eastAsia="华文楷体" w:hAnsi="华文楷体"/>
          <w:sz w:val="22"/>
        </w:rPr>
        <w:t>5%，但承担了全球40%的金融交易，英国</w:t>
      </w:r>
      <w:proofErr w:type="gramStart"/>
      <w:r w:rsidR="00236D89" w:rsidRPr="00B36D5C">
        <w:rPr>
          <w:rFonts w:ascii="华文楷体" w:eastAsia="华文楷体" w:hAnsi="华文楷体" w:hint="eastAsia"/>
          <w:sz w:val="22"/>
        </w:rPr>
        <w:t>退欧将</w:t>
      </w:r>
      <w:proofErr w:type="gramEnd"/>
      <w:r w:rsidR="00236D89" w:rsidRPr="00B36D5C">
        <w:rPr>
          <w:rFonts w:ascii="华文楷体" w:eastAsia="华文楷体" w:hAnsi="华文楷体" w:hint="eastAsia"/>
          <w:sz w:val="22"/>
        </w:rPr>
        <w:t>打击全球贸易和金融市场，使得市场流动性下降、交易成本上升、机构杠杆率下降、融资和重组活动减少，企业部门和居民部门投资意愿下降，欧洲房地产活动承压，加速欧洲经济下半年的放缓。作为全球最大经济体，欧元区经济复苏的结束是市场尚未充分反映的风险。</w:t>
      </w:r>
    </w:p>
    <w:p w14:paraId="1F9B9337" w14:textId="267D76E1" w:rsidR="0060033A" w:rsidRDefault="0060033A" w:rsidP="00855239">
      <w:pPr>
        <w:adjustRightInd w:val="0"/>
        <w:snapToGrid w:val="0"/>
        <w:rPr>
          <w:rFonts w:ascii="华文楷体" w:eastAsia="华文楷体" w:hAnsi="华文楷体"/>
          <w:sz w:val="22"/>
        </w:rPr>
      </w:pPr>
    </w:p>
    <w:p w14:paraId="6877E34D" w14:textId="566973FD" w:rsidR="0060033A" w:rsidRPr="00B36D5C" w:rsidRDefault="0060033A" w:rsidP="00855239">
      <w:pPr>
        <w:adjustRightInd w:val="0"/>
        <w:snapToGrid w:val="0"/>
        <w:rPr>
          <w:rFonts w:ascii="华文楷体" w:eastAsia="华文楷体" w:hAnsi="华文楷体"/>
          <w:sz w:val="22"/>
        </w:rPr>
      </w:pPr>
    </w:p>
    <w:p w14:paraId="5F68D063" w14:textId="27B36B42" w:rsidR="002A442E" w:rsidRPr="00B36D5C" w:rsidRDefault="002A442E" w:rsidP="00760B01">
      <w:pPr>
        <w:numPr>
          <w:ilvl w:val="0"/>
          <w:numId w:val="24"/>
        </w:numPr>
        <w:adjustRightInd w:val="0"/>
        <w:snapToGrid w:val="0"/>
        <w:rPr>
          <w:rFonts w:ascii="华文楷体" w:eastAsia="华文楷体" w:hAnsi="华文楷体"/>
          <w:sz w:val="22"/>
        </w:rPr>
      </w:pPr>
      <w:r w:rsidRPr="00B36D5C">
        <w:rPr>
          <w:rFonts w:ascii="华文楷体" w:eastAsia="华文楷体" w:hAnsi="华文楷体" w:hint="eastAsia"/>
          <w:b/>
          <w:sz w:val="22"/>
        </w:rPr>
        <w:t>油价</w:t>
      </w:r>
      <w:r w:rsidR="00AF0AC7" w:rsidRPr="00B36D5C">
        <w:rPr>
          <w:rFonts w:ascii="华文楷体" w:eastAsia="华文楷体" w:hAnsi="华文楷体" w:hint="eastAsia"/>
          <w:b/>
          <w:sz w:val="22"/>
        </w:rPr>
        <w:t>无法保持</w:t>
      </w:r>
      <w:r w:rsidR="00AF0AC7" w:rsidRPr="00B36D5C">
        <w:rPr>
          <w:rFonts w:ascii="华文楷体" w:eastAsia="华文楷体" w:hAnsi="华文楷体"/>
          <w:b/>
          <w:sz w:val="22"/>
        </w:rPr>
        <w:t>在目前水平</w:t>
      </w:r>
      <w:r w:rsidR="00E605B7" w:rsidRPr="00B36D5C">
        <w:rPr>
          <w:rFonts w:ascii="华文楷体" w:eastAsia="华文楷体" w:hAnsi="华文楷体"/>
          <w:b/>
          <w:sz w:val="22"/>
        </w:rPr>
        <w:t>：</w:t>
      </w:r>
      <w:r w:rsidR="00AF0AC7" w:rsidRPr="00B36D5C">
        <w:rPr>
          <w:rFonts w:ascii="华文楷体" w:eastAsia="华文楷体" w:hAnsi="华文楷体" w:hint="eastAsia"/>
          <w:sz w:val="22"/>
        </w:rPr>
        <w:t>原油价格大概率已经见顶，</w:t>
      </w:r>
      <w:r w:rsidR="00236D89" w:rsidRPr="00B36D5C">
        <w:rPr>
          <w:rFonts w:ascii="华文楷体" w:eastAsia="华文楷体" w:hAnsi="华文楷体" w:hint="eastAsia"/>
          <w:sz w:val="22"/>
        </w:rPr>
        <w:t>目前</w:t>
      </w:r>
      <w:r w:rsidR="00AF0AC7" w:rsidRPr="00B36D5C">
        <w:rPr>
          <w:rFonts w:ascii="华文楷体" w:eastAsia="华文楷体" w:hAnsi="华文楷体" w:hint="eastAsia"/>
          <w:sz w:val="22"/>
        </w:rPr>
        <w:t>全球油品消费旺季已完成大半，前期中东、非洲与北美大量断供原油供给回归市场，美国页岩油复产，原油价格可能面临</w:t>
      </w:r>
      <w:r w:rsidR="00AF0AC7" w:rsidRPr="00B36D5C">
        <w:rPr>
          <w:rFonts w:ascii="华文楷体" w:eastAsia="华文楷体" w:hAnsi="华文楷体"/>
          <w:sz w:val="22"/>
        </w:rPr>
        <w:t>20%左右的调整幅度。</w:t>
      </w:r>
    </w:p>
    <w:p w14:paraId="530F50D0" w14:textId="7BBE61A7" w:rsidR="00E9701A" w:rsidRDefault="00E9701A" w:rsidP="00B6162A">
      <w:pPr>
        <w:rPr>
          <w:rFonts w:ascii="华文楷体" w:eastAsia="华文楷体" w:hAnsi="华文楷体"/>
          <w:b/>
        </w:rPr>
      </w:pPr>
    </w:p>
    <w:p w14:paraId="5D17998B" w14:textId="77777777" w:rsidR="00091E19" w:rsidRPr="00091E19" w:rsidRDefault="00091E19" w:rsidP="00B6162A">
      <w:pPr>
        <w:rPr>
          <w:rFonts w:ascii="华文楷体" w:eastAsia="华文楷体" w:hAnsi="华文楷体" w:hint="eastAsia"/>
          <w:b/>
        </w:rPr>
      </w:pPr>
    </w:p>
    <w:p w14:paraId="0D9C1627" w14:textId="2FCF4929" w:rsidR="00D46092" w:rsidRPr="005509A8" w:rsidRDefault="00D46092" w:rsidP="00D46092">
      <w:pPr>
        <w:rPr>
          <w:rFonts w:ascii="华文楷体" w:eastAsia="华文楷体" w:hAnsi="华文楷体"/>
          <w:b/>
          <w:sz w:val="28"/>
          <w:szCs w:val="28"/>
        </w:rPr>
      </w:pPr>
      <w:r w:rsidRPr="005509A8">
        <w:rPr>
          <w:rFonts w:ascii="华文楷体" w:eastAsia="华文楷体" w:hAnsi="华文楷体" w:hint="eastAsia"/>
          <w:b/>
          <w:sz w:val="28"/>
          <w:szCs w:val="28"/>
        </w:rPr>
        <w:t>三、中国股票市场展望及配置建议</w:t>
      </w:r>
    </w:p>
    <w:p w14:paraId="380AA0CC" w14:textId="3E366CF5" w:rsidR="00D46092" w:rsidRPr="005509A8" w:rsidRDefault="00FB1D14" w:rsidP="00D46092">
      <w:pPr>
        <w:rPr>
          <w:rFonts w:ascii="华文楷体" w:eastAsia="华文楷体" w:hAnsi="华文楷体"/>
        </w:rPr>
      </w:pPr>
      <w:r>
        <w:rPr>
          <w:rFonts w:ascii="华文楷体" w:eastAsia="华文楷体" w:hAnsi="华文楷体"/>
          <w:noProof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 wp14:anchorId="29B9BBB4" wp14:editId="309E175B">
                <wp:simplePos x="0" y="0"/>
                <wp:positionH relativeFrom="margin">
                  <wp:align>left</wp:align>
                </wp:positionH>
                <wp:positionV relativeFrom="paragraph">
                  <wp:posOffset>27940</wp:posOffset>
                </wp:positionV>
                <wp:extent cx="5260340" cy="0"/>
                <wp:effectExtent l="0" t="19050" r="35560" b="19050"/>
                <wp:wrapNone/>
                <wp:docPr id="3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60340" cy="0"/>
                        </a:xfrm>
                        <a:prstGeom prst="straightConnector1">
                          <a:avLst/>
                        </a:prstGeom>
                        <a:noFill/>
                        <a:ln w="44450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3B39DC" id="AutoShape 13" o:spid="_x0000_s1026" type="#_x0000_t32" style="position:absolute;left:0;text-align:left;margin-left:0;margin-top:2.2pt;width:414.2pt;height:0;z-index:251665408;visibility:visible;mso-wrap-style:square;mso-width-percent:0;mso-height-percent:0;mso-wrap-distance-left:9pt;mso-wrap-distance-top:-3e-5mm;mso-wrap-distance-right:9pt;mso-wrap-distance-bottom:-3e-5mm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" strokecolor="#4f81bd" strokeweight="3.5pt">
                <w10:wrap anchorx="margin"/>
              </v:shape>
            </w:pict>
          </mc:Fallback>
        </mc:AlternateContent>
      </w:r>
    </w:p>
    <w:p w14:paraId="0AC788A8" w14:textId="45DFC7C3" w:rsidR="000D0B71" w:rsidRPr="000D0B71" w:rsidRDefault="00D46092" w:rsidP="000D0B71">
      <w:pPr>
        <w:pStyle w:val="a7"/>
        <w:numPr>
          <w:ilvl w:val="0"/>
          <w:numId w:val="20"/>
        </w:numPr>
        <w:ind w:firstLineChars="0"/>
        <w:rPr>
          <w:rFonts w:ascii="华文楷体" w:eastAsia="华文楷体" w:hAnsi="华文楷体"/>
          <w:b/>
          <w:sz w:val="22"/>
        </w:rPr>
      </w:pPr>
      <w:r w:rsidRPr="005509A8">
        <w:rPr>
          <w:rFonts w:ascii="华文楷体" w:eastAsia="华文楷体" w:hAnsi="华文楷体" w:hint="eastAsia"/>
          <w:b/>
          <w:sz w:val="22"/>
        </w:rPr>
        <w:t>市场整体判断：</w:t>
      </w:r>
      <w:r w:rsidR="00671A5E">
        <w:rPr>
          <w:rFonts w:ascii="华文楷体" w:eastAsia="华文楷体" w:hAnsi="华文楷体" w:hint="eastAsia"/>
          <w:b/>
          <w:sz w:val="22"/>
        </w:rPr>
        <w:t>存量</w:t>
      </w:r>
      <w:r w:rsidR="00671A5E">
        <w:rPr>
          <w:rFonts w:ascii="华文楷体" w:eastAsia="华文楷体" w:hAnsi="华文楷体"/>
          <w:b/>
          <w:sz w:val="22"/>
        </w:rPr>
        <w:t>博弈的格局未变，把握结构性机会</w:t>
      </w:r>
      <w:r w:rsidR="00671A5E" w:rsidRPr="005509A8" w:rsidDel="00671A5E">
        <w:rPr>
          <w:rFonts w:ascii="华文楷体" w:eastAsia="华文楷体" w:hAnsi="华文楷体" w:hint="eastAsia"/>
          <w:b/>
          <w:sz w:val="22"/>
        </w:rPr>
        <w:t xml:space="preserve"> </w:t>
      </w:r>
    </w:p>
    <w:p w14:paraId="23D240A4" w14:textId="0A3A6752" w:rsidR="000D0B71" w:rsidRDefault="00671A5E" w:rsidP="00B36D5C">
      <w:pPr>
        <w:pStyle w:val="a7"/>
        <w:numPr>
          <w:ilvl w:val="0"/>
          <w:numId w:val="20"/>
        </w:numPr>
        <w:ind w:firstLineChars="0"/>
        <w:rPr>
          <w:rFonts w:ascii="华文楷体" w:eastAsia="华文楷体" w:hAnsi="华文楷体"/>
          <w:sz w:val="22"/>
        </w:rPr>
      </w:pPr>
      <w:r>
        <w:rPr>
          <w:rFonts w:ascii="华文楷体" w:eastAsia="华文楷体" w:hAnsi="华文楷体" w:hint="eastAsia"/>
          <w:b/>
          <w:sz w:val="22"/>
          <w:lang w:val="en-GB"/>
        </w:rPr>
        <w:t>指数震荡的</w:t>
      </w:r>
      <w:r>
        <w:rPr>
          <w:rFonts w:ascii="华文楷体" w:eastAsia="华文楷体" w:hAnsi="华文楷体"/>
          <w:b/>
          <w:sz w:val="22"/>
          <w:lang w:val="en-GB"/>
        </w:rPr>
        <w:t>格局</w:t>
      </w:r>
      <w:r>
        <w:rPr>
          <w:rFonts w:ascii="华文楷体" w:eastAsia="华文楷体" w:hAnsi="华文楷体" w:hint="eastAsia"/>
          <w:b/>
          <w:sz w:val="22"/>
          <w:lang w:val="en-GB"/>
        </w:rPr>
        <w:t>将</w:t>
      </w:r>
      <w:r>
        <w:rPr>
          <w:rFonts w:ascii="华文楷体" w:eastAsia="华文楷体" w:hAnsi="华文楷体"/>
          <w:b/>
          <w:sz w:val="22"/>
          <w:lang w:val="en-GB"/>
        </w:rPr>
        <w:t>在下半年延续</w:t>
      </w:r>
      <w:r w:rsidR="007F06A7">
        <w:rPr>
          <w:rFonts w:ascii="华文楷体" w:eastAsia="华文楷体" w:hAnsi="华文楷体" w:hint="eastAsia"/>
          <w:b/>
          <w:sz w:val="22"/>
        </w:rPr>
        <w:t>：</w:t>
      </w:r>
    </w:p>
    <w:p w14:paraId="5406A27A" w14:textId="73BF566F" w:rsidR="008E62B8" w:rsidRPr="008E62B8" w:rsidRDefault="00C2575E" w:rsidP="00695428">
      <w:pPr>
        <w:numPr>
          <w:ilvl w:val="0"/>
          <w:numId w:val="24"/>
        </w:numPr>
        <w:adjustRightInd w:val="0"/>
        <w:snapToGrid w:val="0"/>
        <w:rPr>
          <w:rFonts w:ascii="华文楷体" w:eastAsia="华文楷体" w:hAnsi="华文楷体"/>
          <w:sz w:val="22"/>
        </w:rPr>
      </w:pPr>
      <w:r>
        <w:rPr>
          <w:rFonts w:ascii="华文楷体" w:eastAsia="华文楷体" w:hAnsi="华文楷体" w:hint="eastAsia"/>
          <w:b/>
          <w:sz w:val="22"/>
        </w:rPr>
        <w:t>市场大概率</w:t>
      </w:r>
      <w:r>
        <w:rPr>
          <w:rFonts w:ascii="华文楷体" w:eastAsia="华文楷体" w:hAnsi="华文楷体"/>
          <w:b/>
          <w:sz w:val="22"/>
        </w:rPr>
        <w:t>维持存量博弈格局</w:t>
      </w:r>
      <w:r w:rsidR="00BE6AB1" w:rsidRPr="00BE6AB1">
        <w:rPr>
          <w:rFonts w:ascii="华文楷体" w:eastAsia="华文楷体" w:hAnsi="华文楷体" w:hint="eastAsia"/>
          <w:b/>
          <w:sz w:val="22"/>
        </w:rPr>
        <w:t>：</w:t>
      </w:r>
      <w:r w:rsidR="00066801">
        <w:rPr>
          <w:rFonts w:ascii="华文楷体" w:eastAsia="华文楷体" w:hAnsi="华文楷体"/>
          <w:sz w:val="22"/>
        </w:rPr>
        <w:t>下半年</w:t>
      </w:r>
      <w:r w:rsidR="00066801">
        <w:rPr>
          <w:rFonts w:ascii="华文楷体" w:eastAsia="华文楷体" w:hAnsi="华文楷体" w:hint="eastAsia"/>
          <w:sz w:val="22"/>
        </w:rPr>
        <w:t>经济</w:t>
      </w:r>
      <w:r w:rsidR="000A372D">
        <w:rPr>
          <w:rFonts w:ascii="华文楷体" w:eastAsia="华文楷体" w:hAnsi="华文楷体"/>
          <w:sz w:val="22"/>
        </w:rPr>
        <w:t>大体走</w:t>
      </w:r>
      <w:r w:rsidR="000A372D">
        <w:rPr>
          <w:rFonts w:ascii="华文楷体" w:eastAsia="华文楷体" w:hAnsi="华文楷体" w:hint="eastAsia"/>
          <w:sz w:val="22"/>
        </w:rPr>
        <w:t>平，</w:t>
      </w:r>
      <w:r w:rsidR="000A372D">
        <w:rPr>
          <w:rFonts w:ascii="华文楷体" w:eastAsia="华文楷体" w:hAnsi="华文楷体"/>
          <w:sz w:val="22"/>
        </w:rPr>
        <w:t>通胀对</w:t>
      </w:r>
      <w:r w:rsidR="000A372D">
        <w:rPr>
          <w:rFonts w:ascii="华文楷体" w:eastAsia="华文楷体" w:hAnsi="华文楷体" w:hint="eastAsia"/>
          <w:sz w:val="22"/>
        </w:rPr>
        <w:t>货币</w:t>
      </w:r>
      <w:r w:rsidR="000A372D">
        <w:rPr>
          <w:rFonts w:ascii="华文楷体" w:eastAsia="华文楷体" w:hAnsi="华文楷体"/>
          <w:sz w:val="22"/>
        </w:rPr>
        <w:t>政策制约不大</w:t>
      </w:r>
      <w:r w:rsidR="000A372D">
        <w:rPr>
          <w:rFonts w:ascii="华文楷体" w:eastAsia="华文楷体" w:hAnsi="华文楷体" w:hint="eastAsia"/>
          <w:sz w:val="22"/>
        </w:rPr>
        <w:t>，来自</w:t>
      </w:r>
      <w:r w:rsidR="000A372D">
        <w:rPr>
          <w:rFonts w:ascii="华文楷体" w:eastAsia="华文楷体" w:hAnsi="华文楷体"/>
          <w:sz w:val="22"/>
        </w:rPr>
        <w:t>国内的宏观面</w:t>
      </w:r>
      <w:r w:rsidR="000A372D">
        <w:rPr>
          <w:rFonts w:ascii="华文楷体" w:eastAsia="华文楷体" w:hAnsi="华文楷体" w:hint="eastAsia"/>
          <w:sz w:val="22"/>
        </w:rPr>
        <w:t>和</w:t>
      </w:r>
      <w:r w:rsidR="000A372D">
        <w:rPr>
          <w:rFonts w:ascii="华文楷体" w:eastAsia="华文楷体" w:hAnsi="华文楷体"/>
          <w:sz w:val="22"/>
        </w:rPr>
        <w:t>政策面</w:t>
      </w:r>
      <w:r w:rsidR="00835CF6">
        <w:rPr>
          <w:rFonts w:ascii="华文楷体" w:eastAsia="华文楷体" w:hAnsi="华文楷体"/>
          <w:sz w:val="22"/>
        </w:rPr>
        <w:t>风险</w:t>
      </w:r>
      <w:r w:rsidR="00835CF6">
        <w:rPr>
          <w:rFonts w:ascii="华文楷体" w:eastAsia="华文楷体" w:hAnsi="华文楷体" w:hint="eastAsia"/>
          <w:sz w:val="22"/>
        </w:rPr>
        <w:t>有限</w:t>
      </w:r>
      <w:r w:rsidR="00695428">
        <w:rPr>
          <w:rFonts w:ascii="华文楷体" w:eastAsia="华文楷体" w:hAnsi="华文楷体" w:hint="eastAsia"/>
          <w:sz w:val="22"/>
        </w:rPr>
        <w:t>。</w:t>
      </w:r>
      <w:r w:rsidR="00B47494">
        <w:rPr>
          <w:rFonts w:ascii="华文楷体" w:eastAsia="华文楷体" w:hAnsi="华文楷体" w:hint="eastAsia"/>
          <w:sz w:val="22"/>
        </w:rPr>
        <w:t>不过</w:t>
      </w:r>
      <w:r w:rsidR="00B47494">
        <w:rPr>
          <w:rFonts w:ascii="华文楷体" w:eastAsia="华文楷体" w:hAnsi="华文楷体"/>
          <w:sz w:val="22"/>
        </w:rPr>
        <w:t>，</w:t>
      </w:r>
      <w:r w:rsidR="00B47494">
        <w:rPr>
          <w:rFonts w:ascii="华文楷体" w:eastAsia="华文楷体" w:hAnsi="华文楷体" w:hint="eastAsia"/>
          <w:sz w:val="22"/>
        </w:rPr>
        <w:t>鉴于</w:t>
      </w:r>
      <w:r w:rsidR="000A372D">
        <w:rPr>
          <w:rFonts w:ascii="华文楷体" w:eastAsia="华文楷体" w:hAnsi="华文楷体" w:hint="eastAsia"/>
          <w:sz w:val="22"/>
        </w:rPr>
        <w:t>一方面</w:t>
      </w:r>
      <w:r w:rsidR="000A372D">
        <w:rPr>
          <w:rFonts w:ascii="华文楷体" w:eastAsia="华文楷体" w:hAnsi="华文楷体"/>
          <w:sz w:val="22"/>
        </w:rPr>
        <w:t>，改革预期将</w:t>
      </w:r>
      <w:r w:rsidR="000A372D">
        <w:rPr>
          <w:rFonts w:ascii="华文楷体" w:eastAsia="华文楷体" w:hAnsi="华文楷体" w:hint="eastAsia"/>
          <w:sz w:val="22"/>
        </w:rPr>
        <w:t>反复</w:t>
      </w:r>
      <w:r w:rsidR="000A372D">
        <w:rPr>
          <w:rFonts w:ascii="华文楷体" w:eastAsia="华文楷体" w:hAnsi="华文楷体"/>
          <w:sz w:val="22"/>
        </w:rPr>
        <w:t>受到</w:t>
      </w:r>
      <w:proofErr w:type="gramStart"/>
      <w:r w:rsidR="000A372D">
        <w:rPr>
          <w:rFonts w:ascii="华文楷体" w:eastAsia="华文楷体" w:hAnsi="华文楷体"/>
          <w:sz w:val="22"/>
        </w:rPr>
        <w:t>稳增长</w:t>
      </w:r>
      <w:proofErr w:type="gramEnd"/>
      <w:r w:rsidR="000A372D">
        <w:rPr>
          <w:rFonts w:ascii="华文楷体" w:eastAsia="华文楷体" w:hAnsi="华文楷体" w:hint="eastAsia"/>
          <w:sz w:val="22"/>
        </w:rPr>
        <w:t>压力制约，</w:t>
      </w:r>
      <w:r w:rsidR="000A372D">
        <w:rPr>
          <w:rFonts w:ascii="华文楷体" w:eastAsia="华文楷体" w:hAnsi="华文楷体"/>
          <w:sz w:val="22"/>
        </w:rPr>
        <w:t>去产能结构化改革推进</w:t>
      </w:r>
      <w:r w:rsidR="000A372D">
        <w:rPr>
          <w:rFonts w:ascii="华文楷体" w:eastAsia="华文楷体" w:hAnsi="华文楷体" w:hint="eastAsia"/>
          <w:sz w:val="22"/>
        </w:rPr>
        <w:t>慢于预期</w:t>
      </w:r>
      <w:r w:rsidR="00B47494">
        <w:rPr>
          <w:rFonts w:ascii="华文楷体" w:eastAsia="华文楷体" w:hAnsi="华文楷体" w:hint="eastAsia"/>
          <w:sz w:val="22"/>
        </w:rPr>
        <w:t>；</w:t>
      </w:r>
      <w:r w:rsidR="000A372D">
        <w:rPr>
          <w:rFonts w:ascii="华文楷体" w:eastAsia="华文楷体" w:hAnsi="华文楷体" w:hint="eastAsia"/>
          <w:sz w:val="22"/>
        </w:rPr>
        <w:t>另一方面</w:t>
      </w:r>
      <w:r w:rsidR="000A372D">
        <w:rPr>
          <w:rFonts w:ascii="华文楷体" w:eastAsia="华文楷体" w:hAnsi="华文楷体"/>
          <w:sz w:val="22"/>
        </w:rPr>
        <w:t>，流动性边际宽松力度较去年大幅下降，同时将受到来自海外、以及国内金融去杠杆等事件的脉冲干扰。</w:t>
      </w:r>
      <w:r w:rsidR="00B47494">
        <w:rPr>
          <w:rFonts w:ascii="华文楷体" w:eastAsia="华文楷体" w:hAnsi="华文楷体" w:hint="eastAsia"/>
          <w:sz w:val="22"/>
        </w:rPr>
        <w:t>因此，</w:t>
      </w:r>
      <w:r w:rsidR="000A372D">
        <w:rPr>
          <w:rFonts w:ascii="华文楷体" w:eastAsia="华文楷体" w:hAnsi="华文楷体" w:hint="eastAsia"/>
          <w:sz w:val="22"/>
        </w:rPr>
        <w:t>尽管</w:t>
      </w:r>
      <w:r w:rsidR="000A372D">
        <w:rPr>
          <w:rFonts w:ascii="华文楷体" w:eastAsia="华文楷体" w:hAnsi="华文楷体"/>
          <w:sz w:val="22"/>
        </w:rPr>
        <w:t>市场</w:t>
      </w:r>
      <w:r w:rsidR="000A372D">
        <w:rPr>
          <w:rFonts w:ascii="华文楷体" w:eastAsia="华文楷体" w:hAnsi="华文楷体" w:hint="eastAsia"/>
          <w:sz w:val="22"/>
        </w:rPr>
        <w:t>不排除</w:t>
      </w:r>
      <w:r w:rsidR="000A372D">
        <w:rPr>
          <w:rFonts w:ascii="华文楷体" w:eastAsia="华文楷体" w:hAnsi="华文楷体"/>
          <w:sz w:val="22"/>
        </w:rPr>
        <w:t>会</w:t>
      </w:r>
      <w:r w:rsidR="009D59B6">
        <w:rPr>
          <w:rFonts w:ascii="华文楷体" w:eastAsia="华文楷体" w:hAnsi="华文楷体" w:hint="eastAsia"/>
          <w:sz w:val="22"/>
        </w:rPr>
        <w:t>有</w:t>
      </w:r>
      <w:r w:rsidR="000A372D">
        <w:rPr>
          <w:rFonts w:ascii="华文楷体" w:eastAsia="华文楷体" w:hAnsi="华文楷体"/>
          <w:sz w:val="22"/>
        </w:rPr>
        <w:t>养老金入市、海外资金等</w:t>
      </w:r>
      <w:r w:rsidR="009D59B6">
        <w:rPr>
          <w:rFonts w:ascii="华文楷体" w:eastAsia="华文楷体" w:hAnsi="华文楷体" w:hint="eastAsia"/>
          <w:sz w:val="22"/>
        </w:rPr>
        <w:t>增量资金</w:t>
      </w:r>
      <w:r w:rsidR="009D59B6">
        <w:rPr>
          <w:rFonts w:ascii="华文楷体" w:eastAsia="华文楷体" w:hAnsi="华文楷体"/>
          <w:sz w:val="22"/>
        </w:rPr>
        <w:t>阶段进入</w:t>
      </w:r>
      <w:r w:rsidR="000A372D">
        <w:rPr>
          <w:rFonts w:ascii="华文楷体" w:eastAsia="华文楷体" w:hAnsi="华文楷体"/>
          <w:sz w:val="22"/>
        </w:rPr>
        <w:t>，</w:t>
      </w:r>
      <w:r w:rsidR="000A372D">
        <w:rPr>
          <w:rFonts w:ascii="华文楷体" w:eastAsia="华文楷体" w:hAnsi="华文楷体" w:hint="eastAsia"/>
          <w:sz w:val="22"/>
        </w:rPr>
        <w:t>但</w:t>
      </w:r>
      <w:r w:rsidR="009D59B6">
        <w:rPr>
          <w:rFonts w:ascii="华文楷体" w:eastAsia="华文楷体" w:hAnsi="华文楷体" w:hint="eastAsia"/>
          <w:sz w:val="22"/>
        </w:rPr>
        <w:t>没有</w:t>
      </w:r>
      <w:r w:rsidR="009D59B6">
        <w:rPr>
          <w:rFonts w:ascii="华文楷体" w:eastAsia="华文楷体" w:hAnsi="华文楷体"/>
          <w:sz w:val="22"/>
        </w:rPr>
        <w:t>赚钱效应，</w:t>
      </w:r>
      <w:r w:rsidR="00B47494">
        <w:rPr>
          <w:rFonts w:ascii="华文楷体" w:eastAsia="华文楷体" w:hAnsi="华文楷体" w:hint="eastAsia"/>
          <w:sz w:val="22"/>
        </w:rPr>
        <w:t>增量</w:t>
      </w:r>
      <w:r w:rsidR="00B47494">
        <w:rPr>
          <w:rFonts w:ascii="华文楷体" w:eastAsia="华文楷体" w:hAnsi="华文楷体"/>
          <w:sz w:val="22"/>
        </w:rPr>
        <w:t>资金规模</w:t>
      </w:r>
      <w:r w:rsidR="00B47494">
        <w:rPr>
          <w:rFonts w:ascii="华文楷体" w:eastAsia="华文楷体" w:hAnsi="华文楷体" w:hint="eastAsia"/>
          <w:sz w:val="22"/>
        </w:rPr>
        <w:t>难以</w:t>
      </w:r>
      <w:r w:rsidR="00B47494">
        <w:rPr>
          <w:rFonts w:ascii="华文楷体" w:eastAsia="华文楷体" w:hAnsi="华文楷体"/>
          <w:sz w:val="22"/>
        </w:rPr>
        <w:t>扩大</w:t>
      </w:r>
      <w:r w:rsidR="000A372D">
        <w:rPr>
          <w:rFonts w:ascii="华文楷体" w:eastAsia="华文楷体" w:hAnsi="华文楷体"/>
          <w:sz w:val="22"/>
        </w:rPr>
        <w:t>，</w:t>
      </w:r>
      <w:r w:rsidR="000A372D">
        <w:rPr>
          <w:rFonts w:ascii="华文楷体" w:eastAsia="华文楷体" w:hAnsi="华文楷体" w:hint="eastAsia"/>
          <w:sz w:val="22"/>
        </w:rPr>
        <w:t>下半年</w:t>
      </w:r>
      <w:r w:rsidR="00B47494">
        <w:rPr>
          <w:rFonts w:ascii="华文楷体" w:eastAsia="华文楷体" w:hAnsi="华文楷体" w:hint="eastAsia"/>
          <w:sz w:val="22"/>
        </w:rPr>
        <w:t>大概率</w:t>
      </w:r>
      <w:r w:rsidR="000A372D">
        <w:rPr>
          <w:rFonts w:ascii="华文楷体" w:eastAsia="华文楷体" w:hAnsi="华文楷体"/>
          <w:sz w:val="22"/>
        </w:rPr>
        <w:t>维持存量博弈的格局。</w:t>
      </w:r>
    </w:p>
    <w:p w14:paraId="6F313B07" w14:textId="13481544" w:rsidR="00B47494" w:rsidRPr="00B47494" w:rsidRDefault="000A372D" w:rsidP="00B47494">
      <w:pPr>
        <w:numPr>
          <w:ilvl w:val="0"/>
          <w:numId w:val="24"/>
        </w:numPr>
        <w:adjustRightInd w:val="0"/>
        <w:snapToGrid w:val="0"/>
        <w:rPr>
          <w:rFonts w:ascii="华文楷体" w:eastAsia="华文楷体" w:hAnsi="华文楷体"/>
          <w:b/>
          <w:sz w:val="22"/>
        </w:rPr>
      </w:pPr>
      <w:r w:rsidRPr="00B47494">
        <w:rPr>
          <w:rFonts w:ascii="华文楷体" w:eastAsia="华文楷体" w:hAnsi="华文楷体" w:hint="eastAsia"/>
          <w:b/>
          <w:sz w:val="22"/>
        </w:rPr>
        <w:t>宽幅</w:t>
      </w:r>
      <w:r w:rsidRPr="00B47494">
        <w:rPr>
          <w:rFonts w:ascii="华文楷体" w:eastAsia="华文楷体" w:hAnsi="华文楷体"/>
          <w:b/>
          <w:sz w:val="22"/>
        </w:rPr>
        <w:t>震荡</w:t>
      </w:r>
      <w:r w:rsidR="00835CF6" w:rsidRPr="00B47494">
        <w:rPr>
          <w:rFonts w:ascii="华文楷体" w:eastAsia="华文楷体" w:hAnsi="华文楷体" w:hint="eastAsia"/>
          <w:b/>
          <w:sz w:val="22"/>
        </w:rPr>
        <w:t>，把握</w:t>
      </w:r>
      <w:r w:rsidR="00835CF6" w:rsidRPr="00B47494">
        <w:rPr>
          <w:rFonts w:ascii="华文楷体" w:eastAsia="华文楷体" w:hAnsi="华文楷体"/>
          <w:b/>
          <w:sz w:val="22"/>
        </w:rPr>
        <w:t>结构</w:t>
      </w:r>
      <w:r w:rsidR="00835CF6" w:rsidRPr="00B47494">
        <w:rPr>
          <w:rFonts w:ascii="华文楷体" w:eastAsia="华文楷体" w:hAnsi="华文楷体" w:hint="eastAsia"/>
          <w:b/>
          <w:sz w:val="22"/>
        </w:rPr>
        <w:t>性</w:t>
      </w:r>
      <w:r w:rsidR="00835CF6" w:rsidRPr="00B47494">
        <w:rPr>
          <w:rFonts w:ascii="华文楷体" w:eastAsia="华文楷体" w:hAnsi="华文楷体"/>
          <w:b/>
          <w:sz w:val="22"/>
        </w:rPr>
        <w:t>机会</w:t>
      </w:r>
      <w:r w:rsidR="009F2419" w:rsidRPr="00B47494">
        <w:rPr>
          <w:rFonts w:ascii="华文楷体" w:eastAsia="华文楷体" w:hAnsi="华文楷体"/>
          <w:b/>
          <w:sz w:val="22"/>
        </w:rPr>
        <w:t>：</w:t>
      </w:r>
      <w:r w:rsidR="00B47494">
        <w:rPr>
          <w:rFonts w:ascii="华文楷体" w:eastAsia="华文楷体" w:hAnsi="华文楷体" w:hint="eastAsia"/>
          <w:sz w:val="22"/>
        </w:rPr>
        <w:t>海外</w:t>
      </w:r>
      <w:r w:rsidR="00B47494">
        <w:rPr>
          <w:rFonts w:ascii="华文楷体" w:eastAsia="华文楷体" w:hAnsi="华文楷体"/>
          <w:sz w:val="22"/>
        </w:rPr>
        <w:t>市场对</w:t>
      </w:r>
      <w:r w:rsidR="00B47494">
        <w:rPr>
          <w:rFonts w:ascii="华文楷体" w:eastAsia="华文楷体" w:hAnsi="华文楷体" w:hint="eastAsia"/>
          <w:sz w:val="22"/>
        </w:rPr>
        <w:t>汇率及</w:t>
      </w:r>
      <w:r w:rsidR="00B47494">
        <w:rPr>
          <w:rFonts w:ascii="华文楷体" w:eastAsia="华文楷体" w:hAnsi="华文楷体"/>
          <w:sz w:val="22"/>
        </w:rPr>
        <w:t>外汇占款的扰动，以及金融机构去杠杆</w:t>
      </w:r>
      <w:r w:rsidR="00B47494">
        <w:rPr>
          <w:rFonts w:ascii="华文楷体" w:eastAsia="华文楷体" w:hAnsi="华文楷体" w:hint="eastAsia"/>
          <w:sz w:val="22"/>
        </w:rPr>
        <w:t>都将</w:t>
      </w:r>
      <w:r w:rsidR="00B47494">
        <w:rPr>
          <w:rFonts w:ascii="华文楷体" w:eastAsia="华文楷体" w:hAnsi="华文楷体"/>
          <w:sz w:val="22"/>
        </w:rPr>
        <w:t>带来短期内流动性预期的不稳，同时</w:t>
      </w:r>
      <w:r w:rsidR="00B47494">
        <w:rPr>
          <w:rFonts w:ascii="华文楷体" w:eastAsia="华文楷体" w:hAnsi="华文楷体" w:hint="eastAsia"/>
          <w:sz w:val="22"/>
        </w:rPr>
        <w:t>增长叠加</w:t>
      </w:r>
      <w:r w:rsidR="00B47494">
        <w:rPr>
          <w:rFonts w:ascii="华文楷体" w:eastAsia="华文楷体" w:hAnsi="华文楷体"/>
          <w:sz w:val="22"/>
        </w:rPr>
        <w:t>供给</w:t>
      </w:r>
      <w:proofErr w:type="gramStart"/>
      <w:r w:rsidR="00B47494">
        <w:rPr>
          <w:rFonts w:ascii="华文楷体" w:eastAsia="华文楷体" w:hAnsi="华文楷体"/>
          <w:sz w:val="22"/>
        </w:rPr>
        <w:t>侧改革</w:t>
      </w:r>
      <w:proofErr w:type="gramEnd"/>
      <w:r w:rsidR="00B47494">
        <w:rPr>
          <w:rFonts w:ascii="华文楷体" w:eastAsia="华文楷体" w:hAnsi="华文楷体"/>
          <w:sz w:val="22"/>
        </w:rPr>
        <w:t>也将</w:t>
      </w:r>
      <w:r w:rsidR="00B47494">
        <w:rPr>
          <w:rFonts w:ascii="华文楷体" w:eastAsia="华文楷体" w:hAnsi="华文楷体" w:hint="eastAsia"/>
          <w:sz w:val="22"/>
        </w:rPr>
        <w:t>影响</w:t>
      </w:r>
      <w:r w:rsidR="00B47494">
        <w:rPr>
          <w:rFonts w:ascii="华文楷体" w:eastAsia="华文楷体" w:hAnsi="华文楷体"/>
          <w:sz w:val="22"/>
        </w:rPr>
        <w:t>市场对周期行业</w:t>
      </w:r>
      <w:r w:rsidR="00B47494">
        <w:rPr>
          <w:rFonts w:ascii="华文楷体" w:eastAsia="华文楷体" w:hAnsi="华文楷体" w:hint="eastAsia"/>
          <w:sz w:val="22"/>
        </w:rPr>
        <w:t>的</w:t>
      </w:r>
      <w:r w:rsidR="00B47494">
        <w:rPr>
          <w:rFonts w:ascii="华文楷体" w:eastAsia="华文楷体" w:hAnsi="华文楷体"/>
          <w:sz w:val="22"/>
        </w:rPr>
        <w:t>预期</w:t>
      </w:r>
      <w:r w:rsidR="00B47494">
        <w:rPr>
          <w:rFonts w:ascii="华文楷体" w:eastAsia="华文楷体" w:hAnsi="华文楷体" w:hint="eastAsia"/>
          <w:sz w:val="22"/>
        </w:rPr>
        <w:t>。因此</w:t>
      </w:r>
      <w:r w:rsidR="00B47494">
        <w:rPr>
          <w:rFonts w:ascii="华文楷体" w:eastAsia="华文楷体" w:hAnsi="华文楷体"/>
          <w:sz w:val="22"/>
        </w:rPr>
        <w:t>，下</w:t>
      </w:r>
      <w:r w:rsidR="00B47494">
        <w:rPr>
          <w:rFonts w:ascii="华文楷体" w:eastAsia="华文楷体" w:hAnsi="华文楷体" w:hint="eastAsia"/>
          <w:sz w:val="22"/>
        </w:rPr>
        <w:t>半年</w:t>
      </w:r>
      <w:r w:rsidR="00B47494">
        <w:rPr>
          <w:rFonts w:ascii="华文楷体" w:eastAsia="华文楷体" w:hAnsi="华文楷体"/>
          <w:sz w:val="22"/>
        </w:rPr>
        <w:t>市场仍然维持宽幅震荡。</w:t>
      </w:r>
      <w:r w:rsidR="00EB0E90">
        <w:rPr>
          <w:rFonts w:ascii="华文楷体" w:eastAsia="华文楷体" w:hAnsi="华文楷体" w:hint="eastAsia"/>
          <w:sz w:val="22"/>
        </w:rPr>
        <w:t>关注</w:t>
      </w:r>
      <w:r w:rsidR="00EB0E90" w:rsidRPr="00B36D5C">
        <w:rPr>
          <w:rFonts w:ascii="华文楷体" w:eastAsia="华文楷体" w:hAnsi="华文楷体" w:hint="eastAsia"/>
          <w:sz w:val="22"/>
        </w:rPr>
        <w:t>改革和转型下新兴行业</w:t>
      </w:r>
      <w:r w:rsidR="00EB0E90">
        <w:rPr>
          <w:rFonts w:ascii="华文楷体" w:eastAsia="华文楷体" w:hAnsi="华文楷体" w:hint="eastAsia"/>
          <w:sz w:val="22"/>
        </w:rPr>
        <w:t>中</w:t>
      </w:r>
      <w:r w:rsidR="00EB0E90">
        <w:rPr>
          <w:rFonts w:ascii="华文楷体" w:eastAsia="华文楷体" w:hAnsi="华文楷体"/>
          <w:sz w:val="22"/>
        </w:rPr>
        <w:t>有业绩的</w:t>
      </w:r>
      <w:r w:rsidR="00B47494" w:rsidRPr="00B36D5C">
        <w:rPr>
          <w:rFonts w:ascii="华文楷体" w:eastAsia="华文楷体" w:hAnsi="华文楷体" w:hint="eastAsia"/>
          <w:sz w:val="22"/>
        </w:rPr>
        <w:t>成长标的</w:t>
      </w:r>
      <w:r w:rsidR="00EB0E90" w:rsidRPr="00B36D5C">
        <w:rPr>
          <w:rFonts w:ascii="华文楷体" w:eastAsia="华文楷体" w:hAnsi="华文楷体" w:hint="eastAsia"/>
          <w:sz w:val="22"/>
        </w:rPr>
        <w:t>；</w:t>
      </w:r>
      <w:r w:rsidR="00EB0E90">
        <w:rPr>
          <w:rFonts w:ascii="华文楷体" w:eastAsia="华文楷体" w:hAnsi="华文楷体" w:hint="eastAsia"/>
          <w:sz w:val="22"/>
        </w:rPr>
        <w:t>并</w:t>
      </w:r>
      <w:r w:rsidR="00B47494" w:rsidRPr="00B36D5C">
        <w:rPr>
          <w:rFonts w:ascii="华文楷体" w:eastAsia="华文楷体" w:hAnsi="华文楷体" w:hint="eastAsia"/>
          <w:sz w:val="22"/>
        </w:rPr>
        <w:t>警惕宏微观</w:t>
      </w:r>
      <w:proofErr w:type="gramStart"/>
      <w:r w:rsidR="00B47494" w:rsidRPr="00B36D5C">
        <w:rPr>
          <w:rFonts w:ascii="华文楷体" w:eastAsia="华文楷体" w:hAnsi="华文楷体" w:hint="eastAsia"/>
          <w:sz w:val="22"/>
        </w:rPr>
        <w:t>数据超</w:t>
      </w:r>
      <w:proofErr w:type="gramEnd"/>
      <w:r w:rsidR="00B47494" w:rsidRPr="00B36D5C">
        <w:rPr>
          <w:rFonts w:ascii="华文楷体" w:eastAsia="华文楷体" w:hAnsi="华文楷体" w:hint="eastAsia"/>
          <w:sz w:val="22"/>
        </w:rPr>
        <w:t>预期成为市场阶段性主要矛盾</w:t>
      </w:r>
      <w:r w:rsidR="00DB6068">
        <w:rPr>
          <w:rFonts w:ascii="华文楷体" w:eastAsia="华文楷体" w:hAnsi="华文楷体" w:hint="eastAsia"/>
          <w:sz w:val="22"/>
        </w:rPr>
        <w:t>时</w:t>
      </w:r>
      <w:r w:rsidR="00DB6068">
        <w:rPr>
          <w:rFonts w:ascii="华文楷体" w:eastAsia="华文楷体" w:hAnsi="华文楷体"/>
          <w:sz w:val="22"/>
        </w:rPr>
        <w:t>的周期行情</w:t>
      </w:r>
      <w:r w:rsidR="00B47494" w:rsidRPr="00B36D5C">
        <w:rPr>
          <w:rFonts w:ascii="华文楷体" w:eastAsia="华文楷体" w:hAnsi="华文楷体" w:hint="eastAsia"/>
          <w:sz w:val="22"/>
        </w:rPr>
        <w:t>。</w:t>
      </w:r>
    </w:p>
    <w:p w14:paraId="43757916" w14:textId="77777777" w:rsidR="00D46092" w:rsidRPr="005509A8" w:rsidRDefault="00D46092" w:rsidP="00D46092">
      <w:pPr>
        <w:rPr>
          <w:rFonts w:ascii="华文楷体" w:eastAsia="华文楷体" w:hAnsi="华文楷体"/>
        </w:rPr>
      </w:pPr>
    </w:p>
    <w:p w14:paraId="0CB31C2F" w14:textId="77777777" w:rsidR="00D46092" w:rsidRPr="005509A8" w:rsidRDefault="00D46092" w:rsidP="00D46092">
      <w:pPr>
        <w:pStyle w:val="a7"/>
        <w:numPr>
          <w:ilvl w:val="0"/>
          <w:numId w:val="20"/>
        </w:numPr>
        <w:ind w:firstLineChars="0"/>
        <w:rPr>
          <w:rFonts w:ascii="华文楷体" w:eastAsia="华文楷体" w:hAnsi="华文楷体"/>
          <w:b/>
          <w:sz w:val="22"/>
        </w:rPr>
      </w:pPr>
      <w:r w:rsidRPr="005509A8">
        <w:rPr>
          <w:rFonts w:ascii="华文楷体" w:eastAsia="华文楷体" w:hAnsi="华文楷体" w:hint="eastAsia"/>
          <w:b/>
          <w:sz w:val="22"/>
        </w:rPr>
        <w:t>风格及配置建议</w:t>
      </w:r>
    </w:p>
    <w:p w14:paraId="78225124" w14:textId="1C849F32" w:rsidR="00D46092" w:rsidRPr="00B36D5C" w:rsidRDefault="00EB0E90" w:rsidP="00B36D5C">
      <w:pPr>
        <w:numPr>
          <w:ilvl w:val="0"/>
          <w:numId w:val="24"/>
        </w:numPr>
        <w:adjustRightInd w:val="0"/>
        <w:snapToGrid w:val="0"/>
        <w:rPr>
          <w:rFonts w:ascii="华文楷体" w:eastAsia="华文楷体" w:hAnsi="华文楷体"/>
          <w:b/>
          <w:sz w:val="22"/>
        </w:rPr>
      </w:pPr>
      <w:r>
        <w:rPr>
          <w:rFonts w:ascii="华文楷体" w:eastAsia="华文楷体" w:hAnsi="华文楷体"/>
          <w:b/>
          <w:sz w:val="22"/>
        </w:rPr>
        <w:t>业绩及高景气板块</w:t>
      </w:r>
      <w:r w:rsidR="005E1693" w:rsidRPr="005E1693">
        <w:rPr>
          <w:rFonts w:ascii="华文楷体" w:eastAsia="华文楷体" w:hAnsi="华文楷体"/>
          <w:b/>
          <w:sz w:val="22"/>
        </w:rPr>
        <w:t>是重点关注品种：</w:t>
      </w:r>
      <w:r w:rsidRPr="00B36D5C">
        <w:rPr>
          <w:rFonts w:ascii="华文楷体" w:eastAsia="华文楷体" w:hAnsi="华文楷体" w:hint="eastAsia"/>
          <w:sz w:val="22"/>
        </w:rPr>
        <w:t>在增量</w:t>
      </w:r>
      <w:r w:rsidRPr="00B36D5C">
        <w:rPr>
          <w:rFonts w:ascii="华文楷体" w:eastAsia="华文楷体" w:hAnsi="华文楷体"/>
          <w:sz w:val="22"/>
        </w:rPr>
        <w:t>资金</w:t>
      </w:r>
      <w:r w:rsidRPr="00B36D5C">
        <w:rPr>
          <w:rFonts w:ascii="华文楷体" w:eastAsia="华文楷体" w:hAnsi="华文楷体" w:hint="eastAsia"/>
          <w:sz w:val="22"/>
        </w:rPr>
        <w:t>有限</w:t>
      </w:r>
      <w:r w:rsidRPr="00B36D5C">
        <w:rPr>
          <w:rFonts w:ascii="华文楷体" w:eastAsia="华文楷体" w:hAnsi="华文楷体"/>
          <w:sz w:val="22"/>
        </w:rPr>
        <w:t>的存量博弈市场，筹码易在乐观投资者手中集聚，</w:t>
      </w:r>
      <w:r w:rsidRPr="00B36D5C">
        <w:rPr>
          <w:rFonts w:ascii="华文楷体" w:eastAsia="华文楷体" w:hAnsi="华文楷体" w:hint="eastAsia"/>
          <w:sz w:val="22"/>
        </w:rPr>
        <w:t>没有业绩</w:t>
      </w:r>
      <w:r w:rsidRPr="00B36D5C">
        <w:rPr>
          <w:rFonts w:ascii="华文楷体" w:eastAsia="华文楷体" w:hAnsi="华文楷体"/>
          <w:sz w:val="22"/>
        </w:rPr>
        <w:t>的</w:t>
      </w:r>
      <w:proofErr w:type="gramStart"/>
      <w:r w:rsidRPr="00B36D5C">
        <w:rPr>
          <w:rFonts w:ascii="华文楷体" w:eastAsia="华文楷体" w:hAnsi="华文楷体" w:hint="eastAsia"/>
          <w:sz w:val="22"/>
        </w:rPr>
        <w:t>小</w:t>
      </w:r>
      <w:r w:rsidR="009D59B6">
        <w:rPr>
          <w:rFonts w:ascii="华文楷体" w:eastAsia="华文楷体" w:hAnsi="华文楷体" w:hint="eastAsia"/>
          <w:sz w:val="22"/>
        </w:rPr>
        <w:t>热点</w:t>
      </w:r>
      <w:proofErr w:type="gramEnd"/>
      <w:r w:rsidRPr="00B36D5C">
        <w:rPr>
          <w:rFonts w:ascii="华文楷体" w:eastAsia="华文楷体" w:hAnsi="华文楷体"/>
          <w:sz w:val="22"/>
        </w:rPr>
        <w:t>主题可能在</w:t>
      </w:r>
      <w:r w:rsidRPr="00B36D5C">
        <w:rPr>
          <w:rFonts w:ascii="华文楷体" w:eastAsia="华文楷体" w:hAnsi="华文楷体" w:hint="eastAsia"/>
          <w:sz w:val="22"/>
        </w:rPr>
        <w:t>市场</w:t>
      </w:r>
      <w:r w:rsidRPr="00B36D5C">
        <w:rPr>
          <w:rFonts w:ascii="华文楷体" w:eastAsia="华文楷体" w:hAnsi="华文楷体"/>
          <w:sz w:val="22"/>
        </w:rPr>
        <w:t>短期反弹中存在</w:t>
      </w:r>
      <w:r w:rsidRPr="00B36D5C">
        <w:rPr>
          <w:rFonts w:ascii="华文楷体" w:eastAsia="华文楷体" w:hAnsi="华文楷体" w:hint="eastAsia"/>
          <w:sz w:val="22"/>
        </w:rPr>
        <w:t>博弈</w:t>
      </w:r>
      <w:r w:rsidRPr="00B36D5C">
        <w:rPr>
          <w:rFonts w:ascii="华文楷体" w:eastAsia="华文楷体" w:hAnsi="华文楷体"/>
          <w:sz w:val="22"/>
        </w:rPr>
        <w:t>机会</w:t>
      </w:r>
      <w:r w:rsidRPr="00B36D5C">
        <w:rPr>
          <w:rFonts w:ascii="华文楷体" w:eastAsia="华文楷体" w:hAnsi="华文楷体" w:hint="eastAsia"/>
          <w:sz w:val="22"/>
        </w:rPr>
        <w:t>，</w:t>
      </w:r>
      <w:r w:rsidR="00DB6068" w:rsidRPr="00B36D5C">
        <w:rPr>
          <w:rFonts w:ascii="华文楷体" w:eastAsia="华文楷体" w:hAnsi="华文楷体"/>
          <w:sz w:val="22"/>
        </w:rPr>
        <w:t>但</w:t>
      </w:r>
      <w:r w:rsidR="00DB6068">
        <w:rPr>
          <w:rFonts w:ascii="华文楷体" w:eastAsia="华文楷体" w:hAnsi="华文楷体" w:hint="eastAsia"/>
          <w:sz w:val="22"/>
        </w:rPr>
        <w:t>波段</w:t>
      </w:r>
      <w:r w:rsidR="00DB6068">
        <w:rPr>
          <w:rFonts w:ascii="华文楷体" w:eastAsia="华文楷体" w:hAnsi="华文楷体"/>
          <w:sz w:val="22"/>
        </w:rPr>
        <w:t>操作难度较大</w:t>
      </w:r>
      <w:r w:rsidRPr="00B36D5C">
        <w:rPr>
          <w:rFonts w:ascii="华文楷体" w:eastAsia="华文楷体" w:hAnsi="华文楷体"/>
          <w:sz w:val="22"/>
        </w:rPr>
        <w:t>。</w:t>
      </w:r>
      <w:r w:rsidRPr="00B36D5C">
        <w:rPr>
          <w:rFonts w:ascii="华文楷体" w:eastAsia="华文楷体" w:hAnsi="华文楷体" w:hint="eastAsia"/>
          <w:sz w:val="22"/>
        </w:rPr>
        <w:t>中期看</w:t>
      </w:r>
      <w:r w:rsidRPr="00B36D5C">
        <w:rPr>
          <w:rFonts w:ascii="华文楷体" w:eastAsia="华文楷体" w:hAnsi="华文楷体"/>
          <w:sz w:val="22"/>
        </w:rPr>
        <w:t>，具有稳定业绩及高景气的板块</w:t>
      </w:r>
      <w:r w:rsidRPr="00B36D5C">
        <w:rPr>
          <w:rFonts w:ascii="华文楷体" w:eastAsia="华文楷体" w:hAnsi="华文楷体" w:hint="eastAsia"/>
          <w:sz w:val="22"/>
        </w:rPr>
        <w:t>更容易</w:t>
      </w:r>
      <w:r w:rsidRPr="00B36D5C">
        <w:rPr>
          <w:rFonts w:ascii="华文楷体" w:eastAsia="华文楷体" w:hAnsi="华文楷体"/>
          <w:sz w:val="22"/>
        </w:rPr>
        <w:t>受到多数投资者认同</w:t>
      </w:r>
      <w:r w:rsidRPr="00B36D5C">
        <w:rPr>
          <w:rFonts w:ascii="华文楷体" w:eastAsia="华文楷体" w:hAnsi="华文楷体" w:hint="eastAsia"/>
          <w:sz w:val="22"/>
        </w:rPr>
        <w:t>。</w:t>
      </w:r>
    </w:p>
    <w:p w14:paraId="578FCD69" w14:textId="4AE9252D" w:rsidR="00D46092" w:rsidRPr="00B36D5C" w:rsidRDefault="00EB0E90" w:rsidP="00B36D5C">
      <w:pPr>
        <w:numPr>
          <w:ilvl w:val="0"/>
          <w:numId w:val="24"/>
        </w:numPr>
        <w:adjustRightInd w:val="0"/>
        <w:snapToGrid w:val="0"/>
        <w:rPr>
          <w:rFonts w:ascii="华文楷体" w:eastAsia="华文楷体" w:hAnsi="华文楷体"/>
          <w:sz w:val="22"/>
        </w:rPr>
      </w:pPr>
      <w:r>
        <w:rPr>
          <w:rFonts w:ascii="华文楷体" w:eastAsia="华文楷体" w:hAnsi="华文楷体" w:hint="eastAsia"/>
          <w:b/>
          <w:sz w:val="22"/>
        </w:rPr>
        <w:t>新兴</w:t>
      </w:r>
      <w:r>
        <w:rPr>
          <w:rFonts w:ascii="华文楷体" w:eastAsia="华文楷体" w:hAnsi="华文楷体"/>
          <w:b/>
          <w:sz w:val="22"/>
        </w:rPr>
        <w:t>产业投资</w:t>
      </w:r>
      <w:r w:rsidR="00DB6068">
        <w:rPr>
          <w:rFonts w:ascii="华文楷体" w:eastAsia="华文楷体" w:hAnsi="华文楷体" w:hint="eastAsia"/>
          <w:b/>
          <w:sz w:val="22"/>
        </w:rPr>
        <w:t>可以作为</w:t>
      </w:r>
      <w:r>
        <w:rPr>
          <w:rFonts w:ascii="华文楷体" w:eastAsia="华文楷体" w:hAnsi="华文楷体"/>
          <w:b/>
          <w:sz w:val="22"/>
        </w:rPr>
        <w:t>选择高景气</w:t>
      </w:r>
      <w:r w:rsidR="00DB6068">
        <w:rPr>
          <w:rFonts w:ascii="华文楷体" w:eastAsia="华文楷体" w:hAnsi="华文楷体" w:hint="eastAsia"/>
          <w:b/>
          <w:sz w:val="22"/>
        </w:rPr>
        <w:t>的主逻辑</w:t>
      </w:r>
      <w:r w:rsidR="0023340A" w:rsidRPr="00B36D5C">
        <w:rPr>
          <w:rFonts w:ascii="华文楷体" w:eastAsia="华文楷体" w:hAnsi="华文楷体" w:hint="eastAsia"/>
          <w:b/>
          <w:sz w:val="22"/>
        </w:rPr>
        <w:t>：</w:t>
      </w:r>
      <w:r w:rsidR="00DB6068" w:rsidRPr="00B36D5C">
        <w:rPr>
          <w:rFonts w:ascii="华文楷体" w:eastAsia="华文楷体" w:hAnsi="华文楷体" w:hint="eastAsia"/>
          <w:sz w:val="22"/>
        </w:rPr>
        <w:t>重</w:t>
      </w:r>
      <w:proofErr w:type="gramStart"/>
      <w:r w:rsidR="00DB6068" w:rsidRPr="00B36D5C">
        <w:rPr>
          <w:rFonts w:ascii="华文楷体" w:eastAsia="华文楷体" w:hAnsi="华文楷体" w:hint="eastAsia"/>
          <w:sz w:val="22"/>
        </w:rPr>
        <w:t>配</w:t>
      </w:r>
      <w:r w:rsidR="00DB6068">
        <w:rPr>
          <w:rFonts w:ascii="华文楷体" w:eastAsia="华文楷体" w:hAnsi="华文楷体" w:hint="eastAsia"/>
          <w:sz w:val="22"/>
        </w:rPr>
        <w:t>未来</w:t>
      </w:r>
      <w:proofErr w:type="gramEnd"/>
      <w:r w:rsidR="00DB6068">
        <w:rPr>
          <w:rFonts w:ascii="华文楷体" w:eastAsia="华文楷体" w:hAnsi="华文楷体"/>
          <w:sz w:val="22"/>
        </w:rPr>
        <w:t>市场空间足够大</w:t>
      </w:r>
      <w:r w:rsidR="00DB6068">
        <w:rPr>
          <w:rFonts w:ascii="华文楷体" w:eastAsia="华文楷体" w:hAnsi="华文楷体" w:hint="eastAsia"/>
          <w:sz w:val="22"/>
        </w:rPr>
        <w:t>，</w:t>
      </w:r>
      <w:r w:rsidR="00DB6068">
        <w:rPr>
          <w:rFonts w:ascii="华文楷体" w:eastAsia="华文楷体" w:hAnsi="华文楷体"/>
          <w:sz w:val="22"/>
        </w:rPr>
        <w:t>且在导入期或成长期的行业</w:t>
      </w:r>
      <w:r w:rsidR="00DB6068">
        <w:rPr>
          <w:rFonts w:ascii="华文楷体" w:eastAsia="华文楷体" w:hAnsi="华文楷体" w:hint="eastAsia"/>
          <w:sz w:val="22"/>
        </w:rPr>
        <w:t>，</w:t>
      </w:r>
      <w:r w:rsidR="005D10B7">
        <w:rPr>
          <w:rFonts w:ascii="华文楷体" w:eastAsia="华文楷体" w:hAnsi="华文楷体" w:hint="eastAsia"/>
          <w:sz w:val="22"/>
        </w:rPr>
        <w:t>可以</w:t>
      </w:r>
      <w:r w:rsidR="005D10B7">
        <w:rPr>
          <w:rFonts w:ascii="华文楷体" w:eastAsia="华文楷体" w:hAnsi="华文楷体"/>
          <w:sz w:val="22"/>
        </w:rPr>
        <w:t>大概率</w:t>
      </w:r>
      <w:r w:rsidR="00DB6068">
        <w:rPr>
          <w:rFonts w:ascii="华文楷体" w:eastAsia="华文楷体" w:hAnsi="华文楷体"/>
          <w:sz w:val="22"/>
        </w:rPr>
        <w:t>分享</w:t>
      </w:r>
      <w:r w:rsidR="005D10B7">
        <w:rPr>
          <w:rFonts w:ascii="华文楷体" w:eastAsia="华文楷体" w:hAnsi="华文楷体" w:hint="eastAsia"/>
          <w:sz w:val="22"/>
        </w:rPr>
        <w:t>到</w:t>
      </w:r>
      <w:r w:rsidR="00DB6068">
        <w:rPr>
          <w:rFonts w:ascii="华文楷体" w:eastAsia="华文楷体" w:hAnsi="华文楷体" w:hint="eastAsia"/>
          <w:sz w:val="22"/>
        </w:rPr>
        <w:t>产业成长红利</w:t>
      </w:r>
      <w:r w:rsidR="005D10B7">
        <w:rPr>
          <w:rFonts w:ascii="华文楷体" w:eastAsia="华文楷体" w:hAnsi="华文楷体" w:hint="eastAsia"/>
          <w:sz w:val="22"/>
        </w:rPr>
        <w:t>，又</w:t>
      </w:r>
      <w:r w:rsidR="005D10B7">
        <w:rPr>
          <w:rFonts w:ascii="华文楷体" w:eastAsia="华文楷体" w:hAnsi="华文楷体"/>
          <w:sz w:val="22"/>
        </w:rPr>
        <w:t>能够在</w:t>
      </w:r>
      <w:r w:rsidR="005D10B7">
        <w:rPr>
          <w:rFonts w:ascii="华文楷体" w:eastAsia="华文楷体" w:hAnsi="华文楷体" w:hint="eastAsia"/>
          <w:sz w:val="22"/>
        </w:rPr>
        <w:t>市场大幅波动时抵抗</w:t>
      </w:r>
      <w:r w:rsidR="005D10B7">
        <w:rPr>
          <w:rFonts w:ascii="华文楷体" w:eastAsia="华文楷体" w:hAnsi="华文楷体"/>
          <w:sz w:val="22"/>
        </w:rPr>
        <w:t>噪音</w:t>
      </w:r>
      <w:r w:rsidRPr="00B36D5C">
        <w:rPr>
          <w:rFonts w:ascii="华文楷体" w:eastAsia="华文楷体" w:hAnsi="华文楷体" w:hint="eastAsia"/>
          <w:sz w:val="22"/>
        </w:rPr>
        <w:t>。</w:t>
      </w:r>
      <w:r w:rsidR="005D10B7">
        <w:rPr>
          <w:rFonts w:ascii="华文楷体" w:eastAsia="华文楷体" w:hAnsi="华文楷体" w:hint="eastAsia"/>
          <w:sz w:val="22"/>
        </w:rPr>
        <w:t>我们</w:t>
      </w:r>
      <w:r w:rsidR="005D10B7">
        <w:rPr>
          <w:rFonts w:ascii="华文楷体" w:eastAsia="华文楷体" w:hAnsi="华文楷体"/>
          <w:sz w:val="22"/>
        </w:rPr>
        <w:t>从</w:t>
      </w:r>
      <w:r w:rsidRPr="00B36D5C">
        <w:rPr>
          <w:rFonts w:ascii="华文楷体" w:eastAsia="华文楷体" w:hAnsi="华文楷体" w:hint="eastAsia"/>
          <w:sz w:val="22"/>
        </w:rPr>
        <w:t>价格弹性</w:t>
      </w:r>
      <w:r w:rsidR="00DB6068">
        <w:rPr>
          <w:rFonts w:ascii="华文楷体" w:eastAsia="华文楷体" w:hAnsi="华文楷体" w:hint="eastAsia"/>
          <w:sz w:val="22"/>
        </w:rPr>
        <w:t>、</w:t>
      </w:r>
      <w:r w:rsidRPr="00B36D5C">
        <w:rPr>
          <w:rFonts w:ascii="华文楷体" w:eastAsia="华文楷体" w:hAnsi="华文楷体" w:hint="eastAsia"/>
          <w:sz w:val="22"/>
        </w:rPr>
        <w:t>黑科技</w:t>
      </w:r>
      <w:r w:rsidR="00DB6068">
        <w:rPr>
          <w:rFonts w:ascii="华文楷体" w:eastAsia="华文楷体" w:hAnsi="华文楷体" w:hint="eastAsia"/>
          <w:sz w:val="22"/>
        </w:rPr>
        <w:t>、</w:t>
      </w:r>
      <w:r w:rsidRPr="00B36D5C">
        <w:rPr>
          <w:rFonts w:ascii="华文楷体" w:eastAsia="华文楷体" w:hAnsi="华文楷体" w:hint="eastAsia"/>
          <w:sz w:val="22"/>
        </w:rPr>
        <w:t>技术与需求共振</w:t>
      </w:r>
      <w:r w:rsidR="00DB6068">
        <w:rPr>
          <w:rFonts w:ascii="华文楷体" w:eastAsia="华文楷体" w:hAnsi="华文楷体" w:hint="eastAsia"/>
          <w:sz w:val="22"/>
        </w:rPr>
        <w:t>、</w:t>
      </w:r>
      <w:r w:rsidR="00DB6068" w:rsidRPr="00B36D5C">
        <w:rPr>
          <w:rFonts w:ascii="华文楷体" w:eastAsia="华文楷体" w:hAnsi="华文楷体" w:hint="eastAsia"/>
          <w:sz w:val="22"/>
        </w:rPr>
        <w:t>新模式</w:t>
      </w:r>
      <w:r w:rsidRPr="00B36D5C">
        <w:rPr>
          <w:rFonts w:ascii="华文楷体" w:eastAsia="华文楷体" w:hAnsi="华文楷体" w:hint="eastAsia"/>
          <w:sz w:val="22"/>
        </w:rPr>
        <w:t>推广</w:t>
      </w:r>
      <w:r w:rsidR="00DB6068">
        <w:rPr>
          <w:rFonts w:ascii="华文楷体" w:eastAsia="华文楷体" w:hAnsi="华文楷体" w:hint="eastAsia"/>
          <w:sz w:val="22"/>
        </w:rPr>
        <w:t>及</w:t>
      </w:r>
      <w:r w:rsidRPr="00B36D5C">
        <w:rPr>
          <w:rFonts w:ascii="华文楷体" w:eastAsia="华文楷体" w:hAnsi="华文楷体" w:hint="eastAsia"/>
          <w:sz w:val="22"/>
        </w:rPr>
        <w:t>消费行为的变化</w:t>
      </w:r>
      <w:r w:rsidR="00DB6068">
        <w:rPr>
          <w:rFonts w:ascii="华文楷体" w:eastAsia="华文楷体" w:hAnsi="华文楷体" w:hint="eastAsia"/>
          <w:sz w:val="22"/>
        </w:rPr>
        <w:t>五个</w:t>
      </w:r>
      <w:r w:rsidR="00DB6068">
        <w:rPr>
          <w:rFonts w:ascii="华文楷体" w:eastAsia="华文楷体" w:hAnsi="华文楷体"/>
          <w:sz w:val="22"/>
        </w:rPr>
        <w:t>维度选择产业，</w:t>
      </w:r>
      <w:r w:rsidR="00DB6068">
        <w:rPr>
          <w:rFonts w:ascii="华文楷体" w:eastAsia="华文楷体" w:hAnsi="华文楷体" w:hint="eastAsia"/>
          <w:sz w:val="22"/>
        </w:rPr>
        <w:t>诸如周期</w:t>
      </w:r>
      <w:r w:rsidR="00DB6068">
        <w:rPr>
          <w:rFonts w:ascii="华文楷体" w:eastAsia="华文楷体" w:hAnsi="华文楷体"/>
          <w:sz w:val="22"/>
        </w:rPr>
        <w:t>、农产品、</w:t>
      </w:r>
      <w:r w:rsidR="00DB6068">
        <w:rPr>
          <w:rFonts w:ascii="华文楷体" w:eastAsia="华文楷体" w:hAnsi="华文楷体" w:hint="eastAsia"/>
          <w:sz w:val="22"/>
        </w:rPr>
        <w:t>新能源汽车</w:t>
      </w:r>
      <w:r w:rsidR="00DB6068">
        <w:rPr>
          <w:rFonts w:ascii="华文楷体" w:eastAsia="华文楷体" w:hAnsi="华文楷体"/>
          <w:sz w:val="22"/>
        </w:rPr>
        <w:t>、</w:t>
      </w:r>
      <w:r w:rsidR="005D10B7">
        <w:rPr>
          <w:rFonts w:ascii="华文楷体" w:eastAsia="华文楷体" w:hAnsi="华文楷体" w:hint="eastAsia"/>
          <w:sz w:val="22"/>
        </w:rPr>
        <w:t>物联网</w:t>
      </w:r>
      <w:r w:rsidR="005D10B7">
        <w:rPr>
          <w:rFonts w:ascii="华文楷体" w:eastAsia="华文楷体" w:hAnsi="华文楷体"/>
          <w:sz w:val="22"/>
        </w:rPr>
        <w:t>、电子、</w:t>
      </w:r>
      <w:r w:rsidR="00DB6068" w:rsidRPr="00B36D5C">
        <w:rPr>
          <w:rFonts w:ascii="华文楷体" w:eastAsia="华文楷体" w:hAnsi="华文楷体" w:hint="eastAsia"/>
          <w:sz w:val="22"/>
        </w:rPr>
        <w:t>电商</w:t>
      </w:r>
      <w:r w:rsidR="00DB6068">
        <w:rPr>
          <w:rFonts w:ascii="华文楷体" w:eastAsia="华文楷体" w:hAnsi="华文楷体" w:hint="eastAsia"/>
          <w:sz w:val="22"/>
        </w:rPr>
        <w:t>等是</w:t>
      </w:r>
      <w:r w:rsidR="00DB6068">
        <w:rPr>
          <w:rFonts w:ascii="华文楷体" w:eastAsia="华文楷体" w:hAnsi="华文楷体"/>
          <w:sz w:val="22"/>
        </w:rPr>
        <w:t>我们年内关注的重点产业</w:t>
      </w:r>
      <w:r w:rsidRPr="00B36D5C">
        <w:rPr>
          <w:rFonts w:ascii="华文楷体" w:eastAsia="华文楷体" w:hAnsi="华文楷体" w:hint="eastAsia"/>
          <w:sz w:val="22"/>
        </w:rPr>
        <w:t>。</w:t>
      </w:r>
    </w:p>
    <w:p w14:paraId="7DD21D90" w14:textId="40027FDF" w:rsidR="00D46092" w:rsidRPr="005509A8" w:rsidRDefault="00306A98" w:rsidP="00B36D5C">
      <w:pPr>
        <w:numPr>
          <w:ilvl w:val="0"/>
          <w:numId w:val="24"/>
        </w:numPr>
        <w:adjustRightInd w:val="0"/>
        <w:snapToGrid w:val="0"/>
        <w:rPr>
          <w:rFonts w:ascii="华文楷体" w:eastAsia="华文楷体" w:hAnsi="华文楷体"/>
          <w:sz w:val="22"/>
        </w:rPr>
      </w:pPr>
      <w:r w:rsidRPr="00306A98">
        <w:rPr>
          <w:rFonts w:ascii="华文楷体" w:eastAsia="华文楷体" w:hAnsi="华文楷体" w:hint="eastAsia"/>
          <w:b/>
          <w:sz w:val="22"/>
        </w:rPr>
        <w:t>低估值</w:t>
      </w:r>
      <w:r w:rsidRPr="00306A98">
        <w:rPr>
          <w:rFonts w:ascii="华文楷体" w:eastAsia="华文楷体" w:hAnsi="华文楷体"/>
          <w:b/>
          <w:sz w:val="22"/>
        </w:rPr>
        <w:t>板块：</w:t>
      </w:r>
      <w:r w:rsidR="00DB6068">
        <w:rPr>
          <w:rFonts w:ascii="华文楷体" w:eastAsia="华文楷体" w:hAnsi="华文楷体" w:hint="eastAsia"/>
          <w:sz w:val="22"/>
        </w:rPr>
        <w:t>在</w:t>
      </w:r>
      <w:r w:rsidR="00D46092" w:rsidRPr="005509A8">
        <w:rPr>
          <w:rFonts w:ascii="华文楷体" w:eastAsia="华文楷体" w:hAnsi="华文楷体"/>
          <w:sz w:val="22"/>
        </w:rPr>
        <w:t>市场风险</w:t>
      </w:r>
      <w:r w:rsidR="00606051">
        <w:rPr>
          <w:rFonts w:ascii="华文楷体" w:eastAsia="华文楷体" w:hAnsi="华文楷体" w:hint="eastAsia"/>
          <w:sz w:val="22"/>
        </w:rPr>
        <w:t>偏好</w:t>
      </w:r>
      <w:r w:rsidR="00D46092" w:rsidRPr="005509A8">
        <w:rPr>
          <w:rFonts w:ascii="华文楷体" w:eastAsia="华文楷体" w:hAnsi="华文楷体"/>
          <w:sz w:val="22"/>
        </w:rPr>
        <w:t>下降</w:t>
      </w:r>
      <w:r w:rsidR="005D10B7">
        <w:rPr>
          <w:rFonts w:ascii="华文楷体" w:eastAsia="华文楷体" w:hAnsi="华文楷体" w:hint="eastAsia"/>
          <w:sz w:val="22"/>
        </w:rPr>
        <w:t>、</w:t>
      </w:r>
      <w:r w:rsidR="00D46092" w:rsidRPr="005509A8">
        <w:rPr>
          <w:rFonts w:ascii="华文楷体" w:eastAsia="华文楷体" w:hAnsi="华文楷体"/>
          <w:sz w:val="22"/>
        </w:rPr>
        <w:t>市场情绪恢复</w:t>
      </w:r>
      <w:r w:rsidR="005D10B7">
        <w:rPr>
          <w:rFonts w:ascii="华文楷体" w:eastAsia="华文楷体" w:hAnsi="华文楷体" w:hint="eastAsia"/>
          <w:sz w:val="22"/>
        </w:rPr>
        <w:t>的</w:t>
      </w:r>
      <w:r w:rsidR="005D10B7">
        <w:rPr>
          <w:rFonts w:ascii="华文楷体" w:eastAsia="华文楷体" w:hAnsi="华文楷体"/>
          <w:sz w:val="22"/>
        </w:rPr>
        <w:t>过程中，</w:t>
      </w:r>
      <w:r w:rsidR="005D10B7">
        <w:rPr>
          <w:rFonts w:ascii="华文楷体" w:eastAsia="华文楷体" w:hAnsi="华文楷体" w:hint="eastAsia"/>
          <w:sz w:val="22"/>
        </w:rPr>
        <w:t>寻找</w:t>
      </w:r>
      <w:r w:rsidR="005D10B7">
        <w:rPr>
          <w:rFonts w:ascii="华文楷体" w:eastAsia="华文楷体" w:hAnsi="华文楷体"/>
          <w:sz w:val="22"/>
        </w:rPr>
        <w:t>前期</w:t>
      </w:r>
      <w:r w:rsidR="005D10B7">
        <w:rPr>
          <w:rFonts w:ascii="华文楷体" w:eastAsia="华文楷体" w:hAnsi="华文楷体" w:hint="eastAsia"/>
          <w:sz w:val="22"/>
        </w:rPr>
        <w:t>估值</w:t>
      </w:r>
      <w:r w:rsidR="005D10B7">
        <w:rPr>
          <w:rFonts w:ascii="华文楷体" w:eastAsia="华文楷体" w:hAnsi="华文楷体"/>
          <w:sz w:val="22"/>
        </w:rPr>
        <w:t>偏低，并且业绩确定，后期</w:t>
      </w:r>
      <w:r w:rsidR="005D10B7">
        <w:rPr>
          <w:rFonts w:ascii="华文楷体" w:eastAsia="华文楷体" w:hAnsi="华文楷体" w:hint="eastAsia"/>
          <w:sz w:val="22"/>
        </w:rPr>
        <w:t>可能</w:t>
      </w:r>
      <w:r w:rsidR="005D10B7">
        <w:rPr>
          <w:rFonts w:ascii="华文楷体" w:eastAsia="华文楷体" w:hAnsi="华文楷体"/>
          <w:sz w:val="22"/>
        </w:rPr>
        <w:t>有催化的板块做阶段性配置。</w:t>
      </w:r>
    </w:p>
    <w:p w14:paraId="00C50E75" w14:textId="60A77B9E" w:rsidR="00D46092" w:rsidRDefault="00D46092" w:rsidP="00B6162A">
      <w:pPr>
        <w:rPr>
          <w:rFonts w:ascii="华文楷体" w:eastAsia="华文楷体" w:hAnsi="华文楷体"/>
          <w:b/>
        </w:rPr>
      </w:pPr>
    </w:p>
    <w:p w14:paraId="22C85CC5" w14:textId="401C8BE7" w:rsidR="003E7570" w:rsidRDefault="003E7570" w:rsidP="00B6162A">
      <w:pPr>
        <w:rPr>
          <w:rFonts w:ascii="华文楷体" w:eastAsia="华文楷体" w:hAnsi="华文楷体"/>
          <w:b/>
        </w:rPr>
      </w:pPr>
    </w:p>
    <w:p w14:paraId="7B9BC93B" w14:textId="1E490508" w:rsidR="00C44DFC" w:rsidRDefault="00C44DFC" w:rsidP="00B6162A">
      <w:pPr>
        <w:rPr>
          <w:rFonts w:ascii="华文楷体" w:eastAsia="华文楷体" w:hAnsi="华文楷体"/>
          <w:b/>
        </w:rPr>
      </w:pPr>
    </w:p>
    <w:p w14:paraId="41CF2FF1" w14:textId="17BF65BA" w:rsidR="0060033A" w:rsidRDefault="0060033A" w:rsidP="00B6162A">
      <w:pPr>
        <w:rPr>
          <w:rFonts w:ascii="华文楷体" w:eastAsia="华文楷体" w:hAnsi="华文楷体"/>
          <w:b/>
        </w:rPr>
      </w:pPr>
    </w:p>
    <w:p w14:paraId="207CBF77" w14:textId="07D235FE" w:rsidR="0060033A" w:rsidRDefault="0060033A" w:rsidP="00B6162A">
      <w:pPr>
        <w:rPr>
          <w:rFonts w:ascii="华文楷体" w:eastAsia="华文楷体" w:hAnsi="华文楷体"/>
          <w:b/>
        </w:rPr>
      </w:pPr>
    </w:p>
    <w:p w14:paraId="6CCA0268" w14:textId="35609296" w:rsidR="0060033A" w:rsidRDefault="0060033A" w:rsidP="00B6162A">
      <w:pPr>
        <w:rPr>
          <w:rFonts w:ascii="华文楷体" w:eastAsia="华文楷体" w:hAnsi="华文楷体"/>
          <w:b/>
        </w:rPr>
      </w:pPr>
    </w:p>
    <w:p w14:paraId="548987D6" w14:textId="77777777" w:rsidR="0060033A" w:rsidRDefault="0060033A" w:rsidP="0060033A">
      <w:pPr>
        <w:rPr>
          <w:rFonts w:ascii="华文楷体" w:eastAsia="华文楷体" w:hAnsi="华文楷体"/>
          <w:b/>
          <w:bCs/>
          <w:sz w:val="28"/>
          <w:szCs w:val="28"/>
        </w:rPr>
      </w:pPr>
      <w:bookmarkStart w:id="0" w:name="_GoBack"/>
      <w:bookmarkEnd w:id="0"/>
      <w:r>
        <w:rPr>
          <w:rFonts w:ascii="华文楷体" w:eastAsia="华文楷体" w:hAnsi="华文楷体" w:hint="eastAsia"/>
          <w:b/>
          <w:bCs/>
          <w:sz w:val="28"/>
          <w:szCs w:val="28"/>
        </w:rPr>
        <w:t>四、中国债券市场展望及配置建议</w:t>
      </w:r>
    </w:p>
    <w:p w14:paraId="3B2D05CB" w14:textId="77777777" w:rsidR="0060033A" w:rsidRDefault="0060033A" w:rsidP="0060033A">
      <w:pPr>
        <w:rPr>
          <w:rFonts w:ascii="华文楷体" w:eastAsia="华文楷体" w:hAnsi="华文楷体"/>
          <w:b/>
          <w:bCs/>
          <w:sz w:val="28"/>
          <w:szCs w:val="28"/>
        </w:rPr>
      </w:pPr>
      <w:r>
        <w:rPr>
          <w:rFonts w:hint="eastAsia"/>
          <w:noProof/>
        </w:rPr>
        <w:drawing>
          <wp:anchor distT="4294967294" distB="4294967294" distL="114300" distR="114300" simplePos="0" relativeHeight="251668480" behindDoc="0" locked="0" layoutInCell="1" allowOverlap="1" wp14:anchorId="5DA55682" wp14:editId="2AF4AE7E">
            <wp:simplePos x="0" y="0"/>
            <wp:positionH relativeFrom="column">
              <wp:posOffset>-4445</wp:posOffset>
            </wp:positionH>
            <wp:positionV relativeFrom="paragraph">
              <wp:posOffset>-8255</wp:posOffset>
            </wp:positionV>
            <wp:extent cx="5286375" cy="47625"/>
            <wp:effectExtent l="0" t="0" r="9525" b="9525"/>
            <wp:wrapNone/>
            <wp:docPr id="12" name="图片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375" cy="47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44098C" w14:textId="77777777" w:rsidR="0060033A" w:rsidRDefault="0060033A" w:rsidP="0060033A">
      <w:pPr>
        <w:pStyle w:val="a7"/>
        <w:widowControl/>
        <w:numPr>
          <w:ilvl w:val="0"/>
          <w:numId w:val="20"/>
        </w:numPr>
        <w:ind w:firstLineChars="0"/>
        <w:rPr>
          <w:rFonts w:ascii="华文楷体" w:eastAsia="华文楷体" w:hAnsi="华文楷体"/>
          <w:b/>
          <w:bCs/>
          <w:sz w:val="22"/>
        </w:rPr>
      </w:pPr>
      <w:r>
        <w:rPr>
          <w:rFonts w:ascii="华文楷体" w:eastAsia="华文楷体" w:hAnsi="华文楷体" w:hint="eastAsia"/>
          <w:b/>
          <w:bCs/>
          <w:sz w:val="22"/>
        </w:rPr>
        <w:t>债券市场回顾与展望：</w:t>
      </w:r>
    </w:p>
    <w:p w14:paraId="522F20AA" w14:textId="77777777" w:rsidR="0060033A" w:rsidRDefault="0060033A" w:rsidP="0060033A">
      <w:pPr>
        <w:widowControl/>
        <w:numPr>
          <w:ilvl w:val="0"/>
          <w:numId w:val="24"/>
        </w:numPr>
        <w:snapToGrid w:val="0"/>
        <w:rPr>
          <w:rFonts w:ascii="华文楷体" w:eastAsia="华文楷体" w:hAnsi="华文楷体"/>
          <w:sz w:val="22"/>
        </w:rPr>
      </w:pPr>
      <w:r>
        <w:rPr>
          <w:rFonts w:ascii="华文楷体" w:eastAsia="华文楷体" w:hAnsi="华文楷体" w:hint="eastAsia"/>
          <w:b/>
          <w:bCs/>
          <w:sz w:val="22"/>
          <w:lang w:val="en-GB"/>
        </w:rPr>
        <w:t>2016</w:t>
      </w:r>
      <w:r>
        <w:rPr>
          <w:rFonts w:ascii="华文楷体" w:eastAsia="华文楷体" w:hAnsi="华文楷体" w:hint="eastAsia"/>
          <w:b/>
          <w:bCs/>
          <w:sz w:val="22"/>
        </w:rPr>
        <w:t>年上半年，债券市场整体经历震荡行情。</w:t>
      </w:r>
      <w:r>
        <w:rPr>
          <w:rFonts w:ascii="华文楷体" w:eastAsia="华文楷体" w:hAnsi="华文楷体" w:hint="eastAsia"/>
          <w:sz w:val="22"/>
        </w:rPr>
        <w:t>新年伊始，离岸人民币一度跌至6.76，再加上境内A股多次熔断，</w:t>
      </w:r>
      <w:proofErr w:type="gramStart"/>
      <w:r>
        <w:rPr>
          <w:rFonts w:ascii="华文楷体" w:eastAsia="华文楷体" w:hAnsi="华文楷体" w:hint="eastAsia"/>
          <w:sz w:val="22"/>
        </w:rPr>
        <w:t>降准预期</w:t>
      </w:r>
      <w:proofErr w:type="gramEnd"/>
      <w:r>
        <w:rPr>
          <w:rFonts w:ascii="华文楷体" w:eastAsia="华文楷体" w:hAnsi="华文楷体" w:hint="eastAsia"/>
          <w:sz w:val="22"/>
        </w:rPr>
        <w:t>落空，恐慌情绪蔓延，债券市场长端收益率上行9BP；之后央行出手打压国际空头势力，熔断机制取消，春节前后央行又通过MLF、</w:t>
      </w:r>
      <w:proofErr w:type="gramStart"/>
      <w:r>
        <w:rPr>
          <w:rFonts w:ascii="华文楷体" w:eastAsia="华文楷体" w:hAnsi="华文楷体" w:hint="eastAsia"/>
          <w:sz w:val="22"/>
        </w:rPr>
        <w:t>降准等</w:t>
      </w:r>
      <w:proofErr w:type="gramEnd"/>
      <w:r>
        <w:rPr>
          <w:rFonts w:ascii="华文楷体" w:eastAsia="华文楷体" w:hAnsi="华文楷体" w:hint="eastAsia"/>
          <w:sz w:val="22"/>
        </w:rPr>
        <w:t>释放流动性，市场走势较为平稳。进入3月底，随着MPA的第一次实施，市场流动性紧张，再加上财政政策发力，经济数据边际向好，随着全球大宗商品价格走高、猪价菜价上升等，通胀有所抬头，市场比较纠结。4月份以来，随着铁物资等违约事件的发酵，市场情绪非常脆弱，再叠加</w:t>
      </w:r>
      <w:proofErr w:type="gramStart"/>
      <w:r>
        <w:rPr>
          <w:rFonts w:ascii="华文楷体" w:eastAsia="华文楷体" w:hAnsi="华文楷体" w:hint="eastAsia"/>
          <w:sz w:val="22"/>
        </w:rPr>
        <w:t>营改增可能</w:t>
      </w:r>
      <w:proofErr w:type="gramEnd"/>
      <w:r>
        <w:rPr>
          <w:rFonts w:ascii="华文楷体" w:eastAsia="华文楷体" w:hAnsi="华文楷体" w:hint="eastAsia"/>
          <w:sz w:val="22"/>
        </w:rPr>
        <w:t>会对金融同业产生的负面影响，10年国开一度上行30BP，信用</w:t>
      </w:r>
      <w:proofErr w:type="gramStart"/>
      <w:r>
        <w:rPr>
          <w:rFonts w:ascii="华文楷体" w:eastAsia="华文楷体" w:hAnsi="华文楷体" w:hint="eastAsia"/>
          <w:sz w:val="22"/>
        </w:rPr>
        <w:t>债尤其</w:t>
      </w:r>
      <w:proofErr w:type="gramEnd"/>
      <w:r>
        <w:rPr>
          <w:rFonts w:ascii="华文楷体" w:eastAsia="华文楷体" w:hAnsi="华文楷体" w:hint="eastAsia"/>
          <w:sz w:val="22"/>
        </w:rPr>
        <w:t>是中低等级的信用利差扩大明显，但从4月下旬开始，“债王”将10年国债利率压在2.9%的低位，导致10年和7年曲线一度倒挂12BP，创下近十年的最大负利差；进入5月份后，权威人士发表讲话，经济和通胀再度放缓，叠加美联储FOMC会议、</w:t>
      </w:r>
      <w:proofErr w:type="gramStart"/>
      <w:r>
        <w:rPr>
          <w:rFonts w:ascii="华文楷体" w:eastAsia="华文楷体" w:hAnsi="华文楷体" w:hint="eastAsia"/>
          <w:sz w:val="22"/>
        </w:rPr>
        <w:t>英国退欧等</w:t>
      </w:r>
      <w:proofErr w:type="gramEnd"/>
      <w:r>
        <w:rPr>
          <w:rFonts w:ascii="华文楷体" w:eastAsia="华文楷体" w:hAnsi="华文楷体" w:hint="eastAsia"/>
          <w:sz w:val="22"/>
        </w:rPr>
        <w:t>事件的影响，长</w:t>
      </w:r>
      <w:proofErr w:type="gramStart"/>
      <w:r>
        <w:rPr>
          <w:rFonts w:ascii="华文楷体" w:eastAsia="华文楷体" w:hAnsi="华文楷体" w:hint="eastAsia"/>
          <w:sz w:val="22"/>
        </w:rPr>
        <w:t>端利率债</w:t>
      </w:r>
      <w:proofErr w:type="gramEnd"/>
      <w:r>
        <w:rPr>
          <w:rFonts w:ascii="华文楷体" w:eastAsia="华文楷体" w:hAnsi="华文楷体" w:hint="eastAsia"/>
          <w:sz w:val="22"/>
        </w:rPr>
        <w:t>震荡下行。</w:t>
      </w:r>
    </w:p>
    <w:p w14:paraId="75050DAB" w14:textId="77777777" w:rsidR="0060033A" w:rsidRDefault="0060033A" w:rsidP="0060033A">
      <w:pPr>
        <w:snapToGrid w:val="0"/>
        <w:ind w:left="420"/>
        <w:rPr>
          <w:rFonts w:ascii="华文楷体" w:eastAsia="华文楷体" w:hAnsi="华文楷体"/>
          <w:sz w:val="22"/>
        </w:rPr>
      </w:pPr>
    </w:p>
    <w:p w14:paraId="5DEA593F" w14:textId="77777777" w:rsidR="0060033A" w:rsidRDefault="0060033A" w:rsidP="0060033A">
      <w:pPr>
        <w:widowControl/>
        <w:numPr>
          <w:ilvl w:val="0"/>
          <w:numId w:val="24"/>
        </w:numPr>
        <w:snapToGrid w:val="0"/>
        <w:rPr>
          <w:rFonts w:ascii="华文楷体" w:eastAsia="华文楷体" w:hAnsi="华文楷体"/>
          <w:b/>
          <w:bCs/>
          <w:sz w:val="22"/>
        </w:rPr>
      </w:pPr>
      <w:r>
        <w:rPr>
          <w:rFonts w:ascii="华文楷体" w:eastAsia="华文楷体" w:hAnsi="华文楷体" w:hint="eastAsia"/>
          <w:b/>
          <w:bCs/>
          <w:sz w:val="22"/>
        </w:rPr>
        <w:t>展望2016年下半年，债券市场基本面喜忧参半，或难有趋势性行情。</w:t>
      </w:r>
    </w:p>
    <w:p w14:paraId="026EB71C" w14:textId="77777777" w:rsidR="0060033A" w:rsidRDefault="0060033A" w:rsidP="0060033A">
      <w:pPr>
        <w:snapToGrid w:val="0"/>
        <w:ind w:left="420"/>
        <w:rPr>
          <w:rFonts w:ascii="华文楷体" w:eastAsia="华文楷体" w:hAnsi="华文楷体"/>
          <w:sz w:val="22"/>
        </w:rPr>
      </w:pPr>
      <w:r>
        <w:rPr>
          <w:rFonts w:ascii="华文楷体" w:eastAsia="华文楷体" w:hAnsi="华文楷体" w:hint="eastAsia"/>
          <w:sz w:val="22"/>
        </w:rPr>
        <w:t>（1）首先，随着权威人士确认经济“L”型底，我们认为宏观经济短期企稳幅度依然有限、经济基本</w:t>
      </w:r>
      <w:proofErr w:type="gramStart"/>
      <w:r>
        <w:rPr>
          <w:rFonts w:ascii="华文楷体" w:eastAsia="华文楷体" w:hAnsi="华文楷体" w:hint="eastAsia"/>
          <w:sz w:val="22"/>
        </w:rPr>
        <w:t>面反弹</w:t>
      </w:r>
      <w:proofErr w:type="gramEnd"/>
      <w:r>
        <w:rPr>
          <w:rFonts w:ascii="华文楷体" w:eastAsia="华文楷体" w:hAnsi="华文楷体" w:hint="eastAsia"/>
          <w:sz w:val="22"/>
        </w:rPr>
        <w:t>动力较弱，且经济增长的长期压力依旧很大。</w:t>
      </w:r>
    </w:p>
    <w:p w14:paraId="6C734BE4" w14:textId="77777777" w:rsidR="0060033A" w:rsidRDefault="0060033A" w:rsidP="0060033A">
      <w:pPr>
        <w:snapToGrid w:val="0"/>
        <w:ind w:left="420"/>
        <w:rPr>
          <w:rFonts w:ascii="华文楷体" w:eastAsia="华文楷体" w:hAnsi="华文楷体"/>
          <w:sz w:val="22"/>
        </w:rPr>
      </w:pPr>
      <w:r>
        <w:rPr>
          <w:rFonts w:ascii="华文楷体" w:eastAsia="华文楷体" w:hAnsi="华文楷体" w:hint="eastAsia"/>
          <w:sz w:val="22"/>
        </w:rPr>
        <w:t>（2）其次，通货膨胀水平或</w:t>
      </w:r>
      <w:proofErr w:type="gramStart"/>
      <w:r>
        <w:rPr>
          <w:rFonts w:ascii="华文楷体" w:eastAsia="华文楷体" w:hAnsi="华文楷体" w:hint="eastAsia"/>
          <w:sz w:val="22"/>
        </w:rPr>
        <w:t>受食品</w:t>
      </w:r>
      <w:proofErr w:type="gramEnd"/>
      <w:r>
        <w:rPr>
          <w:rFonts w:ascii="华文楷体" w:eastAsia="华文楷体" w:hAnsi="华文楷体" w:hint="eastAsia"/>
          <w:sz w:val="22"/>
        </w:rPr>
        <w:t>价格的拖累进一步下行；机构投资者的资产配置需求依然较大，可能会对债市形成一定支撑。</w:t>
      </w:r>
    </w:p>
    <w:p w14:paraId="1E3355CE" w14:textId="77777777" w:rsidR="0060033A" w:rsidRDefault="0060033A" w:rsidP="0060033A">
      <w:pPr>
        <w:snapToGrid w:val="0"/>
        <w:ind w:left="420"/>
        <w:rPr>
          <w:rFonts w:ascii="华文楷体" w:eastAsia="华文楷体" w:hAnsi="华文楷体"/>
          <w:sz w:val="22"/>
        </w:rPr>
      </w:pPr>
      <w:r>
        <w:rPr>
          <w:rFonts w:ascii="华文楷体" w:eastAsia="华文楷体" w:hAnsi="华文楷体" w:hint="eastAsia"/>
          <w:sz w:val="22"/>
        </w:rPr>
        <w:t>（3）另一方面，人民币汇率依然面临贬值预期，英国二次公投、美国加息与否等海外因素也会对国内市场情绪造成影响，再加上杠杆调控、信用违约事件等，货币政策难以大幅宽松，上述因素或对债市收益率形成压力。</w:t>
      </w:r>
    </w:p>
    <w:p w14:paraId="326F8080" w14:textId="77777777" w:rsidR="0060033A" w:rsidRDefault="0060033A" w:rsidP="0060033A">
      <w:pPr>
        <w:snapToGrid w:val="0"/>
        <w:ind w:left="420"/>
        <w:rPr>
          <w:rFonts w:ascii="华文楷体" w:eastAsia="华文楷体" w:hAnsi="华文楷体"/>
          <w:sz w:val="22"/>
        </w:rPr>
      </w:pPr>
    </w:p>
    <w:p w14:paraId="2090F372" w14:textId="53751AEF" w:rsidR="0060033A" w:rsidRDefault="0060033A" w:rsidP="00855239">
      <w:pPr>
        <w:snapToGrid w:val="0"/>
        <w:ind w:left="420"/>
        <w:rPr>
          <w:rFonts w:ascii="华文楷体" w:eastAsia="华文楷体" w:hAnsi="华文楷体"/>
          <w:sz w:val="22"/>
        </w:rPr>
      </w:pPr>
      <w:r>
        <w:rPr>
          <w:rFonts w:ascii="华文楷体" w:eastAsia="华文楷体" w:hAnsi="华文楷体" w:hint="eastAsia"/>
          <w:b/>
          <w:bCs/>
          <w:sz w:val="22"/>
        </w:rPr>
        <w:t>总结：</w:t>
      </w:r>
      <w:r>
        <w:rPr>
          <w:rFonts w:ascii="华文楷体" w:eastAsia="华文楷体" w:hAnsi="华文楷体" w:hint="eastAsia"/>
          <w:sz w:val="22"/>
        </w:rPr>
        <w:t>因此，我们认为受短端收益率的制约，长</w:t>
      </w:r>
      <w:proofErr w:type="gramStart"/>
      <w:r>
        <w:rPr>
          <w:rFonts w:ascii="华文楷体" w:eastAsia="华文楷体" w:hAnsi="华文楷体" w:hint="eastAsia"/>
          <w:sz w:val="22"/>
        </w:rPr>
        <w:t>端品种</w:t>
      </w:r>
      <w:proofErr w:type="gramEnd"/>
      <w:r>
        <w:rPr>
          <w:rFonts w:ascii="华文楷体" w:eastAsia="华文楷体" w:hAnsi="华文楷体" w:hint="eastAsia"/>
          <w:sz w:val="22"/>
        </w:rPr>
        <w:t>下行幅度或有限；利率债主要把握波段机会而</w:t>
      </w:r>
      <w:proofErr w:type="gramStart"/>
      <w:r>
        <w:rPr>
          <w:rFonts w:ascii="华文楷体" w:eastAsia="华文楷体" w:hAnsi="华文楷体" w:hint="eastAsia"/>
          <w:sz w:val="22"/>
        </w:rPr>
        <w:t>非趋势</w:t>
      </w:r>
      <w:proofErr w:type="gramEnd"/>
      <w:r>
        <w:rPr>
          <w:rFonts w:ascii="华文楷体" w:eastAsia="华文楷体" w:hAnsi="华文楷体" w:hint="eastAsia"/>
          <w:sz w:val="22"/>
        </w:rPr>
        <w:t>性机会，并在信用债中寻找利差机会。</w:t>
      </w:r>
    </w:p>
    <w:p w14:paraId="76867AA8" w14:textId="77777777" w:rsidR="007148B8" w:rsidRPr="00855239" w:rsidRDefault="007148B8" w:rsidP="00855239">
      <w:pPr>
        <w:snapToGrid w:val="0"/>
        <w:ind w:left="420"/>
        <w:rPr>
          <w:rFonts w:ascii="华文楷体" w:eastAsia="华文楷体" w:hAnsi="华文楷体"/>
          <w:sz w:val="22"/>
        </w:rPr>
      </w:pPr>
    </w:p>
    <w:p w14:paraId="73D81FEC" w14:textId="77777777" w:rsidR="0060033A" w:rsidRDefault="0060033A" w:rsidP="0060033A">
      <w:pPr>
        <w:pStyle w:val="a7"/>
        <w:widowControl/>
        <w:numPr>
          <w:ilvl w:val="0"/>
          <w:numId w:val="20"/>
        </w:numPr>
        <w:ind w:firstLineChars="0"/>
        <w:rPr>
          <w:rFonts w:ascii="华文楷体" w:eastAsia="华文楷体" w:hAnsi="华文楷体"/>
          <w:b/>
          <w:bCs/>
          <w:sz w:val="22"/>
        </w:rPr>
      </w:pPr>
      <w:r>
        <w:rPr>
          <w:rFonts w:ascii="华文楷体" w:eastAsia="华文楷体" w:hAnsi="华文楷体" w:hint="eastAsia"/>
          <w:b/>
          <w:bCs/>
          <w:sz w:val="22"/>
        </w:rPr>
        <w:t>配置建议：</w:t>
      </w:r>
    </w:p>
    <w:p w14:paraId="454D93D3" w14:textId="77777777" w:rsidR="0060033A" w:rsidRDefault="0060033A" w:rsidP="0060033A">
      <w:pPr>
        <w:widowControl/>
        <w:numPr>
          <w:ilvl w:val="0"/>
          <w:numId w:val="24"/>
        </w:numPr>
        <w:snapToGrid w:val="0"/>
        <w:rPr>
          <w:rFonts w:ascii="华文楷体" w:eastAsia="华文楷体" w:hAnsi="华文楷体"/>
          <w:b/>
          <w:bCs/>
          <w:sz w:val="22"/>
        </w:rPr>
      </w:pPr>
      <w:r>
        <w:rPr>
          <w:rFonts w:ascii="华文楷体" w:eastAsia="华文楷体" w:hAnsi="华文楷体" w:hint="eastAsia"/>
          <w:b/>
          <w:bCs/>
          <w:sz w:val="22"/>
        </w:rPr>
        <w:t>把握波段行情、适度利用杠杆、严控信用风险。</w:t>
      </w:r>
    </w:p>
    <w:p w14:paraId="4C2CDF7E" w14:textId="77777777" w:rsidR="0060033A" w:rsidRDefault="0060033A" w:rsidP="0060033A">
      <w:pPr>
        <w:widowControl/>
        <w:numPr>
          <w:ilvl w:val="0"/>
          <w:numId w:val="24"/>
        </w:numPr>
        <w:snapToGrid w:val="0"/>
        <w:rPr>
          <w:rFonts w:ascii="华文楷体" w:eastAsia="华文楷体" w:hAnsi="华文楷体"/>
          <w:sz w:val="22"/>
        </w:rPr>
      </w:pPr>
      <w:r>
        <w:rPr>
          <w:rFonts w:ascii="华文楷体" w:eastAsia="华文楷体" w:hAnsi="华文楷体" w:hint="eastAsia"/>
          <w:b/>
          <w:bCs/>
          <w:sz w:val="22"/>
        </w:rPr>
        <w:t>把握波段行情：</w:t>
      </w:r>
      <w:r>
        <w:rPr>
          <w:rFonts w:ascii="华文楷体" w:eastAsia="华文楷体" w:hAnsi="华文楷体" w:hint="eastAsia"/>
          <w:sz w:val="22"/>
        </w:rPr>
        <w:t>如上分析，我们预计下半年债券市场多空因素交织，难有趋势性行情，利率</w:t>
      </w:r>
      <w:proofErr w:type="gramStart"/>
      <w:r>
        <w:rPr>
          <w:rFonts w:ascii="华文楷体" w:eastAsia="华文楷体" w:hAnsi="华文楷体" w:hint="eastAsia"/>
          <w:sz w:val="22"/>
        </w:rPr>
        <w:t>债机会</w:t>
      </w:r>
      <w:proofErr w:type="gramEnd"/>
      <w:r>
        <w:rPr>
          <w:rFonts w:ascii="华文楷体" w:eastAsia="华文楷体" w:hAnsi="华文楷体" w:hint="eastAsia"/>
          <w:sz w:val="22"/>
        </w:rPr>
        <w:t>更多在波段性行情中。</w:t>
      </w:r>
    </w:p>
    <w:p w14:paraId="7086B671" w14:textId="77777777" w:rsidR="0060033A" w:rsidRDefault="0060033A" w:rsidP="0060033A">
      <w:pPr>
        <w:widowControl/>
        <w:numPr>
          <w:ilvl w:val="0"/>
          <w:numId w:val="24"/>
        </w:numPr>
        <w:snapToGrid w:val="0"/>
        <w:rPr>
          <w:rFonts w:ascii="华文楷体" w:eastAsia="华文楷体" w:hAnsi="华文楷体"/>
          <w:sz w:val="22"/>
        </w:rPr>
      </w:pPr>
      <w:r>
        <w:rPr>
          <w:rFonts w:ascii="华文楷体" w:eastAsia="华文楷体" w:hAnsi="华文楷体" w:hint="eastAsia"/>
          <w:b/>
          <w:bCs/>
          <w:sz w:val="22"/>
        </w:rPr>
        <w:t>适当利用杠杆：</w:t>
      </w:r>
      <w:r>
        <w:rPr>
          <w:rFonts w:ascii="华文楷体" w:eastAsia="华文楷体" w:hAnsi="华文楷体" w:hint="eastAsia"/>
          <w:sz w:val="22"/>
        </w:rPr>
        <w:t>货币政策预计会维持稳健，银行间市场流动性有望保持相对宽松状态、资金利率有望保持低位，因此我们建议在保证流动性管理需求的情况下，可适度利用杠杆套息策略获取稳定票息收入。</w:t>
      </w:r>
    </w:p>
    <w:p w14:paraId="067C27E9" w14:textId="77777777" w:rsidR="009F4007" w:rsidRDefault="0060033A" w:rsidP="0060033A">
      <w:pPr>
        <w:widowControl/>
        <w:numPr>
          <w:ilvl w:val="0"/>
          <w:numId w:val="24"/>
        </w:numPr>
        <w:snapToGrid w:val="0"/>
        <w:rPr>
          <w:rFonts w:ascii="华文楷体" w:eastAsia="华文楷体" w:hAnsi="华文楷体"/>
          <w:sz w:val="22"/>
        </w:rPr>
      </w:pPr>
      <w:r>
        <w:rPr>
          <w:rFonts w:ascii="华文楷体" w:eastAsia="华文楷体" w:hAnsi="华文楷体" w:hint="eastAsia"/>
          <w:b/>
          <w:bCs/>
          <w:sz w:val="22"/>
        </w:rPr>
        <w:t>严控信用风险：</w:t>
      </w:r>
      <w:r>
        <w:rPr>
          <w:rFonts w:ascii="华文楷体" w:eastAsia="华文楷体" w:hAnsi="华文楷体" w:hint="eastAsia"/>
          <w:sz w:val="22"/>
        </w:rPr>
        <w:t>更加值得注意的是，在需求萎靡的宏观背景下，周期性行业的企业基本面情况恶化明显，另一方面，银行担忧不良率上升、惜贷现象显著上升，而通</w:t>
      </w:r>
    </w:p>
    <w:p w14:paraId="63B3377A" w14:textId="77777777" w:rsidR="009F4007" w:rsidRDefault="009F4007" w:rsidP="009F4007">
      <w:pPr>
        <w:widowControl/>
        <w:snapToGrid w:val="0"/>
        <w:ind w:left="420"/>
        <w:rPr>
          <w:rFonts w:ascii="华文楷体" w:eastAsia="华文楷体" w:hAnsi="华文楷体"/>
          <w:sz w:val="22"/>
        </w:rPr>
      </w:pPr>
    </w:p>
    <w:p w14:paraId="6D643E80" w14:textId="77777777" w:rsidR="009F4007" w:rsidRDefault="009F4007" w:rsidP="009F4007">
      <w:pPr>
        <w:widowControl/>
        <w:snapToGrid w:val="0"/>
        <w:ind w:left="420"/>
        <w:rPr>
          <w:rFonts w:ascii="华文楷体" w:eastAsia="华文楷体" w:hAnsi="华文楷体"/>
          <w:sz w:val="22"/>
        </w:rPr>
      </w:pPr>
    </w:p>
    <w:p w14:paraId="4E9712B2" w14:textId="61F3C87C" w:rsidR="0060033A" w:rsidRDefault="0060033A" w:rsidP="009F4007">
      <w:pPr>
        <w:widowControl/>
        <w:snapToGrid w:val="0"/>
        <w:ind w:left="420"/>
        <w:rPr>
          <w:rFonts w:ascii="华文楷体" w:eastAsia="华文楷体" w:hAnsi="华文楷体"/>
          <w:sz w:val="22"/>
        </w:rPr>
      </w:pPr>
      <w:r>
        <w:rPr>
          <w:rFonts w:ascii="华文楷体" w:eastAsia="华文楷体" w:hAnsi="华文楷体" w:hint="eastAsia"/>
          <w:sz w:val="22"/>
        </w:rPr>
        <w:t>过债券市场融资的难度大幅提升，今年上半年已经有多家企业被迫取消发行，内外现金流双重压力导致企业偿债能力显著下滑；去年以来，中国债券市场已出现多</w:t>
      </w:r>
      <w:r w:rsidR="009F4007">
        <w:rPr>
          <w:rFonts w:ascii="华文楷体" w:eastAsia="华文楷体" w:hAnsi="华文楷体" w:hint="eastAsia"/>
          <w:sz w:val="22"/>
        </w:rPr>
        <w:t>起</w:t>
      </w:r>
    </w:p>
    <w:p w14:paraId="7B120CCD" w14:textId="14B528A2" w:rsidR="0060033A" w:rsidRDefault="0060033A" w:rsidP="00855239">
      <w:pPr>
        <w:widowControl/>
        <w:snapToGrid w:val="0"/>
        <w:ind w:left="420"/>
        <w:rPr>
          <w:rFonts w:ascii="华文楷体" w:eastAsia="华文楷体" w:hAnsi="华文楷体"/>
          <w:sz w:val="22"/>
        </w:rPr>
      </w:pPr>
      <w:r>
        <w:rPr>
          <w:rFonts w:ascii="华文楷体" w:eastAsia="华文楷体" w:hAnsi="华文楷体" w:hint="eastAsia"/>
          <w:sz w:val="22"/>
        </w:rPr>
        <w:t>违约事件，进入今年后，违约频率进一步提升，包括东北特钢、铁物资等，对债券市场造成较大冲击。今年下半年预计有2.2</w:t>
      </w:r>
      <w:proofErr w:type="gramStart"/>
      <w:r>
        <w:rPr>
          <w:rFonts w:ascii="华文楷体" w:eastAsia="华文楷体" w:hAnsi="华文楷体" w:hint="eastAsia"/>
          <w:sz w:val="22"/>
        </w:rPr>
        <w:t>万亿</w:t>
      </w:r>
      <w:proofErr w:type="gramEnd"/>
      <w:r>
        <w:rPr>
          <w:rFonts w:ascii="华文楷体" w:eastAsia="华文楷体" w:hAnsi="华文楷体" w:hint="eastAsia"/>
          <w:sz w:val="22"/>
        </w:rPr>
        <w:t>债券到期，其中很多属于产能过剩行业，届时能否按期偿付存在一定不确定性；所以，我们建议对强周期性行业保持十分谨慎的投资态度，对经营基本面出现显著恶化的企业采取严格规避的措施。</w:t>
      </w:r>
    </w:p>
    <w:p w14:paraId="7E820922" w14:textId="77777777" w:rsidR="0060033A" w:rsidRDefault="0060033A" w:rsidP="0060033A"/>
    <w:p w14:paraId="1BC44B4D" w14:textId="77777777" w:rsidR="0060033A" w:rsidRPr="0060033A" w:rsidRDefault="0060033A" w:rsidP="00855239">
      <w:pPr>
        <w:adjustRightInd w:val="0"/>
        <w:snapToGrid w:val="0"/>
        <w:rPr>
          <w:rFonts w:ascii="华文楷体" w:eastAsia="华文楷体" w:hAnsi="华文楷体"/>
          <w:sz w:val="22"/>
        </w:rPr>
      </w:pPr>
    </w:p>
    <w:p w14:paraId="1AAF7B40" w14:textId="77777777" w:rsidR="0060033A" w:rsidRDefault="0060033A" w:rsidP="003E7570"/>
    <w:p w14:paraId="0D2F05C7" w14:textId="77777777" w:rsidR="00B6162A" w:rsidRPr="000E75E3" w:rsidRDefault="00B6162A" w:rsidP="00B6162A">
      <w:pPr>
        <w:rPr>
          <w:rFonts w:ascii="华文楷体" w:eastAsia="华文楷体" w:hAnsi="华文楷体"/>
          <w:b/>
        </w:rPr>
      </w:pPr>
      <w:r w:rsidRPr="000E75E3">
        <w:rPr>
          <w:rFonts w:ascii="华文楷体" w:eastAsia="华文楷体" w:hAnsi="华文楷体" w:hint="eastAsia"/>
          <w:b/>
        </w:rPr>
        <w:t>免责条款:</w:t>
      </w:r>
    </w:p>
    <w:p w14:paraId="5FFD6B5F" w14:textId="77777777" w:rsidR="00F62836" w:rsidRPr="000E75E3" w:rsidRDefault="004A255B" w:rsidP="00B6162A">
      <w:pPr>
        <w:rPr>
          <w:rFonts w:ascii="华文楷体" w:eastAsia="华文楷体" w:hAnsi="华文楷体"/>
        </w:rPr>
      </w:pPr>
      <w:r w:rsidRPr="000E75E3">
        <w:rPr>
          <w:rFonts w:ascii="华文楷体" w:eastAsia="华文楷体" w:hAnsi="华文楷体" w:hint="eastAsia"/>
        </w:rPr>
        <w:t>本报告为研究人员</w:t>
      </w:r>
      <w:r w:rsidR="00B6162A" w:rsidRPr="000E75E3">
        <w:rPr>
          <w:rFonts w:ascii="华文楷体" w:eastAsia="华文楷体" w:hAnsi="华文楷体" w:hint="eastAsia"/>
        </w:rPr>
        <w:t>依据公开资料和调研信息撰写，本公司不对本报告所涉及的任何法律问题做任何保证。本报告中的信息均来源于已公开的资料，本公司对这些信息的准确性及完整性不作任何保证。报告中的信息或所表达的意见并不构成所述</w:t>
      </w:r>
      <w:r w:rsidR="003408EB" w:rsidRPr="000E75E3">
        <w:rPr>
          <w:rFonts w:ascii="华文楷体" w:eastAsia="华文楷体" w:hAnsi="华文楷体" w:hint="eastAsia"/>
        </w:rPr>
        <w:t>具体</w:t>
      </w:r>
      <w:r w:rsidR="00B6162A" w:rsidRPr="000E75E3">
        <w:rPr>
          <w:rFonts w:ascii="华文楷体" w:eastAsia="华文楷体" w:hAnsi="华文楷体" w:hint="eastAsia"/>
        </w:rPr>
        <w:t>证券买卖的出价</w:t>
      </w:r>
      <w:proofErr w:type="gramStart"/>
      <w:r w:rsidR="00B6162A" w:rsidRPr="000E75E3">
        <w:rPr>
          <w:rFonts w:ascii="华文楷体" w:eastAsia="华文楷体" w:hAnsi="华文楷体" w:hint="eastAsia"/>
        </w:rPr>
        <w:t>或征价</w:t>
      </w:r>
      <w:proofErr w:type="gramEnd"/>
      <w:r w:rsidR="00B6162A" w:rsidRPr="000E75E3">
        <w:rPr>
          <w:rFonts w:ascii="华文楷体" w:eastAsia="华文楷体" w:hAnsi="华文楷体" w:hint="eastAsia"/>
        </w:rPr>
        <w:t>。</w:t>
      </w:r>
    </w:p>
    <w:p w14:paraId="180D11AD" w14:textId="77777777" w:rsidR="00F368A9" w:rsidRPr="000E75E3" w:rsidRDefault="00F368A9" w:rsidP="00B6162A">
      <w:pPr>
        <w:rPr>
          <w:rFonts w:ascii="华文楷体" w:eastAsia="华文楷体" w:hAnsi="华文楷体"/>
        </w:rPr>
      </w:pPr>
    </w:p>
    <w:p w14:paraId="486BDE7B" w14:textId="77777777" w:rsidR="00B6162A" w:rsidRPr="000E75E3" w:rsidRDefault="00B6162A" w:rsidP="00B6162A">
      <w:pPr>
        <w:rPr>
          <w:rFonts w:ascii="华文楷体" w:eastAsia="华文楷体" w:hAnsi="华文楷体"/>
          <w:b/>
        </w:rPr>
      </w:pPr>
      <w:r w:rsidRPr="000E75E3">
        <w:rPr>
          <w:rFonts w:ascii="华文楷体" w:eastAsia="华文楷体" w:hAnsi="华文楷体" w:hint="eastAsia"/>
          <w:b/>
        </w:rPr>
        <w:t>转载条款</w:t>
      </w:r>
    </w:p>
    <w:p w14:paraId="6D42FD35" w14:textId="77777777" w:rsidR="00F62836" w:rsidRPr="000E75E3" w:rsidRDefault="00B6162A" w:rsidP="00B6162A">
      <w:pPr>
        <w:rPr>
          <w:rFonts w:ascii="华文楷体" w:eastAsia="华文楷体" w:hAnsi="华文楷体"/>
        </w:rPr>
      </w:pPr>
      <w:r w:rsidRPr="000E75E3">
        <w:rPr>
          <w:rFonts w:ascii="华文楷体" w:eastAsia="华文楷体" w:hAnsi="华文楷体" w:hint="eastAsia"/>
        </w:rPr>
        <w:t>本报告</w:t>
      </w:r>
      <w:proofErr w:type="gramStart"/>
      <w:r w:rsidRPr="000E75E3">
        <w:rPr>
          <w:rFonts w:ascii="华文楷体" w:eastAsia="华文楷体" w:hAnsi="华文楷体" w:hint="eastAsia"/>
        </w:rPr>
        <w:t>版权归</w:t>
      </w:r>
      <w:r w:rsidR="003468CE" w:rsidRPr="000E75E3">
        <w:rPr>
          <w:rFonts w:ascii="华文楷体" w:eastAsia="华文楷体" w:hAnsi="华文楷体" w:hint="eastAsia"/>
        </w:rPr>
        <w:t>交银</w:t>
      </w:r>
      <w:proofErr w:type="gramEnd"/>
      <w:r w:rsidR="003468CE" w:rsidRPr="000E75E3">
        <w:rPr>
          <w:rFonts w:ascii="华文楷体" w:eastAsia="华文楷体" w:hAnsi="华文楷体" w:hint="eastAsia"/>
        </w:rPr>
        <w:t>施罗德基金管理有限公司</w:t>
      </w:r>
      <w:r w:rsidRPr="000E75E3">
        <w:rPr>
          <w:rFonts w:ascii="华文楷体" w:eastAsia="华文楷体" w:hAnsi="华文楷体" w:hint="eastAsia"/>
        </w:rPr>
        <w:t>所有，未经</w:t>
      </w:r>
      <w:r w:rsidR="00196D19" w:rsidRPr="000E75E3">
        <w:rPr>
          <w:rFonts w:ascii="华文楷体" w:eastAsia="华文楷体" w:hAnsi="华文楷体" w:hint="eastAsia"/>
        </w:rPr>
        <w:t>本</w:t>
      </w:r>
      <w:r w:rsidRPr="000E75E3">
        <w:rPr>
          <w:rFonts w:ascii="华文楷体" w:eastAsia="华文楷体" w:hAnsi="华文楷体" w:hint="eastAsia"/>
        </w:rPr>
        <w:t>公司书面授权，任何机构、个人不得刊载转发本报告或者以其他任何形式使用本报告及其内容、数据。</w:t>
      </w:r>
    </w:p>
    <w:sectPr w:rsidR="00F62836" w:rsidRPr="000E75E3" w:rsidSect="007633A1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40" w:right="1797" w:bottom="1440" w:left="1797" w:header="851" w:footer="992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1D2AE5" w14:textId="77777777" w:rsidR="003A51E7" w:rsidRDefault="003A51E7" w:rsidP="000A49AF">
      <w:r>
        <w:separator/>
      </w:r>
    </w:p>
  </w:endnote>
  <w:endnote w:type="continuationSeparator" w:id="0">
    <w:p w14:paraId="6612F6B9" w14:textId="77777777" w:rsidR="003A51E7" w:rsidRDefault="003A51E7" w:rsidP="000A4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1FC6AB" w14:textId="24896589" w:rsidR="00794DDD" w:rsidRDefault="00421A41" w:rsidP="00855239">
    <w:pPr>
      <w:pStyle w:val="a4"/>
    </w:pPr>
    <w:r>
      <w:rPr>
        <w:rFonts w:hint="eastAsia"/>
      </w:rPr>
      <w:t xml:space="preserve">                                                                                        </w:t>
    </w:r>
    <w:r w:rsidR="0082589E">
      <w:tab/>
    </w:r>
  </w:p>
  <w:p w14:paraId="401563D7" w14:textId="77777777" w:rsidR="00E01639" w:rsidRPr="00A20270" w:rsidRDefault="00794DDD">
    <w:pPr>
      <w:pStyle w:val="a4"/>
      <w:rPr>
        <w:rFonts w:ascii="华文楷体" w:eastAsia="华文楷体" w:hAnsi="华文楷体"/>
      </w:rPr>
    </w:pPr>
    <w:r w:rsidRPr="00A20270">
      <w:rPr>
        <w:rFonts w:ascii="华文楷体" w:eastAsia="华文楷体" w:hAnsi="华文楷体" w:hint="eastAsia"/>
      </w:rPr>
      <w:t>本报告中所有观点仅供参考，请务必阅读正文之后的免责声明。</w:t>
    </w:r>
    <w:r w:rsidR="0082589E" w:rsidRPr="00A20270">
      <w:rPr>
        <w:rFonts w:ascii="华文楷体" w:eastAsia="华文楷体" w:hAnsi="华文楷体" w:hint="eastAsia"/>
      </w:rPr>
      <w:t xml:space="preserve">                       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CF1711" w14:textId="07667DF0" w:rsidR="00955E13" w:rsidRDefault="00955E13">
    <w:pPr>
      <w:pStyle w:val="a4"/>
    </w:pPr>
    <w:r>
      <w:rPr>
        <w:rFonts w:hint="eastAsia"/>
      </w:rPr>
      <w:t xml:space="preserve"> </w:t>
    </w:r>
    <w:r w:rsidRPr="003F3978">
      <w:rPr>
        <w:rFonts w:ascii="华文楷体" w:eastAsia="华文楷体" w:hAnsi="华文楷体" w:hint="eastAsia"/>
      </w:rPr>
      <w:t xml:space="preserve">本报告中所有观点仅供参考，请务必阅读正文之后的免责声明。  </w:t>
    </w:r>
    <w:r>
      <w:rPr>
        <w:rFonts w:ascii="微软雅黑" w:eastAsia="微软雅黑" w:hAnsi="微软雅黑" w:hint="eastAsia"/>
      </w:rPr>
      <w:t xml:space="preserve">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3E616D" w14:textId="77777777" w:rsidR="003A51E7" w:rsidRDefault="003A51E7" w:rsidP="000A49AF">
      <w:r>
        <w:separator/>
      </w:r>
    </w:p>
  </w:footnote>
  <w:footnote w:type="continuationSeparator" w:id="0">
    <w:p w14:paraId="703A4B7E" w14:textId="77777777" w:rsidR="003A51E7" w:rsidRDefault="003A51E7" w:rsidP="000A49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65A8F5" w14:textId="4EC332B2" w:rsidR="0060033A" w:rsidRDefault="0060033A" w:rsidP="00855239">
    <w:pPr>
      <w:rPr>
        <w:rFonts w:ascii="微软雅黑" w:eastAsia="微软雅黑" w:hAnsi="微软雅黑"/>
        <w:b/>
        <w:color w:val="4F81BD"/>
        <w:sz w:val="28"/>
        <w:szCs w:val="28"/>
      </w:rPr>
    </w:pPr>
    <w:r w:rsidRPr="00C17145">
      <w:rPr>
        <w:rFonts w:ascii="华文楷体" w:eastAsia="华文楷体" w:hAnsi="华文楷体"/>
        <w:b/>
        <w:noProof/>
        <w:color w:val="4F81BD"/>
        <w:sz w:val="32"/>
        <w:szCs w:val="32"/>
      </w:rPr>
      <mc:AlternateContent>
        <mc:Choice Requires="wps">
          <w:drawing>
            <wp:anchor distT="45720" distB="45720" distL="114300" distR="114300" simplePos="0" relativeHeight="251673600" behindDoc="0" locked="0" layoutInCell="1" allowOverlap="1" wp14:anchorId="7AF02AB5" wp14:editId="78F0F2CB">
              <wp:simplePos x="0" y="0"/>
              <wp:positionH relativeFrom="column">
                <wp:posOffset>-466725</wp:posOffset>
              </wp:positionH>
              <wp:positionV relativeFrom="paragraph">
                <wp:posOffset>55880</wp:posOffset>
              </wp:positionV>
              <wp:extent cx="4695825" cy="419100"/>
              <wp:effectExtent l="0" t="0" r="28575" b="19050"/>
              <wp:wrapSquare wrapText="bothSides"/>
              <wp:docPr id="11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95825" cy="419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D8637A4" w14:textId="77777777" w:rsidR="0060033A" w:rsidRPr="00C17145" w:rsidRDefault="0060033A" w:rsidP="0060033A">
                          <w:pPr>
                            <w:ind w:leftChars="50" w:left="105"/>
                            <w:rPr>
                              <w:rFonts w:ascii="华文楷体" w:eastAsia="华文楷体" w:hAnsi="华文楷体"/>
                              <w:b/>
                              <w:color w:val="4F81BD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华文楷体" w:eastAsia="华文楷体" w:hAnsi="华文楷体" w:hint="eastAsia"/>
                              <w:b/>
                              <w:color w:val="4F81BD"/>
                              <w:sz w:val="32"/>
                              <w:szCs w:val="32"/>
                            </w:rPr>
                            <w:t>交</w:t>
                          </w:r>
                          <w:r w:rsidRPr="000E75E3">
                            <w:rPr>
                              <w:rFonts w:ascii="华文楷体" w:eastAsia="华文楷体" w:hAnsi="华文楷体" w:hint="eastAsia"/>
                              <w:b/>
                              <w:color w:val="4F81BD"/>
                              <w:sz w:val="32"/>
                              <w:szCs w:val="32"/>
                            </w:rPr>
                            <w:t>银施罗德基金201</w:t>
                          </w:r>
                          <w:r>
                            <w:rPr>
                              <w:rFonts w:ascii="华文楷体" w:eastAsia="华文楷体" w:hAnsi="华文楷体"/>
                              <w:b/>
                              <w:color w:val="4F81BD"/>
                              <w:sz w:val="32"/>
                              <w:szCs w:val="32"/>
                            </w:rPr>
                            <w:t>6</w:t>
                          </w:r>
                          <w:r w:rsidRPr="000E75E3">
                            <w:rPr>
                              <w:rFonts w:ascii="华文楷体" w:eastAsia="华文楷体" w:hAnsi="华文楷体" w:hint="eastAsia"/>
                              <w:b/>
                              <w:color w:val="4F81BD"/>
                              <w:sz w:val="32"/>
                              <w:szCs w:val="32"/>
                            </w:rPr>
                            <w:t>年</w:t>
                          </w:r>
                          <w:r>
                            <w:rPr>
                              <w:rFonts w:ascii="华文楷体" w:eastAsia="华文楷体" w:hAnsi="华文楷体" w:hint="eastAsia"/>
                              <w:b/>
                              <w:color w:val="4F81BD"/>
                              <w:sz w:val="32"/>
                              <w:szCs w:val="32"/>
                            </w:rPr>
                            <w:t>下半年</w:t>
                          </w:r>
                          <w:r w:rsidRPr="000E75E3">
                            <w:rPr>
                              <w:rFonts w:ascii="华文楷体" w:eastAsia="华文楷体" w:hAnsi="华文楷体" w:hint="eastAsia"/>
                              <w:b/>
                              <w:color w:val="4F81BD"/>
                              <w:sz w:val="32"/>
                              <w:szCs w:val="32"/>
                            </w:rPr>
                            <w:t>宏观策略展望报告</w:t>
                          </w:r>
                        </w:p>
                        <w:p w14:paraId="011181E6" w14:textId="77777777" w:rsidR="0060033A" w:rsidRPr="00C17145" w:rsidRDefault="0060033A" w:rsidP="0060033A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F02AB5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left:0;text-align:left;margin-left:-36.75pt;margin-top:4.4pt;width:369.75pt;height:33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" strokecolor="white [3212]">
              <v:textbox>
                <w:txbxContent>
                  <w:p w14:paraId="5D8637A4" w14:textId="77777777" w:rsidR="0060033A" w:rsidRPr="00C17145" w:rsidRDefault="0060033A" w:rsidP="0060033A">
                    <w:pPr>
                      <w:ind w:leftChars="50" w:left="105"/>
                      <w:rPr>
                        <w:rFonts w:ascii="华文楷体" w:eastAsia="华文楷体" w:hAnsi="华文楷体" w:hint="eastAsia"/>
                        <w:b/>
                        <w:color w:val="4F81BD"/>
                        <w:sz w:val="32"/>
                        <w:szCs w:val="32"/>
                      </w:rPr>
                    </w:pPr>
                    <w:r>
                      <w:rPr>
                        <w:rFonts w:ascii="华文楷体" w:eastAsia="华文楷体" w:hAnsi="华文楷体" w:hint="eastAsia"/>
                        <w:b/>
                        <w:color w:val="4F81BD"/>
                        <w:sz w:val="32"/>
                        <w:szCs w:val="32"/>
                      </w:rPr>
                      <w:t>交</w:t>
                    </w:r>
                    <w:r w:rsidRPr="000E75E3">
                      <w:rPr>
                        <w:rFonts w:ascii="华文楷体" w:eastAsia="华文楷体" w:hAnsi="华文楷体" w:hint="eastAsia"/>
                        <w:b/>
                        <w:color w:val="4F81BD"/>
                        <w:sz w:val="32"/>
                        <w:szCs w:val="32"/>
                      </w:rPr>
                      <w:t>银施罗德基金201</w:t>
                    </w:r>
                    <w:r>
                      <w:rPr>
                        <w:rFonts w:ascii="华文楷体" w:eastAsia="华文楷体" w:hAnsi="华文楷体"/>
                        <w:b/>
                        <w:color w:val="4F81BD"/>
                        <w:sz w:val="32"/>
                        <w:szCs w:val="32"/>
                      </w:rPr>
                      <w:t>6</w:t>
                    </w:r>
                    <w:r w:rsidRPr="000E75E3">
                      <w:rPr>
                        <w:rFonts w:ascii="华文楷体" w:eastAsia="华文楷体" w:hAnsi="华文楷体" w:hint="eastAsia"/>
                        <w:b/>
                        <w:color w:val="4F81BD"/>
                        <w:sz w:val="32"/>
                        <w:szCs w:val="32"/>
                      </w:rPr>
                      <w:t>年</w:t>
                    </w:r>
                    <w:r>
                      <w:rPr>
                        <w:rFonts w:ascii="华文楷体" w:eastAsia="华文楷体" w:hAnsi="华文楷体" w:hint="eastAsia"/>
                        <w:b/>
                        <w:color w:val="4F81BD"/>
                        <w:sz w:val="32"/>
                        <w:szCs w:val="32"/>
                      </w:rPr>
                      <w:t>下半年</w:t>
                    </w:r>
                    <w:r w:rsidRPr="000E75E3">
                      <w:rPr>
                        <w:rFonts w:ascii="华文楷体" w:eastAsia="华文楷体" w:hAnsi="华文楷体" w:hint="eastAsia"/>
                        <w:b/>
                        <w:color w:val="4F81BD"/>
                        <w:sz w:val="32"/>
                        <w:szCs w:val="32"/>
                      </w:rPr>
                      <w:t>宏观策略展望报告</w:t>
                    </w:r>
                  </w:p>
                  <w:p w14:paraId="011181E6" w14:textId="77777777" w:rsidR="0060033A" w:rsidRPr="00C17145" w:rsidRDefault="0060033A" w:rsidP="0060033A"/>
                </w:txbxContent>
              </v:textbox>
              <w10:wrap type="square"/>
            </v:shape>
          </w:pict>
        </mc:Fallback>
      </mc:AlternateContent>
    </w:r>
    <w:r w:rsidRPr="00855239">
      <w:rPr>
        <w:noProof/>
      </w:rPr>
      <w:drawing>
        <wp:anchor distT="0" distB="0" distL="114300" distR="114300" simplePos="0" relativeHeight="251671552" behindDoc="1" locked="0" layoutInCell="1" allowOverlap="1" wp14:anchorId="59EEF0BF" wp14:editId="607CE17B">
          <wp:simplePos x="0" y="0"/>
          <wp:positionH relativeFrom="page">
            <wp:posOffset>-97790</wp:posOffset>
          </wp:positionH>
          <wp:positionV relativeFrom="paragraph">
            <wp:posOffset>-542290</wp:posOffset>
          </wp:positionV>
          <wp:extent cx="7657465" cy="1104900"/>
          <wp:effectExtent l="0" t="0" r="635" b="0"/>
          <wp:wrapNone/>
          <wp:docPr id="10" name="图片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栏头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7465" cy="1104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A114615" w14:textId="77777777" w:rsidR="00D61EF1" w:rsidRPr="00D61EF1" w:rsidRDefault="00D61EF1" w:rsidP="0085523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08BD91" w14:textId="1805F7F7" w:rsidR="0060033A" w:rsidRDefault="0060033A" w:rsidP="0060033A">
    <w:pPr>
      <w:rPr>
        <w:rFonts w:ascii="华文楷体" w:eastAsia="华文楷体" w:hAnsi="华文楷体"/>
        <w:b/>
        <w:color w:val="4F81BD"/>
        <w:sz w:val="32"/>
        <w:szCs w:val="32"/>
      </w:rPr>
    </w:pPr>
    <w:r w:rsidRPr="00855239">
      <w:rPr>
        <w:noProof/>
      </w:rPr>
      <w:drawing>
        <wp:anchor distT="0" distB="0" distL="114300" distR="114300" simplePos="0" relativeHeight="251665408" behindDoc="1" locked="0" layoutInCell="1" allowOverlap="1" wp14:anchorId="09B0F971" wp14:editId="3DE5F9F6">
          <wp:simplePos x="0" y="0"/>
          <wp:positionH relativeFrom="page">
            <wp:align>left</wp:align>
          </wp:positionH>
          <wp:positionV relativeFrom="paragraph">
            <wp:posOffset>-542290</wp:posOffset>
          </wp:positionV>
          <wp:extent cx="7657518" cy="1104900"/>
          <wp:effectExtent l="0" t="0" r="635" b="0"/>
          <wp:wrapNone/>
          <wp:docPr id="6" name="图片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栏头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8418" cy="11050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17145">
      <w:rPr>
        <w:rFonts w:ascii="华文楷体" w:eastAsia="华文楷体" w:hAnsi="华文楷体"/>
        <w:b/>
        <w:noProof/>
        <w:color w:val="4F81BD"/>
        <w:sz w:val="32"/>
        <w:szCs w:val="32"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49F3C17F" wp14:editId="380685D7">
              <wp:simplePos x="0" y="0"/>
              <wp:positionH relativeFrom="column">
                <wp:posOffset>-514350</wp:posOffset>
              </wp:positionH>
              <wp:positionV relativeFrom="paragraph">
                <wp:posOffset>102870</wp:posOffset>
              </wp:positionV>
              <wp:extent cx="4695825" cy="419100"/>
              <wp:effectExtent l="0" t="0" r="28575" b="19050"/>
              <wp:wrapSquare wrapText="bothSides"/>
              <wp:docPr id="9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95825" cy="419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33CABFC" w14:textId="77777777" w:rsidR="0060033A" w:rsidRPr="00C17145" w:rsidRDefault="0060033A" w:rsidP="0060033A">
                          <w:pPr>
                            <w:ind w:leftChars="50" w:left="105"/>
                            <w:rPr>
                              <w:rFonts w:ascii="华文楷体" w:eastAsia="华文楷体" w:hAnsi="华文楷体"/>
                              <w:b/>
                              <w:color w:val="4F81BD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华文楷体" w:eastAsia="华文楷体" w:hAnsi="华文楷体" w:hint="eastAsia"/>
                              <w:b/>
                              <w:color w:val="4F81BD"/>
                              <w:sz w:val="32"/>
                              <w:szCs w:val="32"/>
                            </w:rPr>
                            <w:t>交</w:t>
                          </w:r>
                          <w:r w:rsidRPr="000E75E3">
                            <w:rPr>
                              <w:rFonts w:ascii="华文楷体" w:eastAsia="华文楷体" w:hAnsi="华文楷体" w:hint="eastAsia"/>
                              <w:b/>
                              <w:color w:val="4F81BD"/>
                              <w:sz w:val="32"/>
                              <w:szCs w:val="32"/>
                            </w:rPr>
                            <w:t>银施罗德基金201</w:t>
                          </w:r>
                          <w:r>
                            <w:rPr>
                              <w:rFonts w:ascii="华文楷体" w:eastAsia="华文楷体" w:hAnsi="华文楷体"/>
                              <w:b/>
                              <w:color w:val="4F81BD"/>
                              <w:sz w:val="32"/>
                              <w:szCs w:val="32"/>
                            </w:rPr>
                            <w:t>6</w:t>
                          </w:r>
                          <w:r w:rsidRPr="000E75E3">
                            <w:rPr>
                              <w:rFonts w:ascii="华文楷体" w:eastAsia="华文楷体" w:hAnsi="华文楷体" w:hint="eastAsia"/>
                              <w:b/>
                              <w:color w:val="4F81BD"/>
                              <w:sz w:val="32"/>
                              <w:szCs w:val="32"/>
                            </w:rPr>
                            <w:t>年</w:t>
                          </w:r>
                          <w:r>
                            <w:rPr>
                              <w:rFonts w:ascii="华文楷体" w:eastAsia="华文楷体" w:hAnsi="华文楷体" w:hint="eastAsia"/>
                              <w:b/>
                              <w:color w:val="4F81BD"/>
                              <w:sz w:val="32"/>
                              <w:szCs w:val="32"/>
                            </w:rPr>
                            <w:t>下半年</w:t>
                          </w:r>
                          <w:r w:rsidRPr="000E75E3">
                            <w:rPr>
                              <w:rFonts w:ascii="华文楷体" w:eastAsia="华文楷体" w:hAnsi="华文楷体" w:hint="eastAsia"/>
                              <w:b/>
                              <w:color w:val="4F81BD"/>
                              <w:sz w:val="32"/>
                              <w:szCs w:val="32"/>
                            </w:rPr>
                            <w:t>宏观策略展望报告</w:t>
                          </w:r>
                        </w:p>
                        <w:p w14:paraId="699EB08C" w14:textId="77777777" w:rsidR="0060033A" w:rsidRPr="00C17145" w:rsidRDefault="0060033A" w:rsidP="0060033A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F3C17F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-40.5pt;margin-top:8.1pt;width:369.75pt;height:33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" strokecolor="white [3212]">
              <v:textbox>
                <w:txbxContent>
                  <w:p w14:paraId="233CABFC" w14:textId="77777777" w:rsidR="0060033A" w:rsidRPr="00C17145" w:rsidRDefault="0060033A" w:rsidP="0060033A">
                    <w:pPr>
                      <w:ind w:leftChars="50" w:left="105"/>
                      <w:rPr>
                        <w:rFonts w:ascii="华文楷体" w:eastAsia="华文楷体" w:hAnsi="华文楷体" w:hint="eastAsia"/>
                        <w:b/>
                        <w:color w:val="4F81BD"/>
                        <w:sz w:val="32"/>
                        <w:szCs w:val="32"/>
                      </w:rPr>
                    </w:pPr>
                    <w:r>
                      <w:rPr>
                        <w:rFonts w:ascii="华文楷体" w:eastAsia="华文楷体" w:hAnsi="华文楷体" w:hint="eastAsia"/>
                        <w:b/>
                        <w:color w:val="4F81BD"/>
                        <w:sz w:val="32"/>
                        <w:szCs w:val="32"/>
                      </w:rPr>
                      <w:t>交</w:t>
                    </w:r>
                    <w:r w:rsidRPr="000E75E3">
                      <w:rPr>
                        <w:rFonts w:ascii="华文楷体" w:eastAsia="华文楷体" w:hAnsi="华文楷体" w:hint="eastAsia"/>
                        <w:b/>
                        <w:color w:val="4F81BD"/>
                        <w:sz w:val="32"/>
                        <w:szCs w:val="32"/>
                      </w:rPr>
                      <w:t>银施罗德基金201</w:t>
                    </w:r>
                    <w:r>
                      <w:rPr>
                        <w:rFonts w:ascii="华文楷体" w:eastAsia="华文楷体" w:hAnsi="华文楷体"/>
                        <w:b/>
                        <w:color w:val="4F81BD"/>
                        <w:sz w:val="32"/>
                        <w:szCs w:val="32"/>
                      </w:rPr>
                      <w:t>6</w:t>
                    </w:r>
                    <w:r w:rsidRPr="000E75E3">
                      <w:rPr>
                        <w:rFonts w:ascii="华文楷体" w:eastAsia="华文楷体" w:hAnsi="华文楷体" w:hint="eastAsia"/>
                        <w:b/>
                        <w:color w:val="4F81BD"/>
                        <w:sz w:val="32"/>
                        <w:szCs w:val="32"/>
                      </w:rPr>
                      <w:t>年</w:t>
                    </w:r>
                    <w:r>
                      <w:rPr>
                        <w:rFonts w:ascii="华文楷体" w:eastAsia="华文楷体" w:hAnsi="华文楷体" w:hint="eastAsia"/>
                        <w:b/>
                        <w:color w:val="4F81BD"/>
                        <w:sz w:val="32"/>
                        <w:szCs w:val="32"/>
                      </w:rPr>
                      <w:t>下半年</w:t>
                    </w:r>
                    <w:r w:rsidRPr="000E75E3">
                      <w:rPr>
                        <w:rFonts w:ascii="华文楷体" w:eastAsia="华文楷体" w:hAnsi="华文楷体" w:hint="eastAsia"/>
                        <w:b/>
                        <w:color w:val="4F81BD"/>
                        <w:sz w:val="32"/>
                        <w:szCs w:val="32"/>
                      </w:rPr>
                      <w:t>宏观策略展望报告</w:t>
                    </w:r>
                  </w:p>
                  <w:p w14:paraId="699EB08C" w14:textId="77777777" w:rsidR="0060033A" w:rsidRPr="00C17145" w:rsidRDefault="0060033A" w:rsidP="0060033A"/>
                </w:txbxContent>
              </v:textbox>
              <w10:wrap type="square"/>
            </v:shape>
          </w:pict>
        </mc:Fallback>
      </mc:AlternateContent>
    </w:r>
  </w:p>
  <w:p w14:paraId="182AF17E" w14:textId="59ABA815" w:rsidR="0060033A" w:rsidRPr="0060033A" w:rsidRDefault="0060033A" w:rsidP="0060033A">
    <w:pPr>
      <w:rPr>
        <w:rFonts w:ascii="华文楷体" w:eastAsia="华文楷体" w:hAnsi="华文楷体"/>
        <w:b/>
        <w:color w:val="4F81BD"/>
        <w:sz w:val="32"/>
        <w:szCs w:val="32"/>
      </w:rPr>
    </w:pPr>
  </w:p>
  <w:p w14:paraId="522D3840" w14:textId="48DEDAE1" w:rsidR="00BF13C4" w:rsidRDefault="001C5AE6" w:rsidP="00855239">
    <w:r>
      <w:rPr>
        <w:rFonts w:hint="eastAsia"/>
        <w:color w:val="4F81BD"/>
      </w:rPr>
      <w:t xml:space="preserve"> </w:t>
    </w:r>
    <w:r>
      <w:rPr>
        <w:color w:val="4F81BD"/>
      </w:rPr>
      <w:t xml:space="preserve">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0.5pt;height:10.5pt" o:bullet="t">
        <v:imagedata r:id="rId1" o:title="msoD3EA"/>
      </v:shape>
    </w:pict>
  </w:numPicBullet>
  <w:abstractNum w:abstractNumId="0" w15:restartNumberingAfterBreak="0">
    <w:nsid w:val="00CF2E0D"/>
    <w:multiLevelType w:val="hybridMultilevel"/>
    <w:tmpl w:val="38E407BC"/>
    <w:lvl w:ilvl="0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04F84FFF"/>
    <w:multiLevelType w:val="hybridMultilevel"/>
    <w:tmpl w:val="E5AEC126"/>
    <w:lvl w:ilvl="0" w:tplc="2CCE39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66B66C0"/>
    <w:multiLevelType w:val="hybridMultilevel"/>
    <w:tmpl w:val="A03ED9EE"/>
    <w:lvl w:ilvl="0" w:tplc="981E594E">
      <w:start w:val="1"/>
      <w:numFmt w:val="decimal"/>
      <w:lvlText w:val="（%1）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0EED4890"/>
    <w:multiLevelType w:val="hybridMultilevel"/>
    <w:tmpl w:val="1D802152"/>
    <w:lvl w:ilvl="0" w:tplc="A99A0C38">
      <w:start w:val="1"/>
      <w:numFmt w:val="bullet"/>
      <w:lvlText w:val="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09A05BF"/>
    <w:multiLevelType w:val="hybridMultilevel"/>
    <w:tmpl w:val="34063E96"/>
    <w:lvl w:ilvl="0" w:tplc="5646320E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B9A2056"/>
    <w:multiLevelType w:val="hybridMultilevel"/>
    <w:tmpl w:val="532075E6"/>
    <w:lvl w:ilvl="0" w:tplc="5646320E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D5322A4"/>
    <w:multiLevelType w:val="hybridMultilevel"/>
    <w:tmpl w:val="6B087352"/>
    <w:lvl w:ilvl="0" w:tplc="5646320E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0FF0E36"/>
    <w:multiLevelType w:val="hybridMultilevel"/>
    <w:tmpl w:val="A0DEE15E"/>
    <w:lvl w:ilvl="0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23F070D0"/>
    <w:multiLevelType w:val="hybridMultilevel"/>
    <w:tmpl w:val="A78639BE"/>
    <w:lvl w:ilvl="0" w:tplc="ACFCC20A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9" w15:restartNumberingAfterBreak="0">
    <w:nsid w:val="27522677"/>
    <w:multiLevelType w:val="hybridMultilevel"/>
    <w:tmpl w:val="8272C43A"/>
    <w:lvl w:ilvl="0" w:tplc="D75A56A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2BCC7DA2"/>
    <w:multiLevelType w:val="hybridMultilevel"/>
    <w:tmpl w:val="FA8A3BCC"/>
    <w:lvl w:ilvl="0" w:tplc="5646320E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0C52A49"/>
    <w:multiLevelType w:val="hybridMultilevel"/>
    <w:tmpl w:val="CB1ECBB4"/>
    <w:lvl w:ilvl="0" w:tplc="5646320E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4A01D3D"/>
    <w:multiLevelType w:val="hybridMultilevel"/>
    <w:tmpl w:val="EAA0AAA8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8357621"/>
    <w:multiLevelType w:val="hybridMultilevel"/>
    <w:tmpl w:val="4EA6B40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3D7420D"/>
    <w:multiLevelType w:val="hybridMultilevel"/>
    <w:tmpl w:val="F232F6B4"/>
    <w:lvl w:ilvl="0" w:tplc="BDCCB90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456B5EF5"/>
    <w:multiLevelType w:val="hybridMultilevel"/>
    <w:tmpl w:val="34C48D14"/>
    <w:lvl w:ilvl="0" w:tplc="5646320E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95336E1"/>
    <w:multiLevelType w:val="hybridMultilevel"/>
    <w:tmpl w:val="475C16BE"/>
    <w:lvl w:ilvl="0" w:tplc="5646320E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C1F0D5C"/>
    <w:multiLevelType w:val="hybridMultilevel"/>
    <w:tmpl w:val="53EE2A5C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6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6582E7F"/>
    <w:multiLevelType w:val="hybridMultilevel"/>
    <w:tmpl w:val="1A2A295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7E10FBC"/>
    <w:multiLevelType w:val="hybridMultilevel"/>
    <w:tmpl w:val="9252ED64"/>
    <w:lvl w:ilvl="0" w:tplc="5646320E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899269E"/>
    <w:multiLevelType w:val="hybridMultilevel"/>
    <w:tmpl w:val="8C04F9C6"/>
    <w:lvl w:ilvl="0" w:tplc="5646320E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DBE0033"/>
    <w:multiLevelType w:val="hybridMultilevel"/>
    <w:tmpl w:val="57641C22"/>
    <w:lvl w:ilvl="0" w:tplc="1126588C">
      <w:start w:val="1"/>
      <w:numFmt w:val="decimal"/>
      <w:lvlText w:val="（%1）"/>
      <w:lvlJc w:val="left"/>
      <w:pPr>
        <w:ind w:left="1140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2" w15:restartNumberingAfterBreak="0">
    <w:nsid w:val="5EB510DF"/>
    <w:multiLevelType w:val="hybridMultilevel"/>
    <w:tmpl w:val="EC4832F4"/>
    <w:lvl w:ilvl="0" w:tplc="5646320E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1E67BFB"/>
    <w:multiLevelType w:val="hybridMultilevel"/>
    <w:tmpl w:val="4A946D4E"/>
    <w:lvl w:ilvl="0" w:tplc="5646320E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3E33FD1"/>
    <w:multiLevelType w:val="hybridMultilevel"/>
    <w:tmpl w:val="03D8C1FC"/>
    <w:lvl w:ilvl="0" w:tplc="5646320E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67683F93"/>
    <w:multiLevelType w:val="hybridMultilevel"/>
    <w:tmpl w:val="58401CDE"/>
    <w:lvl w:ilvl="0" w:tplc="5646320E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6FB711D2"/>
    <w:multiLevelType w:val="hybridMultilevel"/>
    <w:tmpl w:val="3A1218B0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71C6045C"/>
    <w:multiLevelType w:val="hybridMultilevel"/>
    <w:tmpl w:val="0194E674"/>
    <w:lvl w:ilvl="0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8" w15:restartNumberingAfterBreak="0">
    <w:nsid w:val="751F7277"/>
    <w:multiLevelType w:val="hybridMultilevel"/>
    <w:tmpl w:val="3BB264DC"/>
    <w:lvl w:ilvl="0" w:tplc="5646320E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75CA293E"/>
    <w:multiLevelType w:val="hybridMultilevel"/>
    <w:tmpl w:val="E00AA23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7F7B66DC"/>
    <w:multiLevelType w:val="hybridMultilevel"/>
    <w:tmpl w:val="426CB1D2"/>
    <w:lvl w:ilvl="0" w:tplc="53F8EA0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6"/>
  </w:num>
  <w:num w:numId="3">
    <w:abstractNumId w:val="23"/>
  </w:num>
  <w:num w:numId="4">
    <w:abstractNumId w:val="29"/>
  </w:num>
  <w:num w:numId="5">
    <w:abstractNumId w:val="25"/>
  </w:num>
  <w:num w:numId="6">
    <w:abstractNumId w:val="19"/>
  </w:num>
  <w:num w:numId="7">
    <w:abstractNumId w:val="22"/>
  </w:num>
  <w:num w:numId="8">
    <w:abstractNumId w:val="13"/>
  </w:num>
  <w:num w:numId="9">
    <w:abstractNumId w:val="10"/>
  </w:num>
  <w:num w:numId="10">
    <w:abstractNumId w:val="4"/>
  </w:num>
  <w:num w:numId="11">
    <w:abstractNumId w:val="5"/>
  </w:num>
  <w:num w:numId="12">
    <w:abstractNumId w:val="24"/>
  </w:num>
  <w:num w:numId="13">
    <w:abstractNumId w:val="11"/>
  </w:num>
  <w:num w:numId="14">
    <w:abstractNumId w:val="16"/>
  </w:num>
  <w:num w:numId="15">
    <w:abstractNumId w:val="18"/>
  </w:num>
  <w:num w:numId="16">
    <w:abstractNumId w:val="28"/>
  </w:num>
  <w:num w:numId="17">
    <w:abstractNumId w:val="1"/>
  </w:num>
  <w:num w:numId="18">
    <w:abstractNumId w:val="15"/>
  </w:num>
  <w:num w:numId="19">
    <w:abstractNumId w:val="20"/>
  </w:num>
  <w:num w:numId="20">
    <w:abstractNumId w:val="17"/>
  </w:num>
  <w:num w:numId="21">
    <w:abstractNumId w:val="0"/>
  </w:num>
  <w:num w:numId="22">
    <w:abstractNumId w:val="7"/>
  </w:num>
  <w:num w:numId="23">
    <w:abstractNumId w:val="27"/>
  </w:num>
  <w:num w:numId="24">
    <w:abstractNumId w:val="12"/>
  </w:num>
  <w:num w:numId="25">
    <w:abstractNumId w:val="21"/>
  </w:num>
  <w:num w:numId="26">
    <w:abstractNumId w:val="30"/>
  </w:num>
  <w:num w:numId="27">
    <w:abstractNumId w:val="2"/>
  </w:num>
  <w:num w:numId="28">
    <w:abstractNumId w:val="8"/>
  </w:num>
  <w:num w:numId="29">
    <w:abstractNumId w:val="9"/>
  </w:num>
  <w:num w:numId="30">
    <w:abstractNumId w:val="14"/>
  </w:num>
  <w:num w:numId="3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9AF"/>
    <w:rsid w:val="0000170D"/>
    <w:rsid w:val="00002211"/>
    <w:rsid w:val="00006919"/>
    <w:rsid w:val="000129A5"/>
    <w:rsid w:val="000216A8"/>
    <w:rsid w:val="00022E1B"/>
    <w:rsid w:val="00037C47"/>
    <w:rsid w:val="000409FD"/>
    <w:rsid w:val="00040F13"/>
    <w:rsid w:val="0004379D"/>
    <w:rsid w:val="00044BDB"/>
    <w:rsid w:val="000456C5"/>
    <w:rsid w:val="00050954"/>
    <w:rsid w:val="00051204"/>
    <w:rsid w:val="00054A56"/>
    <w:rsid w:val="0005751D"/>
    <w:rsid w:val="00066554"/>
    <w:rsid w:val="00066801"/>
    <w:rsid w:val="00066C14"/>
    <w:rsid w:val="0006712E"/>
    <w:rsid w:val="00074941"/>
    <w:rsid w:val="00080C5C"/>
    <w:rsid w:val="00081A11"/>
    <w:rsid w:val="00081E1C"/>
    <w:rsid w:val="000848CE"/>
    <w:rsid w:val="0008578D"/>
    <w:rsid w:val="00085D4F"/>
    <w:rsid w:val="00086434"/>
    <w:rsid w:val="000870BC"/>
    <w:rsid w:val="00087309"/>
    <w:rsid w:val="00087F3C"/>
    <w:rsid w:val="00090BA8"/>
    <w:rsid w:val="000913D7"/>
    <w:rsid w:val="00091E19"/>
    <w:rsid w:val="00095082"/>
    <w:rsid w:val="000973A1"/>
    <w:rsid w:val="000976DB"/>
    <w:rsid w:val="00097841"/>
    <w:rsid w:val="000979BD"/>
    <w:rsid w:val="000A22AC"/>
    <w:rsid w:val="000A372D"/>
    <w:rsid w:val="000A40E2"/>
    <w:rsid w:val="000A49AF"/>
    <w:rsid w:val="000A51D2"/>
    <w:rsid w:val="000A7855"/>
    <w:rsid w:val="000B140C"/>
    <w:rsid w:val="000B20CE"/>
    <w:rsid w:val="000B2BF1"/>
    <w:rsid w:val="000B4292"/>
    <w:rsid w:val="000B7CAF"/>
    <w:rsid w:val="000C1557"/>
    <w:rsid w:val="000C2461"/>
    <w:rsid w:val="000C5A81"/>
    <w:rsid w:val="000C7ECE"/>
    <w:rsid w:val="000D0B35"/>
    <w:rsid w:val="000D0B71"/>
    <w:rsid w:val="000D25CF"/>
    <w:rsid w:val="000D373A"/>
    <w:rsid w:val="000D53DC"/>
    <w:rsid w:val="000D5B9C"/>
    <w:rsid w:val="000E0E60"/>
    <w:rsid w:val="000E4148"/>
    <w:rsid w:val="000E68AC"/>
    <w:rsid w:val="000E75E3"/>
    <w:rsid w:val="000E797F"/>
    <w:rsid w:val="000E7AC0"/>
    <w:rsid w:val="000F008C"/>
    <w:rsid w:val="000F0C07"/>
    <w:rsid w:val="000F187A"/>
    <w:rsid w:val="000F23F7"/>
    <w:rsid w:val="000F48FA"/>
    <w:rsid w:val="001023D8"/>
    <w:rsid w:val="0010254A"/>
    <w:rsid w:val="00102B4B"/>
    <w:rsid w:val="0010493C"/>
    <w:rsid w:val="001079A0"/>
    <w:rsid w:val="001132C5"/>
    <w:rsid w:val="00116657"/>
    <w:rsid w:val="00116F7F"/>
    <w:rsid w:val="00124204"/>
    <w:rsid w:val="001244D3"/>
    <w:rsid w:val="001256C5"/>
    <w:rsid w:val="00127ADB"/>
    <w:rsid w:val="00130856"/>
    <w:rsid w:val="00130A34"/>
    <w:rsid w:val="00131472"/>
    <w:rsid w:val="00132DB5"/>
    <w:rsid w:val="00135803"/>
    <w:rsid w:val="0014550E"/>
    <w:rsid w:val="00145FF1"/>
    <w:rsid w:val="001468DC"/>
    <w:rsid w:val="001553E7"/>
    <w:rsid w:val="0015695A"/>
    <w:rsid w:val="001602D3"/>
    <w:rsid w:val="0016143D"/>
    <w:rsid w:val="00161AD4"/>
    <w:rsid w:val="00172111"/>
    <w:rsid w:val="001737C3"/>
    <w:rsid w:val="001761AB"/>
    <w:rsid w:val="00180BC6"/>
    <w:rsid w:val="00181C5C"/>
    <w:rsid w:val="001821C6"/>
    <w:rsid w:val="001843BA"/>
    <w:rsid w:val="00184FCF"/>
    <w:rsid w:val="001858DD"/>
    <w:rsid w:val="00185DA1"/>
    <w:rsid w:val="00190285"/>
    <w:rsid w:val="00192DE6"/>
    <w:rsid w:val="0019317A"/>
    <w:rsid w:val="0019342B"/>
    <w:rsid w:val="00195996"/>
    <w:rsid w:val="00196D19"/>
    <w:rsid w:val="00197BD6"/>
    <w:rsid w:val="00197F04"/>
    <w:rsid w:val="001A1F13"/>
    <w:rsid w:val="001A22D0"/>
    <w:rsid w:val="001A249D"/>
    <w:rsid w:val="001A2F2E"/>
    <w:rsid w:val="001A4912"/>
    <w:rsid w:val="001B141E"/>
    <w:rsid w:val="001B28E6"/>
    <w:rsid w:val="001B2D66"/>
    <w:rsid w:val="001B4521"/>
    <w:rsid w:val="001B7F37"/>
    <w:rsid w:val="001C0FFB"/>
    <w:rsid w:val="001C1724"/>
    <w:rsid w:val="001C283E"/>
    <w:rsid w:val="001C288D"/>
    <w:rsid w:val="001C5AE6"/>
    <w:rsid w:val="001C697E"/>
    <w:rsid w:val="001C7E55"/>
    <w:rsid w:val="001D0592"/>
    <w:rsid w:val="001D126C"/>
    <w:rsid w:val="001D4409"/>
    <w:rsid w:val="001D7BC2"/>
    <w:rsid w:val="001E0312"/>
    <w:rsid w:val="001E0A41"/>
    <w:rsid w:val="001E58A1"/>
    <w:rsid w:val="001E58DC"/>
    <w:rsid w:val="001E58FD"/>
    <w:rsid w:val="001E5CF2"/>
    <w:rsid w:val="001E69FF"/>
    <w:rsid w:val="001F1551"/>
    <w:rsid w:val="001F29CF"/>
    <w:rsid w:val="00205B15"/>
    <w:rsid w:val="00206412"/>
    <w:rsid w:val="002073A0"/>
    <w:rsid w:val="002107C5"/>
    <w:rsid w:val="00212946"/>
    <w:rsid w:val="00215FEF"/>
    <w:rsid w:val="0021650B"/>
    <w:rsid w:val="0023340A"/>
    <w:rsid w:val="002340D3"/>
    <w:rsid w:val="00236D89"/>
    <w:rsid w:val="00237E81"/>
    <w:rsid w:val="00244B0C"/>
    <w:rsid w:val="002451CB"/>
    <w:rsid w:val="002451F7"/>
    <w:rsid w:val="00253F0A"/>
    <w:rsid w:val="00253FA7"/>
    <w:rsid w:val="00254623"/>
    <w:rsid w:val="00255DA3"/>
    <w:rsid w:val="00256344"/>
    <w:rsid w:val="00256E1A"/>
    <w:rsid w:val="00260667"/>
    <w:rsid w:val="0026446A"/>
    <w:rsid w:val="0026455C"/>
    <w:rsid w:val="0027212B"/>
    <w:rsid w:val="0027330D"/>
    <w:rsid w:val="00275D12"/>
    <w:rsid w:val="0027654D"/>
    <w:rsid w:val="0028234E"/>
    <w:rsid w:val="00283284"/>
    <w:rsid w:val="002914F6"/>
    <w:rsid w:val="002920B6"/>
    <w:rsid w:val="00295F8E"/>
    <w:rsid w:val="002A3D7E"/>
    <w:rsid w:val="002A442E"/>
    <w:rsid w:val="002A537C"/>
    <w:rsid w:val="002A5FA7"/>
    <w:rsid w:val="002B7A5D"/>
    <w:rsid w:val="002C0477"/>
    <w:rsid w:val="002C7225"/>
    <w:rsid w:val="002D0322"/>
    <w:rsid w:val="002D1CC8"/>
    <w:rsid w:val="002D1D4E"/>
    <w:rsid w:val="002D1DF0"/>
    <w:rsid w:val="002D571C"/>
    <w:rsid w:val="002D6289"/>
    <w:rsid w:val="002D7C82"/>
    <w:rsid w:val="002E0198"/>
    <w:rsid w:val="002E4A27"/>
    <w:rsid w:val="002E4CAC"/>
    <w:rsid w:val="002E6A8C"/>
    <w:rsid w:val="002E6BF7"/>
    <w:rsid w:val="002F1E3C"/>
    <w:rsid w:val="002F285E"/>
    <w:rsid w:val="002F3C9E"/>
    <w:rsid w:val="002F52C5"/>
    <w:rsid w:val="00302DE5"/>
    <w:rsid w:val="00303EC8"/>
    <w:rsid w:val="0030677A"/>
    <w:rsid w:val="00306A98"/>
    <w:rsid w:val="00307C55"/>
    <w:rsid w:val="00311079"/>
    <w:rsid w:val="00311722"/>
    <w:rsid w:val="00314100"/>
    <w:rsid w:val="00321EFF"/>
    <w:rsid w:val="003233E4"/>
    <w:rsid w:val="00324C92"/>
    <w:rsid w:val="003256CE"/>
    <w:rsid w:val="003267FB"/>
    <w:rsid w:val="0032799D"/>
    <w:rsid w:val="003340D3"/>
    <w:rsid w:val="0033439A"/>
    <w:rsid w:val="003408EB"/>
    <w:rsid w:val="0034351D"/>
    <w:rsid w:val="00344B58"/>
    <w:rsid w:val="00345523"/>
    <w:rsid w:val="003468CE"/>
    <w:rsid w:val="00354057"/>
    <w:rsid w:val="003541EE"/>
    <w:rsid w:val="00355E84"/>
    <w:rsid w:val="003579C6"/>
    <w:rsid w:val="003616F5"/>
    <w:rsid w:val="00361BB6"/>
    <w:rsid w:val="0036376F"/>
    <w:rsid w:val="003645BA"/>
    <w:rsid w:val="00366887"/>
    <w:rsid w:val="0037453B"/>
    <w:rsid w:val="003756BC"/>
    <w:rsid w:val="00376036"/>
    <w:rsid w:val="00377E0B"/>
    <w:rsid w:val="00381D76"/>
    <w:rsid w:val="00387CA7"/>
    <w:rsid w:val="0039146C"/>
    <w:rsid w:val="003A0460"/>
    <w:rsid w:val="003A2095"/>
    <w:rsid w:val="003A4E1F"/>
    <w:rsid w:val="003A51E7"/>
    <w:rsid w:val="003A6FC0"/>
    <w:rsid w:val="003A71BC"/>
    <w:rsid w:val="003B2D9A"/>
    <w:rsid w:val="003B377B"/>
    <w:rsid w:val="003B51DD"/>
    <w:rsid w:val="003B5DAA"/>
    <w:rsid w:val="003C4BB2"/>
    <w:rsid w:val="003D0DFC"/>
    <w:rsid w:val="003D1625"/>
    <w:rsid w:val="003D25FB"/>
    <w:rsid w:val="003D3809"/>
    <w:rsid w:val="003D69A6"/>
    <w:rsid w:val="003E50F0"/>
    <w:rsid w:val="003E71A8"/>
    <w:rsid w:val="003E7570"/>
    <w:rsid w:val="003F3978"/>
    <w:rsid w:val="003F796C"/>
    <w:rsid w:val="0040142D"/>
    <w:rsid w:val="00406E5D"/>
    <w:rsid w:val="004078A4"/>
    <w:rsid w:val="004078F2"/>
    <w:rsid w:val="004118E1"/>
    <w:rsid w:val="00412037"/>
    <w:rsid w:val="00412E86"/>
    <w:rsid w:val="00413657"/>
    <w:rsid w:val="00416742"/>
    <w:rsid w:val="00421A41"/>
    <w:rsid w:val="00423319"/>
    <w:rsid w:val="00426644"/>
    <w:rsid w:val="00430013"/>
    <w:rsid w:val="004310EF"/>
    <w:rsid w:val="00431129"/>
    <w:rsid w:val="00433E21"/>
    <w:rsid w:val="00433EE1"/>
    <w:rsid w:val="00436990"/>
    <w:rsid w:val="00442A1A"/>
    <w:rsid w:val="00443123"/>
    <w:rsid w:val="0044489F"/>
    <w:rsid w:val="00445BAC"/>
    <w:rsid w:val="00447FD0"/>
    <w:rsid w:val="0045087D"/>
    <w:rsid w:val="00452836"/>
    <w:rsid w:val="00462391"/>
    <w:rsid w:val="00465A0C"/>
    <w:rsid w:val="004729E9"/>
    <w:rsid w:val="004733AF"/>
    <w:rsid w:val="0047453D"/>
    <w:rsid w:val="00475126"/>
    <w:rsid w:val="0047596D"/>
    <w:rsid w:val="00484959"/>
    <w:rsid w:val="00484A86"/>
    <w:rsid w:val="004948B9"/>
    <w:rsid w:val="00496DA1"/>
    <w:rsid w:val="00496FFB"/>
    <w:rsid w:val="004A255B"/>
    <w:rsid w:val="004A34EE"/>
    <w:rsid w:val="004A3D92"/>
    <w:rsid w:val="004A5806"/>
    <w:rsid w:val="004A60BE"/>
    <w:rsid w:val="004A64AD"/>
    <w:rsid w:val="004B1EA3"/>
    <w:rsid w:val="004B2246"/>
    <w:rsid w:val="004B5821"/>
    <w:rsid w:val="004B6C1F"/>
    <w:rsid w:val="004B7A31"/>
    <w:rsid w:val="004C7F87"/>
    <w:rsid w:val="004D2753"/>
    <w:rsid w:val="004D4879"/>
    <w:rsid w:val="004D5034"/>
    <w:rsid w:val="004E08B6"/>
    <w:rsid w:val="004F00A1"/>
    <w:rsid w:val="004F04A4"/>
    <w:rsid w:val="004F09BD"/>
    <w:rsid w:val="004F1946"/>
    <w:rsid w:val="004F1DB3"/>
    <w:rsid w:val="004F3D37"/>
    <w:rsid w:val="004F4630"/>
    <w:rsid w:val="004F52FF"/>
    <w:rsid w:val="004F733D"/>
    <w:rsid w:val="00501861"/>
    <w:rsid w:val="00501F26"/>
    <w:rsid w:val="00503E54"/>
    <w:rsid w:val="00504FFB"/>
    <w:rsid w:val="00507341"/>
    <w:rsid w:val="00517DC3"/>
    <w:rsid w:val="00524B4E"/>
    <w:rsid w:val="00526F69"/>
    <w:rsid w:val="00527864"/>
    <w:rsid w:val="00527931"/>
    <w:rsid w:val="00530666"/>
    <w:rsid w:val="00531ED7"/>
    <w:rsid w:val="00542BA8"/>
    <w:rsid w:val="00547234"/>
    <w:rsid w:val="005508A4"/>
    <w:rsid w:val="005509A8"/>
    <w:rsid w:val="005511D0"/>
    <w:rsid w:val="0055392E"/>
    <w:rsid w:val="00553F0D"/>
    <w:rsid w:val="0055549C"/>
    <w:rsid w:val="0055614D"/>
    <w:rsid w:val="0055683D"/>
    <w:rsid w:val="00563755"/>
    <w:rsid w:val="00565278"/>
    <w:rsid w:val="00567A23"/>
    <w:rsid w:val="005724E1"/>
    <w:rsid w:val="00572E48"/>
    <w:rsid w:val="005733F9"/>
    <w:rsid w:val="00573BDA"/>
    <w:rsid w:val="00573CC8"/>
    <w:rsid w:val="00574369"/>
    <w:rsid w:val="005778D6"/>
    <w:rsid w:val="00581241"/>
    <w:rsid w:val="005846A4"/>
    <w:rsid w:val="00590123"/>
    <w:rsid w:val="00590380"/>
    <w:rsid w:val="00591D50"/>
    <w:rsid w:val="00593943"/>
    <w:rsid w:val="00593E77"/>
    <w:rsid w:val="00594CEB"/>
    <w:rsid w:val="00597621"/>
    <w:rsid w:val="005A10C5"/>
    <w:rsid w:val="005A3D96"/>
    <w:rsid w:val="005A5C48"/>
    <w:rsid w:val="005A7E24"/>
    <w:rsid w:val="005B24C0"/>
    <w:rsid w:val="005B2BC5"/>
    <w:rsid w:val="005B3057"/>
    <w:rsid w:val="005B3B89"/>
    <w:rsid w:val="005C0727"/>
    <w:rsid w:val="005C3A11"/>
    <w:rsid w:val="005C4424"/>
    <w:rsid w:val="005C78F7"/>
    <w:rsid w:val="005D10B7"/>
    <w:rsid w:val="005D416F"/>
    <w:rsid w:val="005D5871"/>
    <w:rsid w:val="005D5DE7"/>
    <w:rsid w:val="005E1693"/>
    <w:rsid w:val="005E2F3D"/>
    <w:rsid w:val="005E4CB3"/>
    <w:rsid w:val="005F2D99"/>
    <w:rsid w:val="005F4E66"/>
    <w:rsid w:val="005F5329"/>
    <w:rsid w:val="005F75B3"/>
    <w:rsid w:val="0060033A"/>
    <w:rsid w:val="0060321D"/>
    <w:rsid w:val="00604F18"/>
    <w:rsid w:val="00605579"/>
    <w:rsid w:val="00606051"/>
    <w:rsid w:val="00612522"/>
    <w:rsid w:val="00617C22"/>
    <w:rsid w:val="00617ED4"/>
    <w:rsid w:val="00622219"/>
    <w:rsid w:val="006228C0"/>
    <w:rsid w:val="006244D2"/>
    <w:rsid w:val="00625A1F"/>
    <w:rsid w:val="006300F8"/>
    <w:rsid w:val="00631798"/>
    <w:rsid w:val="00631F4D"/>
    <w:rsid w:val="0063381A"/>
    <w:rsid w:val="00640F8B"/>
    <w:rsid w:val="006424B7"/>
    <w:rsid w:val="00643232"/>
    <w:rsid w:val="00644D0E"/>
    <w:rsid w:val="00647B11"/>
    <w:rsid w:val="00657A5C"/>
    <w:rsid w:val="006662D4"/>
    <w:rsid w:val="00666E3B"/>
    <w:rsid w:val="00667D62"/>
    <w:rsid w:val="00670043"/>
    <w:rsid w:val="006708A6"/>
    <w:rsid w:val="00670B24"/>
    <w:rsid w:val="00671A5E"/>
    <w:rsid w:val="006728CE"/>
    <w:rsid w:val="00672B7E"/>
    <w:rsid w:val="006749BF"/>
    <w:rsid w:val="006825D9"/>
    <w:rsid w:val="0068375F"/>
    <w:rsid w:val="00684B9E"/>
    <w:rsid w:val="006900C0"/>
    <w:rsid w:val="00692C2E"/>
    <w:rsid w:val="00693AE1"/>
    <w:rsid w:val="00695428"/>
    <w:rsid w:val="0069740F"/>
    <w:rsid w:val="006A241D"/>
    <w:rsid w:val="006A3B12"/>
    <w:rsid w:val="006A7097"/>
    <w:rsid w:val="006B07FB"/>
    <w:rsid w:val="006B3780"/>
    <w:rsid w:val="006B5D33"/>
    <w:rsid w:val="006B6260"/>
    <w:rsid w:val="006C3FCB"/>
    <w:rsid w:val="006C6D32"/>
    <w:rsid w:val="006C751F"/>
    <w:rsid w:val="006D439C"/>
    <w:rsid w:val="006D4FE7"/>
    <w:rsid w:val="006E3291"/>
    <w:rsid w:val="006E350A"/>
    <w:rsid w:val="006E38E9"/>
    <w:rsid w:val="006E492B"/>
    <w:rsid w:val="006E5B73"/>
    <w:rsid w:val="006F1270"/>
    <w:rsid w:val="006F2AB2"/>
    <w:rsid w:val="00700154"/>
    <w:rsid w:val="00702EA5"/>
    <w:rsid w:val="00704182"/>
    <w:rsid w:val="00704F6A"/>
    <w:rsid w:val="00707C69"/>
    <w:rsid w:val="007148B8"/>
    <w:rsid w:val="007178D7"/>
    <w:rsid w:val="00722372"/>
    <w:rsid w:val="00723847"/>
    <w:rsid w:val="00723DA6"/>
    <w:rsid w:val="007245D3"/>
    <w:rsid w:val="007253E2"/>
    <w:rsid w:val="007255E5"/>
    <w:rsid w:val="007321B2"/>
    <w:rsid w:val="00732736"/>
    <w:rsid w:val="00733220"/>
    <w:rsid w:val="00733B89"/>
    <w:rsid w:val="00736BAA"/>
    <w:rsid w:val="007428C7"/>
    <w:rsid w:val="007430DB"/>
    <w:rsid w:val="0074772A"/>
    <w:rsid w:val="00751440"/>
    <w:rsid w:val="007533EA"/>
    <w:rsid w:val="00753C15"/>
    <w:rsid w:val="00754E29"/>
    <w:rsid w:val="00756EB8"/>
    <w:rsid w:val="007633A1"/>
    <w:rsid w:val="007642C6"/>
    <w:rsid w:val="007646A7"/>
    <w:rsid w:val="00765CC4"/>
    <w:rsid w:val="007703B1"/>
    <w:rsid w:val="0077082F"/>
    <w:rsid w:val="00777959"/>
    <w:rsid w:val="007817BC"/>
    <w:rsid w:val="0078204C"/>
    <w:rsid w:val="00782917"/>
    <w:rsid w:val="00784ABA"/>
    <w:rsid w:val="0079018B"/>
    <w:rsid w:val="00793F58"/>
    <w:rsid w:val="00794A0B"/>
    <w:rsid w:val="00794DDD"/>
    <w:rsid w:val="00795EA8"/>
    <w:rsid w:val="007A0550"/>
    <w:rsid w:val="007A1AA1"/>
    <w:rsid w:val="007A3263"/>
    <w:rsid w:val="007A5B2D"/>
    <w:rsid w:val="007A7295"/>
    <w:rsid w:val="007B062E"/>
    <w:rsid w:val="007B19D6"/>
    <w:rsid w:val="007B2800"/>
    <w:rsid w:val="007B3FDD"/>
    <w:rsid w:val="007B55EE"/>
    <w:rsid w:val="007B7E32"/>
    <w:rsid w:val="007C59E0"/>
    <w:rsid w:val="007C62E0"/>
    <w:rsid w:val="007C6B43"/>
    <w:rsid w:val="007C7C27"/>
    <w:rsid w:val="007D0A45"/>
    <w:rsid w:val="007D20ED"/>
    <w:rsid w:val="007D280F"/>
    <w:rsid w:val="007D7A17"/>
    <w:rsid w:val="007E3956"/>
    <w:rsid w:val="007F0458"/>
    <w:rsid w:val="007F06A7"/>
    <w:rsid w:val="007F0837"/>
    <w:rsid w:val="007F222F"/>
    <w:rsid w:val="007F27ED"/>
    <w:rsid w:val="007F312D"/>
    <w:rsid w:val="007F3F30"/>
    <w:rsid w:val="007F7A10"/>
    <w:rsid w:val="007F7D1D"/>
    <w:rsid w:val="008011D3"/>
    <w:rsid w:val="00812353"/>
    <w:rsid w:val="008139D7"/>
    <w:rsid w:val="008168C5"/>
    <w:rsid w:val="008178AC"/>
    <w:rsid w:val="0082589E"/>
    <w:rsid w:val="008269EF"/>
    <w:rsid w:val="00827AB4"/>
    <w:rsid w:val="00830FD7"/>
    <w:rsid w:val="00835CF6"/>
    <w:rsid w:val="008458F3"/>
    <w:rsid w:val="008468F0"/>
    <w:rsid w:val="00850F07"/>
    <w:rsid w:val="0085227F"/>
    <w:rsid w:val="00854B89"/>
    <w:rsid w:val="00855239"/>
    <w:rsid w:val="008565C1"/>
    <w:rsid w:val="00860BD4"/>
    <w:rsid w:val="00862AC0"/>
    <w:rsid w:val="0086350C"/>
    <w:rsid w:val="008653EE"/>
    <w:rsid w:val="008674E5"/>
    <w:rsid w:val="00867EF4"/>
    <w:rsid w:val="00872A77"/>
    <w:rsid w:val="00873745"/>
    <w:rsid w:val="0087689A"/>
    <w:rsid w:val="00876BE0"/>
    <w:rsid w:val="00877122"/>
    <w:rsid w:val="00881D29"/>
    <w:rsid w:val="008901CB"/>
    <w:rsid w:val="00892FE5"/>
    <w:rsid w:val="008A28FA"/>
    <w:rsid w:val="008A2E3C"/>
    <w:rsid w:val="008A41E7"/>
    <w:rsid w:val="008A4DBC"/>
    <w:rsid w:val="008B5178"/>
    <w:rsid w:val="008B6784"/>
    <w:rsid w:val="008B6A8C"/>
    <w:rsid w:val="008B73FB"/>
    <w:rsid w:val="008C2519"/>
    <w:rsid w:val="008C67BC"/>
    <w:rsid w:val="008C7672"/>
    <w:rsid w:val="008C78F6"/>
    <w:rsid w:val="008D47AE"/>
    <w:rsid w:val="008E0F61"/>
    <w:rsid w:val="008E10C0"/>
    <w:rsid w:val="008E413A"/>
    <w:rsid w:val="008E62B8"/>
    <w:rsid w:val="008F0E7C"/>
    <w:rsid w:val="008F641A"/>
    <w:rsid w:val="008F7C74"/>
    <w:rsid w:val="009005BD"/>
    <w:rsid w:val="00902CE1"/>
    <w:rsid w:val="00904ECD"/>
    <w:rsid w:val="009068EC"/>
    <w:rsid w:val="009148BF"/>
    <w:rsid w:val="009163B6"/>
    <w:rsid w:val="00917EB1"/>
    <w:rsid w:val="0092275B"/>
    <w:rsid w:val="00924130"/>
    <w:rsid w:val="0092490E"/>
    <w:rsid w:val="00926C1A"/>
    <w:rsid w:val="0093144D"/>
    <w:rsid w:val="00932A96"/>
    <w:rsid w:val="00935D34"/>
    <w:rsid w:val="00936618"/>
    <w:rsid w:val="00941975"/>
    <w:rsid w:val="009420DA"/>
    <w:rsid w:val="00942DB4"/>
    <w:rsid w:val="009467B4"/>
    <w:rsid w:val="00947481"/>
    <w:rsid w:val="0095084D"/>
    <w:rsid w:val="0095112E"/>
    <w:rsid w:val="00951D5D"/>
    <w:rsid w:val="00954D83"/>
    <w:rsid w:val="00955397"/>
    <w:rsid w:val="00955E13"/>
    <w:rsid w:val="00957D2F"/>
    <w:rsid w:val="00960027"/>
    <w:rsid w:val="00960945"/>
    <w:rsid w:val="0096290D"/>
    <w:rsid w:val="00965F56"/>
    <w:rsid w:val="00971BA1"/>
    <w:rsid w:val="009760FE"/>
    <w:rsid w:val="00977502"/>
    <w:rsid w:val="00980A27"/>
    <w:rsid w:val="00983355"/>
    <w:rsid w:val="00985F13"/>
    <w:rsid w:val="00992173"/>
    <w:rsid w:val="009A0A27"/>
    <w:rsid w:val="009A123E"/>
    <w:rsid w:val="009A4E31"/>
    <w:rsid w:val="009A5021"/>
    <w:rsid w:val="009A52DB"/>
    <w:rsid w:val="009A5699"/>
    <w:rsid w:val="009A7118"/>
    <w:rsid w:val="009A79DE"/>
    <w:rsid w:val="009B197A"/>
    <w:rsid w:val="009B487F"/>
    <w:rsid w:val="009B4C80"/>
    <w:rsid w:val="009B7205"/>
    <w:rsid w:val="009B724F"/>
    <w:rsid w:val="009B769F"/>
    <w:rsid w:val="009C13AB"/>
    <w:rsid w:val="009C15FE"/>
    <w:rsid w:val="009C4570"/>
    <w:rsid w:val="009C69AB"/>
    <w:rsid w:val="009D191C"/>
    <w:rsid w:val="009D2EA8"/>
    <w:rsid w:val="009D348F"/>
    <w:rsid w:val="009D44F2"/>
    <w:rsid w:val="009D59B6"/>
    <w:rsid w:val="009E09F3"/>
    <w:rsid w:val="009E0C1D"/>
    <w:rsid w:val="009E1623"/>
    <w:rsid w:val="009E4617"/>
    <w:rsid w:val="009E597C"/>
    <w:rsid w:val="009E78EF"/>
    <w:rsid w:val="009F02C7"/>
    <w:rsid w:val="009F035E"/>
    <w:rsid w:val="009F1A0F"/>
    <w:rsid w:val="009F2419"/>
    <w:rsid w:val="009F4007"/>
    <w:rsid w:val="009F4BC7"/>
    <w:rsid w:val="009F5BB6"/>
    <w:rsid w:val="009F6AB3"/>
    <w:rsid w:val="009F6EE9"/>
    <w:rsid w:val="009F7ABE"/>
    <w:rsid w:val="00A00129"/>
    <w:rsid w:val="00A01B84"/>
    <w:rsid w:val="00A025C8"/>
    <w:rsid w:val="00A02BC9"/>
    <w:rsid w:val="00A04089"/>
    <w:rsid w:val="00A05630"/>
    <w:rsid w:val="00A07B41"/>
    <w:rsid w:val="00A1141A"/>
    <w:rsid w:val="00A11527"/>
    <w:rsid w:val="00A1406E"/>
    <w:rsid w:val="00A143B2"/>
    <w:rsid w:val="00A1538F"/>
    <w:rsid w:val="00A15D7B"/>
    <w:rsid w:val="00A20270"/>
    <w:rsid w:val="00A22B22"/>
    <w:rsid w:val="00A2385E"/>
    <w:rsid w:val="00A33FCB"/>
    <w:rsid w:val="00A36AC8"/>
    <w:rsid w:val="00A36E08"/>
    <w:rsid w:val="00A37EFC"/>
    <w:rsid w:val="00A407F5"/>
    <w:rsid w:val="00A41C65"/>
    <w:rsid w:val="00A43E16"/>
    <w:rsid w:val="00A53218"/>
    <w:rsid w:val="00A54144"/>
    <w:rsid w:val="00A61A3F"/>
    <w:rsid w:val="00A62FA5"/>
    <w:rsid w:val="00A72B98"/>
    <w:rsid w:val="00A74A6C"/>
    <w:rsid w:val="00A74EB8"/>
    <w:rsid w:val="00A80CFF"/>
    <w:rsid w:val="00A8109C"/>
    <w:rsid w:val="00A83672"/>
    <w:rsid w:val="00A837A2"/>
    <w:rsid w:val="00A86A74"/>
    <w:rsid w:val="00A91698"/>
    <w:rsid w:val="00A9196C"/>
    <w:rsid w:val="00AA0BD4"/>
    <w:rsid w:val="00AA1FBA"/>
    <w:rsid w:val="00AA24AC"/>
    <w:rsid w:val="00AA348B"/>
    <w:rsid w:val="00AA5B91"/>
    <w:rsid w:val="00AA5CDE"/>
    <w:rsid w:val="00AA6766"/>
    <w:rsid w:val="00AA6A6D"/>
    <w:rsid w:val="00AA7D03"/>
    <w:rsid w:val="00AB6CCB"/>
    <w:rsid w:val="00AB7843"/>
    <w:rsid w:val="00AC434D"/>
    <w:rsid w:val="00AC548A"/>
    <w:rsid w:val="00AC5C32"/>
    <w:rsid w:val="00AC7444"/>
    <w:rsid w:val="00AC746E"/>
    <w:rsid w:val="00AD0737"/>
    <w:rsid w:val="00AD6A73"/>
    <w:rsid w:val="00AD6E18"/>
    <w:rsid w:val="00AE0CCE"/>
    <w:rsid w:val="00AE511E"/>
    <w:rsid w:val="00AE57AC"/>
    <w:rsid w:val="00AF0AC7"/>
    <w:rsid w:val="00AF2DCA"/>
    <w:rsid w:val="00AF3E6B"/>
    <w:rsid w:val="00AF5FDD"/>
    <w:rsid w:val="00AF7786"/>
    <w:rsid w:val="00B00BC1"/>
    <w:rsid w:val="00B04177"/>
    <w:rsid w:val="00B2499F"/>
    <w:rsid w:val="00B26579"/>
    <w:rsid w:val="00B27783"/>
    <w:rsid w:val="00B3226E"/>
    <w:rsid w:val="00B355B0"/>
    <w:rsid w:val="00B36D5C"/>
    <w:rsid w:val="00B46CCD"/>
    <w:rsid w:val="00B47494"/>
    <w:rsid w:val="00B602DE"/>
    <w:rsid w:val="00B6162A"/>
    <w:rsid w:val="00B64360"/>
    <w:rsid w:val="00B6509D"/>
    <w:rsid w:val="00B65408"/>
    <w:rsid w:val="00B716C5"/>
    <w:rsid w:val="00B7445D"/>
    <w:rsid w:val="00B80425"/>
    <w:rsid w:val="00B8091F"/>
    <w:rsid w:val="00B83390"/>
    <w:rsid w:val="00B90BCF"/>
    <w:rsid w:val="00B9149D"/>
    <w:rsid w:val="00B92805"/>
    <w:rsid w:val="00B95581"/>
    <w:rsid w:val="00B97377"/>
    <w:rsid w:val="00BA049C"/>
    <w:rsid w:val="00BA0AFE"/>
    <w:rsid w:val="00BA53DB"/>
    <w:rsid w:val="00BA5C48"/>
    <w:rsid w:val="00BA7807"/>
    <w:rsid w:val="00BB409E"/>
    <w:rsid w:val="00BC0DD1"/>
    <w:rsid w:val="00BC2C92"/>
    <w:rsid w:val="00BC39B5"/>
    <w:rsid w:val="00BC3FD3"/>
    <w:rsid w:val="00BC4306"/>
    <w:rsid w:val="00BC4A48"/>
    <w:rsid w:val="00BC4E7C"/>
    <w:rsid w:val="00BD0752"/>
    <w:rsid w:val="00BD1908"/>
    <w:rsid w:val="00BD2A5D"/>
    <w:rsid w:val="00BE119D"/>
    <w:rsid w:val="00BE4E81"/>
    <w:rsid w:val="00BE6AB1"/>
    <w:rsid w:val="00BE6CD2"/>
    <w:rsid w:val="00BF13C4"/>
    <w:rsid w:val="00BF1F13"/>
    <w:rsid w:val="00BF437C"/>
    <w:rsid w:val="00BF6655"/>
    <w:rsid w:val="00C00635"/>
    <w:rsid w:val="00C01D39"/>
    <w:rsid w:val="00C03325"/>
    <w:rsid w:val="00C07D5E"/>
    <w:rsid w:val="00C1444E"/>
    <w:rsid w:val="00C16013"/>
    <w:rsid w:val="00C22474"/>
    <w:rsid w:val="00C2575E"/>
    <w:rsid w:val="00C35C86"/>
    <w:rsid w:val="00C376A4"/>
    <w:rsid w:val="00C407D2"/>
    <w:rsid w:val="00C40861"/>
    <w:rsid w:val="00C43023"/>
    <w:rsid w:val="00C44DFC"/>
    <w:rsid w:val="00C566FC"/>
    <w:rsid w:val="00C571E4"/>
    <w:rsid w:val="00C57E59"/>
    <w:rsid w:val="00C665FE"/>
    <w:rsid w:val="00C67B07"/>
    <w:rsid w:val="00C707DD"/>
    <w:rsid w:val="00C71A02"/>
    <w:rsid w:val="00C7238C"/>
    <w:rsid w:val="00C72A19"/>
    <w:rsid w:val="00C7327D"/>
    <w:rsid w:val="00C7776F"/>
    <w:rsid w:val="00C82DEC"/>
    <w:rsid w:val="00C858C1"/>
    <w:rsid w:val="00C85B6D"/>
    <w:rsid w:val="00C85FF3"/>
    <w:rsid w:val="00C92905"/>
    <w:rsid w:val="00CA0686"/>
    <w:rsid w:val="00CA2FE4"/>
    <w:rsid w:val="00CA40B1"/>
    <w:rsid w:val="00CA4B32"/>
    <w:rsid w:val="00CB00E8"/>
    <w:rsid w:val="00CB3BB0"/>
    <w:rsid w:val="00CB5548"/>
    <w:rsid w:val="00CB7898"/>
    <w:rsid w:val="00CC23F2"/>
    <w:rsid w:val="00CC55DD"/>
    <w:rsid w:val="00CC5955"/>
    <w:rsid w:val="00CC6B1D"/>
    <w:rsid w:val="00CC7D6F"/>
    <w:rsid w:val="00CD4C5C"/>
    <w:rsid w:val="00CD51DF"/>
    <w:rsid w:val="00CE30D8"/>
    <w:rsid w:val="00CE5575"/>
    <w:rsid w:val="00CE5CE3"/>
    <w:rsid w:val="00CF1416"/>
    <w:rsid w:val="00CF2367"/>
    <w:rsid w:val="00CF50A4"/>
    <w:rsid w:val="00CF540A"/>
    <w:rsid w:val="00CF5A35"/>
    <w:rsid w:val="00CF5D29"/>
    <w:rsid w:val="00D00826"/>
    <w:rsid w:val="00D0273C"/>
    <w:rsid w:val="00D02E54"/>
    <w:rsid w:val="00D03663"/>
    <w:rsid w:val="00D07DF3"/>
    <w:rsid w:val="00D10349"/>
    <w:rsid w:val="00D10BF4"/>
    <w:rsid w:val="00D15D16"/>
    <w:rsid w:val="00D2168F"/>
    <w:rsid w:val="00D2178A"/>
    <w:rsid w:val="00D25B2A"/>
    <w:rsid w:val="00D315F8"/>
    <w:rsid w:val="00D3422A"/>
    <w:rsid w:val="00D34CB5"/>
    <w:rsid w:val="00D37C38"/>
    <w:rsid w:val="00D424E6"/>
    <w:rsid w:val="00D449DC"/>
    <w:rsid w:val="00D46092"/>
    <w:rsid w:val="00D465AD"/>
    <w:rsid w:val="00D46700"/>
    <w:rsid w:val="00D5318B"/>
    <w:rsid w:val="00D54032"/>
    <w:rsid w:val="00D5654D"/>
    <w:rsid w:val="00D56975"/>
    <w:rsid w:val="00D61926"/>
    <w:rsid w:val="00D61EF1"/>
    <w:rsid w:val="00D65E31"/>
    <w:rsid w:val="00D70C5E"/>
    <w:rsid w:val="00D75056"/>
    <w:rsid w:val="00D75347"/>
    <w:rsid w:val="00D77689"/>
    <w:rsid w:val="00D7775C"/>
    <w:rsid w:val="00D870AA"/>
    <w:rsid w:val="00D91949"/>
    <w:rsid w:val="00D91CBE"/>
    <w:rsid w:val="00D92331"/>
    <w:rsid w:val="00D97C7A"/>
    <w:rsid w:val="00DA0E49"/>
    <w:rsid w:val="00DA4466"/>
    <w:rsid w:val="00DA610B"/>
    <w:rsid w:val="00DA64FF"/>
    <w:rsid w:val="00DA7E13"/>
    <w:rsid w:val="00DB3467"/>
    <w:rsid w:val="00DB6068"/>
    <w:rsid w:val="00DB60AA"/>
    <w:rsid w:val="00DC1C46"/>
    <w:rsid w:val="00DC2263"/>
    <w:rsid w:val="00DC3289"/>
    <w:rsid w:val="00DC6D55"/>
    <w:rsid w:val="00DD22B6"/>
    <w:rsid w:val="00DE1EF6"/>
    <w:rsid w:val="00DF1139"/>
    <w:rsid w:val="00DF4FE5"/>
    <w:rsid w:val="00DF66F5"/>
    <w:rsid w:val="00DF6BAA"/>
    <w:rsid w:val="00E01639"/>
    <w:rsid w:val="00E01E01"/>
    <w:rsid w:val="00E03594"/>
    <w:rsid w:val="00E05368"/>
    <w:rsid w:val="00E07ACF"/>
    <w:rsid w:val="00E13B45"/>
    <w:rsid w:val="00E144B6"/>
    <w:rsid w:val="00E174A3"/>
    <w:rsid w:val="00E23C4D"/>
    <w:rsid w:val="00E31ABD"/>
    <w:rsid w:val="00E35043"/>
    <w:rsid w:val="00E40E89"/>
    <w:rsid w:val="00E41E02"/>
    <w:rsid w:val="00E4403B"/>
    <w:rsid w:val="00E45482"/>
    <w:rsid w:val="00E4633B"/>
    <w:rsid w:val="00E47AD3"/>
    <w:rsid w:val="00E47B23"/>
    <w:rsid w:val="00E54C9F"/>
    <w:rsid w:val="00E55FB3"/>
    <w:rsid w:val="00E605B7"/>
    <w:rsid w:val="00E60806"/>
    <w:rsid w:val="00E61D0F"/>
    <w:rsid w:val="00E637C5"/>
    <w:rsid w:val="00E642FF"/>
    <w:rsid w:val="00E64EBA"/>
    <w:rsid w:val="00E65E6B"/>
    <w:rsid w:val="00E67A7A"/>
    <w:rsid w:val="00E81D90"/>
    <w:rsid w:val="00E822E3"/>
    <w:rsid w:val="00E825AB"/>
    <w:rsid w:val="00E83402"/>
    <w:rsid w:val="00E9700B"/>
    <w:rsid w:val="00E9701A"/>
    <w:rsid w:val="00EA3377"/>
    <w:rsid w:val="00EA7EDD"/>
    <w:rsid w:val="00EB0B9A"/>
    <w:rsid w:val="00EB0E90"/>
    <w:rsid w:val="00EB2282"/>
    <w:rsid w:val="00EB2492"/>
    <w:rsid w:val="00EB3B9D"/>
    <w:rsid w:val="00EB3CF0"/>
    <w:rsid w:val="00EB5B94"/>
    <w:rsid w:val="00EC245F"/>
    <w:rsid w:val="00EC455D"/>
    <w:rsid w:val="00EC4F64"/>
    <w:rsid w:val="00EC6A69"/>
    <w:rsid w:val="00EC7CF0"/>
    <w:rsid w:val="00ED0721"/>
    <w:rsid w:val="00ED3142"/>
    <w:rsid w:val="00ED44A2"/>
    <w:rsid w:val="00ED50E6"/>
    <w:rsid w:val="00ED6849"/>
    <w:rsid w:val="00ED68F6"/>
    <w:rsid w:val="00ED7982"/>
    <w:rsid w:val="00EE0BEA"/>
    <w:rsid w:val="00EE207B"/>
    <w:rsid w:val="00EF10C6"/>
    <w:rsid w:val="00EF13F3"/>
    <w:rsid w:val="00EF694B"/>
    <w:rsid w:val="00EF77FD"/>
    <w:rsid w:val="00F0521B"/>
    <w:rsid w:val="00F07EF6"/>
    <w:rsid w:val="00F11151"/>
    <w:rsid w:val="00F14039"/>
    <w:rsid w:val="00F1525E"/>
    <w:rsid w:val="00F15AA4"/>
    <w:rsid w:val="00F17A89"/>
    <w:rsid w:val="00F206DE"/>
    <w:rsid w:val="00F20819"/>
    <w:rsid w:val="00F22AD5"/>
    <w:rsid w:val="00F22F2E"/>
    <w:rsid w:val="00F267D3"/>
    <w:rsid w:val="00F26D65"/>
    <w:rsid w:val="00F35F70"/>
    <w:rsid w:val="00F36134"/>
    <w:rsid w:val="00F368A9"/>
    <w:rsid w:val="00F40275"/>
    <w:rsid w:val="00F411B5"/>
    <w:rsid w:val="00F52242"/>
    <w:rsid w:val="00F559EF"/>
    <w:rsid w:val="00F55C10"/>
    <w:rsid w:val="00F62301"/>
    <w:rsid w:val="00F62836"/>
    <w:rsid w:val="00F667EA"/>
    <w:rsid w:val="00F74432"/>
    <w:rsid w:val="00F854C9"/>
    <w:rsid w:val="00F8611B"/>
    <w:rsid w:val="00F9243F"/>
    <w:rsid w:val="00F9328F"/>
    <w:rsid w:val="00F93FB4"/>
    <w:rsid w:val="00F941A9"/>
    <w:rsid w:val="00F97C6C"/>
    <w:rsid w:val="00FA11BD"/>
    <w:rsid w:val="00FA196D"/>
    <w:rsid w:val="00FA3032"/>
    <w:rsid w:val="00FA5921"/>
    <w:rsid w:val="00FA7AE3"/>
    <w:rsid w:val="00FB0ADE"/>
    <w:rsid w:val="00FB1D14"/>
    <w:rsid w:val="00FB3836"/>
    <w:rsid w:val="00FB48EE"/>
    <w:rsid w:val="00FB7769"/>
    <w:rsid w:val="00FB77DE"/>
    <w:rsid w:val="00FC28BE"/>
    <w:rsid w:val="00FC68A1"/>
    <w:rsid w:val="00FD092B"/>
    <w:rsid w:val="00FD63AA"/>
    <w:rsid w:val="00FE0615"/>
    <w:rsid w:val="00FE26AD"/>
    <w:rsid w:val="00FE697D"/>
    <w:rsid w:val="00FF064A"/>
    <w:rsid w:val="00FF1A55"/>
    <w:rsid w:val="00FF4B06"/>
    <w:rsid w:val="00FF4E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DA9D2E"/>
  <w15:docId w15:val="{0EA95B32-4141-41C8-98A8-91F974DCC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414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A49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A49A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A49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A49A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A49A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A49AF"/>
    <w:rPr>
      <w:sz w:val="18"/>
      <w:szCs w:val="18"/>
    </w:rPr>
  </w:style>
  <w:style w:type="paragraph" w:styleId="a6">
    <w:name w:val="Date"/>
    <w:basedOn w:val="a"/>
    <w:next w:val="a"/>
    <w:link w:val="Char2"/>
    <w:uiPriority w:val="99"/>
    <w:semiHidden/>
    <w:unhideWhenUsed/>
    <w:rsid w:val="00F15AA4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semiHidden/>
    <w:rsid w:val="00F15AA4"/>
  </w:style>
  <w:style w:type="paragraph" w:styleId="a7">
    <w:name w:val="List Paragraph"/>
    <w:basedOn w:val="a"/>
    <w:uiPriority w:val="34"/>
    <w:qFormat/>
    <w:rsid w:val="00E01639"/>
    <w:pPr>
      <w:ind w:firstLineChars="200" w:firstLine="420"/>
    </w:pPr>
  </w:style>
  <w:style w:type="paragraph" w:styleId="a8">
    <w:name w:val="Normal (Web)"/>
    <w:basedOn w:val="a"/>
    <w:uiPriority w:val="99"/>
    <w:semiHidden/>
    <w:unhideWhenUsed/>
    <w:rsid w:val="00E40E8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9">
    <w:name w:val="annotation reference"/>
    <w:basedOn w:val="a0"/>
    <w:uiPriority w:val="99"/>
    <w:semiHidden/>
    <w:unhideWhenUsed/>
    <w:rsid w:val="005733F9"/>
    <w:rPr>
      <w:sz w:val="21"/>
      <w:szCs w:val="21"/>
    </w:rPr>
  </w:style>
  <w:style w:type="paragraph" w:styleId="aa">
    <w:name w:val="annotation text"/>
    <w:basedOn w:val="a"/>
    <w:link w:val="Char3"/>
    <w:uiPriority w:val="99"/>
    <w:semiHidden/>
    <w:unhideWhenUsed/>
    <w:rsid w:val="005733F9"/>
    <w:pPr>
      <w:jc w:val="left"/>
    </w:pPr>
  </w:style>
  <w:style w:type="character" w:customStyle="1" w:styleId="Char3">
    <w:name w:val="批注文字 Char"/>
    <w:basedOn w:val="a0"/>
    <w:link w:val="aa"/>
    <w:uiPriority w:val="99"/>
    <w:semiHidden/>
    <w:rsid w:val="005733F9"/>
    <w:rPr>
      <w:kern w:val="2"/>
      <w:sz w:val="21"/>
      <w:szCs w:val="22"/>
    </w:rPr>
  </w:style>
  <w:style w:type="paragraph" w:styleId="ab">
    <w:name w:val="annotation subject"/>
    <w:basedOn w:val="aa"/>
    <w:next w:val="aa"/>
    <w:link w:val="Char4"/>
    <w:uiPriority w:val="99"/>
    <w:semiHidden/>
    <w:unhideWhenUsed/>
    <w:rsid w:val="005733F9"/>
    <w:rPr>
      <w:b/>
      <w:bCs/>
    </w:rPr>
  </w:style>
  <w:style w:type="character" w:customStyle="1" w:styleId="Char4">
    <w:name w:val="批注主题 Char"/>
    <w:basedOn w:val="Char3"/>
    <w:link w:val="ab"/>
    <w:uiPriority w:val="99"/>
    <w:semiHidden/>
    <w:rsid w:val="005733F9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71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49507">
          <w:marLeft w:val="40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6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86209">
          <w:marLeft w:val="40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00747">
          <w:marLeft w:val="40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6484">
          <w:marLeft w:val="40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1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51B55C-BC35-443B-B3A4-4700F1576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6</Pages>
  <Words>837</Words>
  <Characters>4775</Characters>
  <Application>Microsoft Office Word</Application>
  <DocSecurity>0</DocSecurity>
  <Lines>39</Lines>
  <Paragraphs>11</Paragraphs>
  <ScaleCrop>false</ScaleCrop>
  <Company/>
  <LinksUpToDate>false</LinksUpToDate>
  <CharactersWithSpaces>5601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周小雍</dc:creator>
  <cp:lastModifiedBy>杨燕燕</cp:lastModifiedBy>
  <cp:revision>7</cp:revision>
  <cp:lastPrinted>2015-07-01T06:46:00Z</cp:lastPrinted>
  <dcterms:created xsi:type="dcterms:W3CDTF">2016-07-05T16:07:00Z</dcterms:created>
  <dcterms:modified xsi:type="dcterms:W3CDTF">2016-07-11T05:40:00Z</dcterms:modified>
</cp:coreProperties>
</file>