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交银施罗德优择回报灵活配置混合型证券投资基金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2020年第3季度报告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2020年9月30日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中信银行股份有限公司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二〇二〇年十月二十八日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基金托管人中信银行股份有限公司根据本基金合同规定，于2020年10月27日复核了本报告中的财务指标、净值表现和投资组合报告等内容，保证复核内容不存在虚假记载、误导性陈述或者重大遗漏。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本报告期自2020年7月1日起至9月30日止。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交银优择回报灵活配置混合</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519770</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2016年4月22日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677,654,802.72</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本基金在控制风险并保持基金资产良好的流动性的前提下，通过灵活的资产配置策略和积极主动的投资管理，力争为投资者提供长期稳健的投资回报。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50%×沪深300指数收益率+50%×中债综合全价指数收益率</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本基金是一只混合型基金，其风险和预期收益高于债券型基金和货币市场基金，低于股票型基金。属于承担较高风险、预期收益较高的证券投资基金品种。</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交银优择回报灵活配置混合A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交银优择回报灵活配置混合C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519770</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519771</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512,469,963.72</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165,184,839.00</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(2020年7月1日-2020年9月30日)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交银优择回报灵活配置混合A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交银优择回报灵活配置混合C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46,438,302.55</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6,988,951.63</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51,574,704.95</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5,959,681.67</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0.0816</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0.0578</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652,308,198.02</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211,971,733.09</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1.273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1.283</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注：1、上述基金A类业绩指标不包括持有人认购或交易基金的各项费用，计入费用后的实际收益水平要低于所列数字； </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交银优择回报灵活配置混合A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6.71%</w:t>
            </w:r>
          </w:p>
        </w:tc>
        <w:tc>
          <w:tcPr>
            <w:vAlign w:val="center"/>
          </w:tcPr>
          <w:p>
            <w:pPr>
              <w:jc w:val="center"/>
            </w:pPr>
            <w:r>
              <w:rPr>
                <w:color w:val="000000"/>
                <w:sz w:val="24"/>
              </w:rPr>
              <w:t>0.31%</w:t>
            </w:r>
          </w:p>
        </w:tc>
        <w:tc>
          <w:tcPr>
            <w:vAlign w:val="center"/>
          </w:tcPr>
          <w:p>
            <w:pPr>
              <w:jc w:val="center"/>
            </w:pPr>
            <w:r>
              <w:rPr>
                <w:color w:val="000000"/>
                <w:sz w:val="24"/>
              </w:rPr>
              <w:t>4.42%</w:t>
            </w:r>
          </w:p>
        </w:tc>
        <w:tc>
          <w:tcPr>
            <w:vAlign w:val="center"/>
          </w:tcPr>
          <w:p>
            <w:pPr>
              <w:jc w:val="center"/>
            </w:pPr>
            <w:r>
              <w:rPr>
                <w:color w:val="000000"/>
                <w:sz w:val="24"/>
              </w:rPr>
              <w:t>0.79%</w:t>
            </w:r>
          </w:p>
        </w:tc>
        <w:tc>
          <w:tcPr>
            <w:vAlign w:val="center"/>
          </w:tcPr>
          <w:p>
            <w:pPr>
              <w:jc w:val="center"/>
            </w:pPr>
            <w:r>
              <w:rPr>
                <w:color w:val="000000"/>
                <w:sz w:val="24"/>
              </w:rPr>
              <w:t>2.29%</w:t>
            </w:r>
          </w:p>
        </w:tc>
        <w:tc>
          <w:tcPr>
            <w:vAlign w:val="center"/>
          </w:tcPr>
          <w:p>
            <w:pPr>
              <w:jc w:val="center"/>
            </w:pPr>
            <w:r>
              <w:rPr>
                <w:color w:val="000000"/>
                <w:sz w:val="24"/>
              </w:rPr>
              <w:t>-0.48%</w:t>
            </w:r>
          </w:p>
        </w:tc>
      </w:tr>
      <w:tr>
        <w:tc>
          <w:tcPr>
            <w:vAlign w:val="center"/>
          </w:tcPr>
          <w:p>
            <w:pPr>
              <w:jc w:val="left"/>
            </w:pPr>
            <w:r>
              <w:rPr>
                <w:color w:val="000000"/>
                <w:sz w:val="24"/>
              </w:rPr>
              <w:t>过去六个月</w:t>
            </w:r>
          </w:p>
        </w:tc>
        <w:tc>
          <w:tcPr>
            <w:vAlign w:val="center"/>
          </w:tcPr>
          <w:p>
            <w:pPr>
              <w:jc w:val="center"/>
            </w:pPr>
            <w:r>
              <w:rPr>
                <w:color w:val="000000"/>
                <w:sz w:val="24"/>
              </w:rPr>
              <w:t>9.08%</w:t>
            </w:r>
          </w:p>
        </w:tc>
        <w:tc>
          <w:tcPr>
            <w:vAlign w:val="center"/>
          </w:tcPr>
          <w:p>
            <w:pPr>
              <w:jc w:val="center"/>
            </w:pPr>
            <w:r>
              <w:rPr>
                <w:color w:val="000000"/>
                <w:sz w:val="24"/>
              </w:rPr>
              <w:t>0.24%</w:t>
            </w:r>
          </w:p>
        </w:tc>
        <w:tc>
          <w:tcPr>
            <w:vAlign w:val="center"/>
          </w:tcPr>
          <w:p>
            <w:pPr>
              <w:jc w:val="center"/>
            </w:pPr>
            <w:r>
              <w:rPr>
                <w:color w:val="000000"/>
                <w:sz w:val="24"/>
              </w:rPr>
              <w:t>10.47%</w:t>
            </w:r>
          </w:p>
        </w:tc>
        <w:tc>
          <w:tcPr>
            <w:vAlign w:val="center"/>
          </w:tcPr>
          <w:p>
            <w:pPr>
              <w:jc w:val="center"/>
            </w:pPr>
            <w:r>
              <w:rPr>
                <w:color w:val="000000"/>
                <w:sz w:val="24"/>
              </w:rPr>
              <w:t>0.65%</w:t>
            </w:r>
          </w:p>
        </w:tc>
        <w:tc>
          <w:tcPr>
            <w:vAlign w:val="center"/>
          </w:tcPr>
          <w:p>
            <w:pPr>
              <w:jc w:val="center"/>
            </w:pPr>
            <w:r>
              <w:rPr>
                <w:color w:val="000000"/>
                <w:sz w:val="24"/>
              </w:rPr>
              <w:t>-1.39%</w:t>
            </w:r>
          </w:p>
        </w:tc>
        <w:tc>
          <w:tcPr>
            <w:vAlign w:val="center"/>
          </w:tcPr>
          <w:p>
            <w:pPr>
              <w:jc w:val="center"/>
            </w:pPr>
            <w:r>
              <w:rPr>
                <w:color w:val="000000"/>
                <w:sz w:val="24"/>
              </w:rPr>
              <w:t>-0.41%</w:t>
            </w:r>
          </w:p>
        </w:tc>
      </w:tr>
      <w:tr>
        <w:tc>
          <w:tcPr>
            <w:vAlign w:val="center"/>
          </w:tcPr>
          <w:p>
            <w:pPr>
              <w:jc w:val="left"/>
            </w:pPr>
            <w:r>
              <w:rPr>
                <w:color w:val="000000"/>
                <w:sz w:val="24"/>
              </w:rPr>
              <w:t>过去一年</w:t>
            </w:r>
          </w:p>
        </w:tc>
        <w:tc>
          <w:tcPr>
            <w:vAlign w:val="center"/>
          </w:tcPr>
          <w:p>
            <w:pPr>
              <w:jc w:val="center"/>
            </w:pPr>
            <w:r>
              <w:rPr>
                <w:color w:val="000000"/>
                <w:sz w:val="24"/>
              </w:rPr>
              <w:t>13.86%</w:t>
            </w:r>
          </w:p>
        </w:tc>
        <w:tc>
          <w:tcPr>
            <w:vAlign w:val="center"/>
          </w:tcPr>
          <w:p>
            <w:pPr>
              <w:jc w:val="center"/>
            </w:pPr>
            <w:r>
              <w:rPr>
                <w:color w:val="000000"/>
                <w:sz w:val="24"/>
              </w:rPr>
              <w:t>0.21%</w:t>
            </w:r>
          </w:p>
        </w:tc>
        <w:tc>
          <w:tcPr>
            <w:vAlign w:val="center"/>
          </w:tcPr>
          <w:p>
            <w:pPr>
              <w:jc w:val="center"/>
            </w:pPr>
            <w:r>
              <w:rPr>
                <w:color w:val="000000"/>
                <w:sz w:val="24"/>
              </w:rPr>
              <w:t>10.31%</w:t>
            </w:r>
          </w:p>
        </w:tc>
        <w:tc>
          <w:tcPr>
            <w:vAlign w:val="center"/>
          </w:tcPr>
          <w:p>
            <w:pPr>
              <w:jc w:val="center"/>
            </w:pPr>
            <w:r>
              <w:rPr>
                <w:color w:val="000000"/>
                <w:sz w:val="24"/>
              </w:rPr>
              <w:t>0.68%</w:t>
            </w:r>
          </w:p>
        </w:tc>
        <w:tc>
          <w:tcPr>
            <w:vAlign w:val="center"/>
          </w:tcPr>
          <w:p>
            <w:pPr>
              <w:jc w:val="center"/>
            </w:pPr>
            <w:r>
              <w:rPr>
                <w:color w:val="000000"/>
                <w:sz w:val="24"/>
              </w:rPr>
              <w:t>3.55%</w:t>
            </w:r>
          </w:p>
        </w:tc>
        <w:tc>
          <w:tcPr>
            <w:vAlign w:val="center"/>
          </w:tcPr>
          <w:p>
            <w:pPr>
              <w:jc w:val="center"/>
            </w:pPr>
            <w:r>
              <w:rPr>
                <w:color w:val="000000"/>
                <w:sz w:val="24"/>
              </w:rPr>
              <w:t>-0.47%</w:t>
            </w:r>
          </w:p>
        </w:tc>
      </w:tr>
      <w:tr>
        <w:tc>
          <w:tcPr>
            <w:vAlign w:val="center"/>
          </w:tcPr>
          <w:p>
            <w:pPr>
              <w:jc w:val="left"/>
            </w:pPr>
            <w:r>
              <w:rPr>
                <w:color w:val="000000"/>
                <w:sz w:val="24"/>
              </w:rPr>
              <w:t>过去三年</w:t>
            </w:r>
          </w:p>
        </w:tc>
        <w:tc>
          <w:tcPr>
            <w:vAlign w:val="center"/>
          </w:tcPr>
          <w:p>
            <w:pPr>
              <w:jc w:val="center"/>
            </w:pPr>
            <w:r>
              <w:rPr>
                <w:color w:val="000000"/>
                <w:sz w:val="24"/>
              </w:rPr>
              <w:t>27.03%</w:t>
            </w:r>
          </w:p>
        </w:tc>
        <w:tc>
          <w:tcPr>
            <w:vAlign w:val="center"/>
          </w:tcPr>
          <w:p>
            <w:pPr>
              <w:jc w:val="center"/>
            </w:pPr>
            <w:r>
              <w:rPr>
                <w:color w:val="000000"/>
                <w:sz w:val="24"/>
              </w:rPr>
              <w:t>0.16%</w:t>
            </w:r>
          </w:p>
        </w:tc>
        <w:tc>
          <w:tcPr>
            <w:vAlign w:val="center"/>
          </w:tcPr>
          <w:p>
            <w:pPr>
              <w:jc w:val="center"/>
            </w:pPr>
            <w:r>
              <w:rPr>
                <w:color w:val="000000"/>
                <w:sz w:val="24"/>
              </w:rPr>
              <w:t>13.54%</w:t>
            </w:r>
          </w:p>
        </w:tc>
        <w:tc>
          <w:tcPr>
            <w:vAlign w:val="center"/>
          </w:tcPr>
          <w:p>
            <w:pPr>
              <w:jc w:val="center"/>
            </w:pPr>
            <w:r>
              <w:rPr>
                <w:color w:val="000000"/>
                <w:sz w:val="24"/>
              </w:rPr>
              <w:t>0.66%</w:t>
            </w:r>
          </w:p>
        </w:tc>
        <w:tc>
          <w:tcPr>
            <w:vAlign w:val="center"/>
          </w:tcPr>
          <w:p>
            <w:pPr>
              <w:jc w:val="center"/>
            </w:pPr>
            <w:r>
              <w:rPr>
                <w:color w:val="000000"/>
                <w:sz w:val="24"/>
              </w:rPr>
              <w:t>13.49%</w:t>
            </w:r>
          </w:p>
        </w:tc>
        <w:tc>
          <w:tcPr>
            <w:vAlign w:val="center"/>
          </w:tcPr>
          <w:p>
            <w:pPr>
              <w:jc w:val="center"/>
            </w:pPr>
            <w:r>
              <w:rPr>
                <w:color w:val="000000"/>
                <w:sz w:val="24"/>
              </w:rPr>
              <w:t>-0.50%</w:t>
            </w:r>
          </w:p>
        </w:tc>
      </w:tr>
      <w:tr>
        <w:tc>
          <w:tcPr>
            <w:vAlign w:val="center"/>
          </w:tcPr>
          <w:p>
            <w:pPr>
              <w:jc w:val="left"/>
            </w:pPr>
            <w:r>
              <w:rPr>
                <w:color w:val="000000"/>
                <w:sz w:val="24"/>
              </w:rPr>
              <w:t>自基金合同生效起至今</w:t>
            </w:r>
          </w:p>
        </w:tc>
        <w:tc>
          <w:tcPr>
            <w:vAlign w:val="center"/>
          </w:tcPr>
          <w:p>
            <w:pPr>
              <w:jc w:val="center"/>
            </w:pPr>
            <w:r>
              <w:rPr>
                <w:color w:val="000000"/>
                <w:sz w:val="24"/>
              </w:rPr>
              <w:t>36.56%</w:t>
            </w:r>
          </w:p>
        </w:tc>
        <w:tc>
          <w:tcPr>
            <w:vAlign w:val="center"/>
          </w:tcPr>
          <w:p>
            <w:pPr>
              <w:jc w:val="center"/>
            </w:pPr>
            <w:r>
              <w:rPr>
                <w:color w:val="000000"/>
                <w:sz w:val="24"/>
              </w:rPr>
              <w:t>0.13%</w:t>
            </w:r>
          </w:p>
        </w:tc>
        <w:tc>
          <w:tcPr>
            <w:vAlign w:val="center"/>
          </w:tcPr>
          <w:p>
            <w:pPr>
              <w:jc w:val="center"/>
            </w:pPr>
            <w:r>
              <w:rPr>
                <w:color w:val="000000"/>
                <w:sz w:val="24"/>
              </w:rPr>
              <w:t>23.20%</w:t>
            </w:r>
          </w:p>
        </w:tc>
        <w:tc>
          <w:tcPr>
            <w:vAlign w:val="center"/>
          </w:tcPr>
          <w:p>
            <w:pPr>
              <w:jc w:val="center"/>
            </w:pPr>
            <w:r>
              <w:rPr>
                <w:color w:val="000000"/>
                <w:sz w:val="24"/>
              </w:rPr>
              <w:t>0.58%</w:t>
            </w:r>
          </w:p>
        </w:tc>
        <w:tc>
          <w:tcPr>
            <w:vAlign w:val="center"/>
          </w:tcPr>
          <w:p>
            <w:pPr>
              <w:jc w:val="center"/>
            </w:pPr>
            <w:r>
              <w:rPr>
                <w:color w:val="000000"/>
                <w:sz w:val="24"/>
              </w:rPr>
              <w:t>13.36%</w:t>
            </w:r>
          </w:p>
        </w:tc>
        <w:tc>
          <w:tcPr>
            <w:vAlign w:val="center"/>
          </w:tcPr>
          <w:p>
            <w:pPr>
              <w:jc w:val="center"/>
            </w:pPr>
            <w:r>
              <w:rPr>
                <w:color w:val="000000"/>
                <w:sz w:val="24"/>
              </w:rPr>
              <w:t>-0.45%</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交银优择回报灵活配置混合C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6.56%</w:t>
            </w:r>
          </w:p>
        </w:tc>
        <w:tc>
          <w:tcPr>
            <w:vAlign w:val="center"/>
          </w:tcPr>
          <w:p>
            <w:pPr>
              <w:jc w:val="center"/>
            </w:pPr>
            <w:r>
              <w:rPr>
                <w:color w:val="000000"/>
                <w:sz w:val="24"/>
              </w:rPr>
              <w:t>0.31%</w:t>
            </w:r>
          </w:p>
        </w:tc>
        <w:tc>
          <w:tcPr>
            <w:vAlign w:val="center"/>
          </w:tcPr>
          <w:p>
            <w:pPr>
              <w:jc w:val="center"/>
            </w:pPr>
            <w:r>
              <w:rPr>
                <w:color w:val="000000"/>
                <w:sz w:val="24"/>
              </w:rPr>
              <w:t>4.42%</w:t>
            </w:r>
          </w:p>
        </w:tc>
        <w:tc>
          <w:tcPr>
            <w:vAlign w:val="center"/>
          </w:tcPr>
          <w:p>
            <w:pPr>
              <w:jc w:val="center"/>
            </w:pPr>
            <w:r>
              <w:rPr>
                <w:color w:val="000000"/>
                <w:sz w:val="24"/>
              </w:rPr>
              <w:t>0.79%</w:t>
            </w:r>
          </w:p>
        </w:tc>
        <w:tc>
          <w:tcPr>
            <w:vAlign w:val="center"/>
          </w:tcPr>
          <w:p>
            <w:pPr>
              <w:jc w:val="center"/>
            </w:pPr>
            <w:r>
              <w:rPr>
                <w:color w:val="000000"/>
                <w:sz w:val="24"/>
              </w:rPr>
              <w:t>2.14%</w:t>
            </w:r>
          </w:p>
        </w:tc>
        <w:tc>
          <w:tcPr>
            <w:vAlign w:val="center"/>
          </w:tcPr>
          <w:p>
            <w:pPr>
              <w:jc w:val="center"/>
            </w:pPr>
            <w:r>
              <w:rPr>
                <w:color w:val="000000"/>
                <w:sz w:val="24"/>
              </w:rPr>
              <w:t>-0.48%</w:t>
            </w:r>
          </w:p>
        </w:tc>
      </w:tr>
      <w:tr>
        <w:tc>
          <w:tcPr>
            <w:vAlign w:val="center"/>
          </w:tcPr>
          <w:p>
            <w:pPr>
              <w:jc w:val="left"/>
            </w:pPr>
            <w:r>
              <w:rPr>
                <w:color w:val="000000"/>
                <w:sz w:val="24"/>
              </w:rPr>
              <w:t>过去六个月</w:t>
            </w:r>
          </w:p>
        </w:tc>
        <w:tc>
          <w:tcPr>
            <w:vAlign w:val="center"/>
          </w:tcPr>
          <w:p>
            <w:pPr>
              <w:jc w:val="center"/>
            </w:pPr>
            <w:r>
              <w:rPr>
                <w:color w:val="000000"/>
                <w:sz w:val="24"/>
              </w:rPr>
              <w:t>8.91%</w:t>
            </w:r>
          </w:p>
        </w:tc>
        <w:tc>
          <w:tcPr>
            <w:vAlign w:val="center"/>
          </w:tcPr>
          <w:p>
            <w:pPr>
              <w:jc w:val="center"/>
            </w:pPr>
            <w:r>
              <w:rPr>
                <w:color w:val="000000"/>
                <w:sz w:val="24"/>
              </w:rPr>
              <w:t>0.24%</w:t>
            </w:r>
          </w:p>
        </w:tc>
        <w:tc>
          <w:tcPr>
            <w:vAlign w:val="center"/>
          </w:tcPr>
          <w:p>
            <w:pPr>
              <w:jc w:val="center"/>
            </w:pPr>
            <w:r>
              <w:rPr>
                <w:color w:val="000000"/>
                <w:sz w:val="24"/>
              </w:rPr>
              <w:t>10.47%</w:t>
            </w:r>
          </w:p>
        </w:tc>
        <w:tc>
          <w:tcPr>
            <w:vAlign w:val="center"/>
          </w:tcPr>
          <w:p>
            <w:pPr>
              <w:jc w:val="center"/>
            </w:pPr>
            <w:r>
              <w:rPr>
                <w:color w:val="000000"/>
                <w:sz w:val="24"/>
              </w:rPr>
              <w:t>0.65%</w:t>
            </w:r>
          </w:p>
        </w:tc>
        <w:tc>
          <w:tcPr>
            <w:vAlign w:val="center"/>
          </w:tcPr>
          <w:p>
            <w:pPr>
              <w:jc w:val="center"/>
            </w:pPr>
            <w:r>
              <w:rPr>
                <w:color w:val="000000"/>
                <w:sz w:val="24"/>
              </w:rPr>
              <w:t>-1.56%</w:t>
            </w:r>
          </w:p>
        </w:tc>
        <w:tc>
          <w:tcPr>
            <w:vAlign w:val="center"/>
          </w:tcPr>
          <w:p>
            <w:pPr>
              <w:jc w:val="center"/>
            </w:pPr>
            <w:r>
              <w:rPr>
                <w:color w:val="000000"/>
                <w:sz w:val="24"/>
              </w:rPr>
              <w:t>-0.41%</w:t>
            </w:r>
          </w:p>
        </w:tc>
      </w:tr>
      <w:tr>
        <w:tc>
          <w:tcPr>
            <w:vAlign w:val="center"/>
          </w:tcPr>
          <w:p>
            <w:pPr>
              <w:jc w:val="left"/>
            </w:pPr>
            <w:r>
              <w:rPr>
                <w:color w:val="000000"/>
                <w:sz w:val="24"/>
              </w:rPr>
              <w:t>过去一年</w:t>
            </w:r>
          </w:p>
        </w:tc>
        <w:tc>
          <w:tcPr>
            <w:vAlign w:val="center"/>
          </w:tcPr>
          <w:p>
            <w:pPr>
              <w:jc w:val="center"/>
            </w:pPr>
            <w:r>
              <w:rPr>
                <w:color w:val="000000"/>
                <w:sz w:val="24"/>
              </w:rPr>
              <w:t>13.64%</w:t>
            </w:r>
          </w:p>
        </w:tc>
        <w:tc>
          <w:tcPr>
            <w:vAlign w:val="center"/>
          </w:tcPr>
          <w:p>
            <w:pPr>
              <w:jc w:val="center"/>
            </w:pPr>
            <w:r>
              <w:rPr>
                <w:color w:val="000000"/>
                <w:sz w:val="24"/>
              </w:rPr>
              <w:t>0.21%</w:t>
            </w:r>
          </w:p>
        </w:tc>
        <w:tc>
          <w:tcPr>
            <w:vAlign w:val="center"/>
          </w:tcPr>
          <w:p>
            <w:pPr>
              <w:jc w:val="center"/>
            </w:pPr>
            <w:r>
              <w:rPr>
                <w:color w:val="000000"/>
                <w:sz w:val="24"/>
              </w:rPr>
              <w:t>10.31%</w:t>
            </w:r>
          </w:p>
        </w:tc>
        <w:tc>
          <w:tcPr>
            <w:vAlign w:val="center"/>
          </w:tcPr>
          <w:p>
            <w:pPr>
              <w:jc w:val="center"/>
            </w:pPr>
            <w:r>
              <w:rPr>
                <w:color w:val="000000"/>
                <w:sz w:val="24"/>
              </w:rPr>
              <w:t>0.68%</w:t>
            </w:r>
          </w:p>
        </w:tc>
        <w:tc>
          <w:tcPr>
            <w:vAlign w:val="center"/>
          </w:tcPr>
          <w:p>
            <w:pPr>
              <w:jc w:val="center"/>
            </w:pPr>
            <w:r>
              <w:rPr>
                <w:color w:val="000000"/>
                <w:sz w:val="24"/>
              </w:rPr>
              <w:t>3.33%</w:t>
            </w:r>
          </w:p>
        </w:tc>
        <w:tc>
          <w:tcPr>
            <w:vAlign w:val="center"/>
          </w:tcPr>
          <w:p>
            <w:pPr>
              <w:jc w:val="center"/>
            </w:pPr>
            <w:r>
              <w:rPr>
                <w:color w:val="000000"/>
                <w:sz w:val="24"/>
              </w:rPr>
              <w:t>-0.47%</w:t>
            </w:r>
          </w:p>
        </w:tc>
      </w:tr>
      <w:tr>
        <w:tc>
          <w:tcPr>
            <w:vAlign w:val="center"/>
          </w:tcPr>
          <w:p>
            <w:pPr>
              <w:jc w:val="left"/>
            </w:pPr>
            <w:r>
              <w:rPr>
                <w:color w:val="000000"/>
                <w:sz w:val="24"/>
              </w:rPr>
              <w:t>过去三年</w:t>
            </w:r>
          </w:p>
        </w:tc>
        <w:tc>
          <w:tcPr>
            <w:vAlign w:val="center"/>
          </w:tcPr>
          <w:p>
            <w:pPr>
              <w:jc w:val="center"/>
            </w:pPr>
            <w:r>
              <w:rPr>
                <w:color w:val="000000"/>
                <w:sz w:val="24"/>
              </w:rPr>
              <w:t>28.42%</w:t>
            </w:r>
          </w:p>
        </w:tc>
        <w:tc>
          <w:tcPr>
            <w:vAlign w:val="center"/>
          </w:tcPr>
          <w:p>
            <w:pPr>
              <w:jc w:val="center"/>
            </w:pPr>
            <w:r>
              <w:rPr>
                <w:color w:val="000000"/>
                <w:sz w:val="24"/>
              </w:rPr>
              <w:t>0.17%</w:t>
            </w:r>
          </w:p>
        </w:tc>
        <w:tc>
          <w:tcPr>
            <w:vAlign w:val="center"/>
          </w:tcPr>
          <w:p>
            <w:pPr>
              <w:jc w:val="center"/>
            </w:pPr>
            <w:r>
              <w:rPr>
                <w:color w:val="000000"/>
                <w:sz w:val="24"/>
              </w:rPr>
              <w:t>13.54%</w:t>
            </w:r>
          </w:p>
        </w:tc>
        <w:tc>
          <w:tcPr>
            <w:vAlign w:val="center"/>
          </w:tcPr>
          <w:p>
            <w:pPr>
              <w:jc w:val="center"/>
            </w:pPr>
            <w:r>
              <w:rPr>
                <w:color w:val="000000"/>
                <w:sz w:val="24"/>
              </w:rPr>
              <w:t>0.66%</w:t>
            </w:r>
          </w:p>
        </w:tc>
        <w:tc>
          <w:tcPr>
            <w:vAlign w:val="center"/>
          </w:tcPr>
          <w:p>
            <w:pPr>
              <w:jc w:val="center"/>
            </w:pPr>
            <w:r>
              <w:rPr>
                <w:color w:val="000000"/>
                <w:sz w:val="24"/>
              </w:rPr>
              <w:t>14.88%</w:t>
            </w:r>
          </w:p>
        </w:tc>
        <w:tc>
          <w:tcPr>
            <w:vAlign w:val="center"/>
          </w:tcPr>
          <w:p>
            <w:pPr>
              <w:jc w:val="center"/>
            </w:pPr>
            <w:r>
              <w:rPr>
                <w:color w:val="000000"/>
                <w:sz w:val="24"/>
              </w:rPr>
              <w:t>-0.49%</w:t>
            </w:r>
          </w:p>
        </w:tc>
      </w:tr>
      <w:tr>
        <w:tc>
          <w:tcPr>
            <w:vAlign w:val="center"/>
          </w:tcPr>
          <w:p>
            <w:pPr>
              <w:jc w:val="left"/>
            </w:pPr>
            <w:r>
              <w:rPr>
                <w:color w:val="000000"/>
                <w:sz w:val="24"/>
              </w:rPr>
              <w:t>自基金合同生效起至今</w:t>
            </w:r>
          </w:p>
        </w:tc>
        <w:tc>
          <w:tcPr>
            <w:vAlign w:val="center"/>
          </w:tcPr>
          <w:p>
            <w:pPr>
              <w:jc w:val="center"/>
            </w:pPr>
            <w:r>
              <w:rPr>
                <w:color w:val="000000"/>
                <w:sz w:val="24"/>
              </w:rPr>
              <w:t>37.67%</w:t>
            </w:r>
          </w:p>
        </w:tc>
        <w:tc>
          <w:tcPr>
            <w:vAlign w:val="center"/>
          </w:tcPr>
          <w:p>
            <w:pPr>
              <w:jc w:val="center"/>
            </w:pPr>
            <w:r>
              <w:rPr>
                <w:color w:val="000000"/>
                <w:sz w:val="24"/>
              </w:rPr>
              <w:t>0.14%</w:t>
            </w:r>
          </w:p>
        </w:tc>
        <w:tc>
          <w:tcPr>
            <w:vAlign w:val="center"/>
          </w:tcPr>
          <w:p>
            <w:pPr>
              <w:jc w:val="center"/>
            </w:pPr>
            <w:r>
              <w:rPr>
                <w:color w:val="000000"/>
                <w:sz w:val="24"/>
              </w:rPr>
              <w:t>23.20%</w:t>
            </w:r>
          </w:p>
        </w:tc>
        <w:tc>
          <w:tcPr>
            <w:vAlign w:val="center"/>
          </w:tcPr>
          <w:p>
            <w:pPr>
              <w:jc w:val="center"/>
            </w:pPr>
            <w:r>
              <w:rPr>
                <w:color w:val="000000"/>
                <w:sz w:val="24"/>
              </w:rPr>
              <w:t>0.58%</w:t>
            </w:r>
          </w:p>
        </w:tc>
        <w:tc>
          <w:tcPr>
            <w:vAlign w:val="center"/>
          </w:tcPr>
          <w:p>
            <w:pPr>
              <w:jc w:val="center"/>
            </w:pPr>
            <w:r>
              <w:rPr>
                <w:color w:val="000000"/>
                <w:sz w:val="24"/>
              </w:rPr>
              <w:t>14.47%</w:t>
            </w:r>
          </w:p>
        </w:tc>
        <w:tc>
          <w:tcPr>
            <w:vAlign w:val="center"/>
          </w:tcPr>
          <w:p>
            <w:pPr>
              <w:jc w:val="center"/>
            </w:pPr>
            <w:r>
              <w:rPr>
                <w:color w:val="000000"/>
                <w:sz w:val="24"/>
              </w:rPr>
              <w:t>-0.44%</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交银施罗德优择回报灵活配置混合型证券投资基金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2016年4月22日</w:t>
      </w:r>
      <w:r w:rsidR="009A045B" w:rsidRPr="007F52FA">
        <w:rPr>
          <w:rFonts w:ascii="Times New Roman" w:hAnsi="Times New Roman"/>
          <w:sz w:val="24"/>
          <w:szCs w:val="24"/>
        </w:rPr>
        <w:t>至</w:t>
      </w:r>
      <w:r w:rsidRPr="007F52FA">
        <w:rPr>
          <w:rFonts w:ascii="Times New Roman" w:hAnsi="Times New Roman"/>
          <w:sz w:val="24"/>
          <w:szCs w:val="24"/>
        </w:rPr>
        <w:t>2020年9月30日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交银优择回报灵活配置混合A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交银优择回报灵活配置混合C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注：本基金建仓期为自基金合同生效日起的6个月。截至建仓期结束，本基金各项资产配置比例符合基金合同及招募说明书有关投资比例的约定。</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李娜</w:t>
            </w:r>
          </w:p>
        </w:tc>
        <w:tc>
          <w:tcPr>
            <w:vAlign w:val="center"/>
          </w:tcPr>
          <w:p>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vAlign w:val="center"/>
          </w:tcPr>
          <w:p>
            <w:pPr>
              <w:jc w:val="center"/>
            </w:pPr>
            <w:r>
              <w:rPr>
                <w:color w:val="000000"/>
                <w:sz w:val="24"/>
              </w:rPr>
              <w:t>2016-04-22</w:t>
            </w:r>
          </w:p>
        </w:tc>
        <w:tc>
          <w:tcPr>
            <w:vAlign w:val="center"/>
          </w:tcPr>
          <w:p>
            <w:pPr>
              <w:jc w:val="center"/>
            </w:pPr>
            <w:r>
              <w:rPr>
                <w:color w:val="000000"/>
                <w:sz w:val="24"/>
              </w:rPr>
              <w:t>-</w:t>
            </w:r>
          </w:p>
        </w:tc>
        <w:tc>
          <w:tcPr>
            <w:vAlign w:val="center"/>
          </w:tcPr>
          <w:p>
            <w:pPr>
              <w:jc w:val="center"/>
            </w:pPr>
            <w:r>
              <w:rPr>
                <w:color w:val="000000"/>
                <w:sz w:val="24"/>
              </w:rPr>
              <w:t>10年</w:t>
            </w:r>
          </w:p>
        </w:tc>
        <w:tc>
          <w:tcPr>
            <w:vAlign w:val="center"/>
          </w:tcPr>
          <w:p>
            <w:pPr>
              <w:jc w:val="both"/>
            </w:pPr>
            <w:r>
              <w:rPr>
                <w:color w:val="000000"/>
                <w:sz w:val="24"/>
              </w:rPr>
              <w:t>李娜女士，美国宾夕法尼亚大学应用数学与计算科学硕士。历任国泰基金管理有限公司研究员。2012年加入交银施罗德基金管理有限公司，历任债券分析师、基金经理助理。2017年3月2日至2018年4月10日担任交银施罗德瑞安定期开放灵活配置混合型证券投资基金基金经理。2017年2月24日至2018年7月18日担任交银施罗德瑞利定期开放灵活配置混合型证券投资基金的基金经理。2017年3月31日至2018年8月23日担任交银施罗德启通灵活配置混合型证券投资基金的基金经理。2016年12月21日至2018年11月16日担任交银施罗德瑞景定期开放灵活配置混合型证券投资基金的基金经理。2016年2月17日至2018年12月7日担任交银施罗德卓越回报灵活配置混合型证券投资基金的基金经理。2016年9月13日至2019年1月21日担任交银施罗德领先回报灵活配置混合型证券投资基金的基金经理。</w:t>
            </w:r>
          </w:p>
        </w:tc>
      </w:tr>
      <w:tr>
        <w:tc>
          <w:tcPr>
            <w:vAlign w:val="center"/>
          </w:tcPr>
          <w:p>
            <w:pPr>
              <w:jc w:val="center"/>
            </w:pPr>
            <w:r>
              <w:rPr>
                <w:color w:val="000000"/>
                <w:sz w:val="24"/>
              </w:rPr>
              <w:t>凌超</w:t>
            </w:r>
          </w:p>
        </w:tc>
        <w:tc>
          <w:tcPr>
            <w:vAlign w:val="center"/>
          </w:tcPr>
          <w:p>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公募)投资副总监</w:t>
            </w:r>
          </w:p>
        </w:tc>
        <w:tc>
          <w:tcPr>
            <w:vAlign w:val="center"/>
          </w:tcPr>
          <w:p>
            <w:pPr>
              <w:jc w:val="center"/>
            </w:pPr>
            <w:r>
              <w:rPr>
                <w:color w:val="000000"/>
                <w:sz w:val="24"/>
              </w:rPr>
              <w:t>2019-07-20</w:t>
            </w:r>
          </w:p>
        </w:tc>
        <w:tc>
          <w:tcPr>
            <w:vAlign w:val="center"/>
          </w:tcPr>
          <w:p>
            <w:pPr>
              <w:jc w:val="center"/>
            </w:pPr>
            <w:r>
              <w:rPr>
                <w:color w:val="000000"/>
                <w:sz w:val="24"/>
              </w:rPr>
              <w:t>2020-07-23</w:t>
            </w:r>
          </w:p>
        </w:tc>
        <w:tc>
          <w:tcPr>
            <w:vAlign w:val="center"/>
          </w:tcPr>
          <w:p>
            <w:pPr>
              <w:jc w:val="center"/>
            </w:pPr>
            <w:r>
              <w:rPr>
                <w:color w:val="000000"/>
                <w:sz w:val="24"/>
              </w:rPr>
              <w:t>14年</w:t>
            </w:r>
          </w:p>
        </w:tc>
        <w:tc>
          <w:tcPr>
            <w:vAlign w:val="center"/>
          </w:tcPr>
          <w:p>
            <w:pPr>
              <w:jc w:val="both"/>
            </w:pPr>
            <w:r>
              <w:rPr>
                <w:color w:val="000000"/>
                <w:sz w:val="24"/>
              </w:rPr>
              <w:t>凌超先生，华中科技大学数量经济学硕士、武汉科技大学信息与计算科学学士。2006年至2009年任长江证券股份有限公司研究员、投资经理，2009年至2012年任光大保德信基金有限管理公司研究员、基金助理、基金经理，2012年至2016年任海富通基金管理有限公司投资顾问、基金经理，2016年至2017年任天弘基金管理有限公司固定收益部副总经理、基金经理。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2019年2月28日至2019年5月30日担任转型前的交银施罗德荣祥保本混合型证券投资基金的基金经理。2018年2月13日至2020年7月22日担任交银施罗德定期支付月月丰债券型证券投资基金、交银施罗德增强收益债券型证券投资基金（原交银荣泰保本）、交银施罗德强化回报债券型证券投资基金、交银施罗德增利增强债券型证券投资基金的基金经理。2019年2月28日至2020年7月22日担任交银施罗德稳固收益债券型证券投资基金（原交银荣祥保本)的基金经理。2019年7月20日至2020年7月22日担任交银施罗德周期回报灵活配置混合型证券投资基金、交银施罗德新回报灵活配置混合型证券投资基金、交银施罗德多策略回报灵活配置混合型证券投资基金、交银施罗德优选回报灵活配置混合型证券投资基金、交银施罗德优择回报灵活配置混合型证券投资基金、交银施罗德瑞鑫定期开放灵活配置混合型证券投资基金、交银施罗德恒益灵活配置混合型证券投资基金、交银施罗德裕祥纯债债券型证券投资基金的基金经理。</w:t>
            </w:r>
          </w:p>
        </w:tc>
      </w:tr>
      <w:tr>
        <w:tc>
          <w:tcPr>
            <w:vAlign w:val="center"/>
          </w:tcPr>
          <w:p>
            <w:pPr>
              <w:jc w:val="center"/>
            </w:pPr>
            <w:r>
              <w:rPr>
                <w:color w:val="000000"/>
                <w:sz w:val="24"/>
              </w:rPr>
              <w:t>王艺伟</w:t>
            </w:r>
          </w:p>
        </w:tc>
        <w:tc>
          <w:tcPr>
            <w:vAlign w:val="center"/>
          </w:tcPr>
          <w:p>
            <w:pPr>
              <w:jc w:val="center"/>
            </w:pPr>
            <w:r>
              <w:rPr>
                <w:color w:val="000000"/>
                <w:sz w:val="24"/>
              </w:rPr>
              <w:t>交银周期回报灵活配置混合、交银新回报灵活配置混合、交银多策略回报灵活配置混合、交银荣鑫灵活配置混合、交银优选回报灵活配置混合、交银优择回报灵活配置混合、交银瑞鑫定期开放灵活配置混合、交银恒益灵活配置混合、交银安心收益债券的基金经理</w:t>
            </w:r>
          </w:p>
        </w:tc>
        <w:tc>
          <w:tcPr>
            <w:vAlign w:val="center"/>
          </w:tcPr>
          <w:p>
            <w:pPr>
              <w:jc w:val="center"/>
            </w:pPr>
            <w:r>
              <w:rPr>
                <w:color w:val="000000"/>
                <w:sz w:val="24"/>
              </w:rPr>
              <w:t>2020-07-09</w:t>
            </w:r>
          </w:p>
        </w:tc>
        <w:tc>
          <w:tcPr>
            <w:vAlign w:val="center"/>
          </w:tcPr>
          <w:p>
            <w:pPr>
              <w:jc w:val="center"/>
            </w:pPr>
            <w:r>
              <w:rPr>
                <w:color w:val="000000"/>
                <w:sz w:val="24"/>
              </w:rPr>
              <w:t>-</w:t>
            </w:r>
          </w:p>
        </w:tc>
        <w:tc>
          <w:tcPr>
            <w:vAlign w:val="center"/>
          </w:tcPr>
          <w:p>
            <w:pPr>
              <w:jc w:val="center"/>
            </w:pPr>
            <w:r>
              <w:rPr>
                <w:color w:val="000000"/>
                <w:sz w:val="24"/>
              </w:rPr>
              <w:t>8年</w:t>
            </w:r>
          </w:p>
        </w:tc>
        <w:tc>
          <w:tcPr>
            <w:vAlign w:val="center"/>
          </w:tcPr>
          <w:p>
            <w:pPr>
              <w:jc w:val="both"/>
            </w:pPr>
            <w:r>
              <w:rPr>
                <w:color w:val="000000"/>
                <w:sz w:val="24"/>
              </w:rPr>
              <w:t>王艺伟女士，北京大学经济学硕士，吉林大学经济学学士、理学学士。2012年-2014年任光大证券研究所宏观分析师。2014年9月加入交银施罗德基金管理有限公司，历任研究员、研究部助理总经理、基金经理助理。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受货币政策回归常态、债券供给增加等因素影响，债券市场收益率震荡上行。七月，由于中观行业数据持续改善，叠加特别国债发行催化，债券收益率快速上行，此后受海外冲突带来的避险情绪及资金面影响转而向下。八月，债券发行、公开市场操作相对中性令资金面持续紧平衡，银行同业存单发行利率不断提升，中短端债券收益率上行更多，曲线呈现熊平。九月，央行通过公开市场操作平抑跨季资金价格，海外风险事件不断，债券收益率呈现震荡走势。</w:t>
      </w:r>
    </w:p>
    <w:p>
      <w:pPr>
        <w:spacing w:before="29" w:line="288" w:lineRule="auto"/>
        <w:ind w:firstLine="480" w:firstLineChars="200"/>
        <w:rPr>
          <w:color w:val="000000"/>
          <w:sz w:val="24"/>
        </w:rPr>
      </w:pPr>
      <w:r>
        <w:rPr>
          <w:color w:val="000000"/>
          <w:sz w:val="24"/>
        </w:rPr>
        <w:t>2020年三季度，权益指数快速上行后高位震荡，市场更为关注高估值个股的业绩持续性以及部分成长赛道的长期趋势。七月，部分行业数据持续改善，权益主要指数明显上涨，其中部分周期行业及军工、餐饮旅游相对收益更为明显。八月涨幅较强的行业集中在食品饮料、环保以及军工等板块，前期涨幅较多的消费板块出现回落。九月，在避险情绪、海外疫情复发等负面因素刺激下，指数回调，仅餐饮旅游、电气设备和汽车板块月度涨幅为正。</w:t>
      </w:r>
    </w:p>
    <w:p>
      <w:pPr>
        <w:spacing w:before="29" w:line="288" w:lineRule="auto"/>
        <w:ind w:firstLine="480" w:firstLineChars="200"/>
        <w:rPr>
          <w:color w:val="000000"/>
          <w:sz w:val="24"/>
        </w:rPr>
      </w:pPr>
      <w:r>
        <w:rPr>
          <w:color w:val="000000"/>
          <w:sz w:val="24"/>
        </w:rPr>
        <w:t>在基金操作中，债券部分我们维持中短久期高等级信用债的底仓配置，以获取稳定的票息收益。权益方面，二季度我们提升了消费电子、军工以及新能源等成长方向的仓位，三季度我们则根据持仓标的估值情况，降仓了部分纯beta的仓位，并在低估值板块内部根据基本面做了置换。此外，本基金积极参与权益及转债的一级申购，以增厚组合收益。</w:t>
      </w:r>
    </w:p>
    <w:p w:rsidP="007C14DF" w:rsidR="00952A72" w:rsidRDefault="00323F25" w:rsidRPr="007F52FA">
      <w:pPr>
        <w:spacing w:before="29" w:line="288" w:lineRule="auto"/>
        <w:ind w:firstLine="480" w:firstLineChars="200"/>
        <w:rPr>
          <w:color w:val="000000"/>
          <w:sz w:val="24"/>
        </w:rPr>
      </w:pPr>
      <w:r w:rsidRPr="007F52FA">
        <w:rPr>
          <w:color w:val="000000"/>
          <w:sz w:val="24"/>
        </w:rPr>
        <w:t>展望2020年四季度，我们预计经济将会继续磨底，随着货币政策回归中性，债券市场或将维持震荡格局。本基金将适度运用杠杆，维持底仓中短久期高等级信用债品种配置，谨慎把握债券供给、避险情绪带来的长债交易性机会。权益市场的机会更可能集中在景气度持续转好的细分行业龙头。在行业选择中，我们拟维持底仓相对均衡的配置策略，在配置金融等盈利稳定的品种同时，继续关注成长赛道中业绩能够持续改善的优质标的。此外，我们将继续积极参加权益及转债的一级申购，努力为投资者增厚组合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154,025,183.83</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15.81</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154,025,183.83</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15.81</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790,539,121.26</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81.15</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790,539,121.26</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81.15</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13,918,180.70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1.43</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15,745,978.74</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1.62</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974,228,464.53</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1A5E45" w:rsidR="005F69E7" w:rsidRDefault="001A5E45" w:rsidRPr="005F69E7">
      <w:pPr>
        <w:jc w:val="right"/>
        <w:rPr>
          <w:sz w:val="24"/>
        </w:rPr>
      </w:pPr>
      <w:r w:rsidRPr="001A5E45">
        <w:rPr>
          <w:rFonts w:hint="eastAsia"/>
          <w:sz w:val="24"/>
        </w:rPr>
        <w:t/>
      </w:r>
      <w:r w:rsidRPr="001A5E45">
        <w:rPr>
          <w:rFonts w:hint="eastAsia"/>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113"/>
          <w:right w:type="dxa" w:w="113"/>
        </w:tblCellMar>
        <w:tblLook w:firstColumn="0" w:firstRow="0" w:lastColumn="0" w:lastRow="0" w:noHBand="0" w:noVBand="0" w:val="0000"/>
      </w:tblPr>
      <w:tblGrid>
        <w:gridCol w:w="772"/>
        <w:gridCol w:w="3525"/>
        <w:gridCol w:w="2897"/>
        <w:gridCol w:w="1674"/>
      </w:tblGrid>
      <w:tr w:rsidR="005F458B" w:rsidRPr="007F52FA" w:rsidTr="004D7E11">
        <w:trPr>
          <w:trHeight w:val="390"/>
          <w:jc w:val="center"/>
        </w:trPr>
        <w:tc>
          <w:tcPr>
            <w:tcW w:type="dxa" w:w="772"/>
            <w:tcBorders>
              <w:top w:color="000000" w:space="0" w:sz="4" w:val="single"/>
              <w:left w:color="000000" w:space="0" w:sz="4" w:val="single"/>
              <w:bottom w:color="000000" w:space="0" w:sz="4" w:val="single"/>
              <w:right w:color="000000" w:space="0" w:sz="4" w:val="single"/>
            </w:tcBorders>
            <w:vAlign w:val="center"/>
          </w:tcPr>
          <w:p w:rsidP="007C14DF" w:rsidR="005F458B" w:rsidRDefault="005F458B" w:rsidRPr="007F52FA">
            <w:pPr>
              <w:adjustRightInd w:val="0"/>
              <w:snapToGrid w:val="0"/>
              <w:spacing w:before="29" w:line="288" w:lineRule="auto"/>
              <w:jc w:val="center"/>
              <w:rPr>
                <w:sz w:val="24"/>
              </w:rPr>
            </w:pPr>
            <w:r w:rsidRPr="007F52FA">
              <w:rPr>
                <w:sz w:val="24"/>
              </w:rPr>
              <w:t>代码</w:t>
            </w:r>
            <w:r w:rsidR="00FA0527" w:rsidRPr="007F52FA">
              <w:rPr>
                <w:sz w:val="24"/>
              </w:rPr>
              <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行业类别</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1A5E45" w:rsidRPr="007F52FA">
            <w:pPr>
              <w:adjustRightInd w:val="0"/>
              <w:snapToGrid w:val="0"/>
              <w:spacing w:before="29" w:line="288" w:lineRule="auto"/>
              <w:jc w:val="center"/>
              <w:rPr>
                <w:sz w:val="24"/>
              </w:rPr>
            </w:pPr>
            <w:r>
              <w:rPr>
                <w:sz w:val="24"/>
              </w:rPr>
              <w:t>公允价值</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A</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农、林、牧、渔业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B</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采矿业</w:t>
            </w:r>
          </w:p>
        </w:tc>
        <w:tc>
          <w:tcPr>
            <w:tcW w:type="dxa" w:w="2897"/>
            <w:tcBorders>
              <w:top w:color="000000" w:space="0" w:sz="4" w:val="single"/>
              <w:left w:color="auto" w:space="0" w:sz="4" w:val="single"/>
              <w:bottom w:color="000000" w:space="0" w:sz="4" w:val="single"/>
              <w:right w:color="000000" w:space="0" w:sz="4" w:val="single"/>
            </w:tcBorders>
            <w:vAlign w:val="center"/>
          </w:tcPr>
          <w:p w:rsidP="00DF744A" w:rsidR="005F458B" w:rsidRDefault="005F458B" w:rsidRPr="007F52FA">
            <w:pPr>
              <w:spacing w:before="29" w:line="288" w:lineRule="auto"/>
              <w:jc w:val="right"/>
              <w:rPr>
                <w:sz w:val="24"/>
              </w:rPr>
            </w:pPr>
            <w:r w:rsidRPr="007F52FA">
              <w:rPr>
                <w:sz w:val="24"/>
              </w:rPr>
              <w:t>4,805,946.00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DF744A" w:rsidR="005F458B" w:rsidRDefault="005F458B" w:rsidRPr="007F52FA">
            <w:pPr>
              <w:spacing w:before="29" w:line="288" w:lineRule="auto"/>
              <w:jc w:val="right"/>
              <w:rPr>
                <w:sz w:val="24"/>
              </w:rPr>
            </w:pPr>
            <w:r w:rsidRPr="007F52FA">
              <w:rPr>
                <w:sz w:val="24"/>
              </w:rPr>
              <w:t>0.56</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C</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制造业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95,837,564.88</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11.09</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D</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电力、热力、燃气及水生产和供应业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2,198,037.00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0.25</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E</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建筑业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2,968,949.04</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0.34</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F</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批发和零售业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4,669,105.03</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
            </w:r>
            <w:r w:rsidRPr="007F52FA">
              <w:rPr>
                <w:sz w:val="24"/>
              </w:rPr>
              <w:lastRenderedPageBreak/>
              <w:t>0.54</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lastRenderedPageBreak/>
              <w:t>G</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交通运输、仓储和邮政业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4,475,483.36</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0.52</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H</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住宿和餐饮业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240CA0">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I</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240CA0" w:rsidR="005F458B" w:rsidRDefault="005F458B" w:rsidRPr="007F52FA">
            <w:pPr>
              <w:adjustRightInd w:val="0"/>
              <w:snapToGrid w:val="0"/>
              <w:spacing w:before="29" w:line="288" w:lineRule="auto"/>
              <w:rPr>
                <w:sz w:val="24"/>
              </w:rPr>
            </w:pPr>
            <w:r w:rsidRPr="007F52FA">
              <w:rPr>
                <w:sz w:val="24"/>
              </w:rPr>
              <w:t>信息传输、软件和信息技术服务业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7,251,299.11</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0.84</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J</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金融业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14,519,289.39</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1.68</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K</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房地产业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12,875,085.00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1.49</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L</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租赁和商务服务业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M</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科学研究和技术服务业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14,813.40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0.00</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lastRenderedPageBreak/>
              <w:t>N</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水利、环境和公共设施管理业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4,364,478.36</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0.50</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O</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居民服务、修理和其他服务业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P</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教育</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Q</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卫生和社会工作</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R</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文化、体育和娱乐业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45,133.26</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0.01</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S</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综合</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合计</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154,025,183.83</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17.82</w:t>
            </w:r>
          </w:p>
        </w:tc>
      </w:tr>
    </w:tbl>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850"/>
        <w:gridCol w:w="1327"/>
        <w:gridCol w:w="1769"/>
        <w:gridCol w:w="1327"/>
        <w:gridCol w:w="1915"/>
        <w:gridCol w:w="1680"/>
      </w:tblGrid>
      <w:tr w:rsidR="000871DB" w:rsidRPr="007F52FA" w:rsidTr="00481DB2">
        <w:trPr>
          <w:jc w:val="center"/>
        </w:trPr>
        <w:tc>
          <w:tcPr>
            <w:tcW w:type="dxa" w:w="817"/>
            <w:vAlign w:val="center"/>
          </w:tcPr>
          <w:p w:rsidP="007C14DF" w:rsidR="000871DB" w:rsidRDefault="000871DB" w:rsidRPr="007F52FA">
            <w:pPr>
              <w:spacing w:before="29" w:line="288" w:lineRule="auto"/>
              <w:ind w:left="17"/>
              <w:jc w:val="center"/>
              <w:rPr>
                <w:color w:val="000000"/>
                <w:sz w:val="24"/>
              </w:rPr>
            </w:pPr>
            <w:r w:rsidRPr="007F52FA">
              <w:rPr>
                <w:color w:val="000000"/>
                <w:sz w:val="24"/>
              </w:rPr>
              <w:t>序号</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股票代码</w:t>
            </w:r>
          </w:p>
        </w:tc>
        <w:tc>
          <w:tcPr>
            <w:tcW w:type="dxa" w:w="1701"/>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股票名称</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type="dxa" w:w="1842"/>
            <w:vAlign w:val="center"/>
          </w:tcPr>
          <w:p w:rsidP="007C14DF" w:rsidR="000871DB" w:rsidRDefault="000871DB" w:rsidRPr="007F52FA">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type="dxa" w:w="1616"/>
            <w:vAlign w:val="center"/>
          </w:tcPr>
          <w:p w:rsidP="007C14DF" w:rsidR="000871DB" w:rsidRDefault="000871DB" w:rsidRPr="007F52FA">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tc>
          <w:tcPr>
            <w:vAlign w:val="center"/>
          </w:tcPr>
          <w:p>
            <w:pPr>
              <w:jc w:val="center"/>
            </w:pPr>
            <w:r>
              <w:rPr>
                <w:color w:val="000000"/>
                <w:sz w:val="24"/>
              </w:rPr>
              <w:t>1</w:t>
            </w:r>
          </w:p>
        </w:tc>
        <w:tc>
          <w:tcPr>
            <w:vAlign w:val="center"/>
          </w:tcPr>
          <w:p>
            <w:pPr>
              <w:jc w:val="center"/>
            </w:pPr>
            <w:r>
              <w:rPr>
                <w:color w:val="000000"/>
                <w:sz w:val="24"/>
              </w:rPr>
              <w:t>002271</w:t>
            </w:r>
          </w:p>
        </w:tc>
        <w:tc>
          <w:tcPr>
            <w:vAlign w:val="center"/>
          </w:tcPr>
          <w:p>
            <w:pPr>
              <w:jc w:val="center"/>
            </w:pPr>
            <w:r>
              <w:rPr>
                <w:color w:val="000000"/>
                <w:sz w:val="24"/>
              </w:rPr>
              <w:t>东方雨虹</w:t>
            </w:r>
          </w:p>
        </w:tc>
        <w:tc>
          <w:tcPr>
            <w:vAlign w:val="center"/>
          </w:tcPr>
          <w:p>
            <w:pPr>
              <w:jc w:val="right"/>
            </w:pPr>
            <w:r>
              <w:rPr>
                <w:color w:val="000000"/>
                <w:sz w:val="24"/>
              </w:rPr>
              <w:t>187,229</w:t>
            </w:r>
          </w:p>
        </w:tc>
        <w:tc>
          <w:tcPr>
            <w:vAlign w:val="center"/>
          </w:tcPr>
          <w:p>
            <w:pPr>
              <w:jc w:val="right"/>
            </w:pPr>
            <w:r>
              <w:rPr>
                <w:color w:val="000000"/>
                <w:sz w:val="24"/>
              </w:rPr>
              <w:t>10,091,643.10</w:t>
            </w:r>
          </w:p>
        </w:tc>
        <w:tc>
          <w:tcPr>
            <w:vAlign w:val="center"/>
          </w:tcPr>
          <w:p>
            <w:pPr>
              <w:jc w:val="right"/>
            </w:pPr>
            <w:r>
              <w:rPr>
                <w:color w:val="000000"/>
                <w:sz w:val="24"/>
              </w:rPr>
              <w:t>1.17</w:t>
            </w:r>
          </w:p>
        </w:tc>
      </w:tr>
      <w:tr>
        <w:tc>
          <w:tcPr>
            <w:vAlign w:val="center"/>
          </w:tcPr>
          <w:p>
            <w:pPr>
              <w:jc w:val="center"/>
            </w:pPr>
            <w:r>
              <w:rPr>
                <w:color w:val="000000"/>
                <w:sz w:val="24"/>
              </w:rPr>
              <w:t>2</w:t>
            </w:r>
          </w:p>
        </w:tc>
        <w:tc>
          <w:tcPr>
            <w:vAlign w:val="center"/>
          </w:tcPr>
          <w:p>
            <w:pPr>
              <w:jc w:val="center"/>
            </w:pPr>
            <w:r>
              <w:rPr>
                <w:color w:val="000000"/>
                <w:sz w:val="24"/>
              </w:rPr>
              <w:t>600048</w:t>
            </w:r>
          </w:p>
        </w:tc>
        <w:tc>
          <w:tcPr>
            <w:vAlign w:val="center"/>
          </w:tcPr>
          <w:p>
            <w:pPr>
              <w:jc w:val="center"/>
            </w:pPr>
            <w:r>
              <w:rPr>
                <w:color w:val="000000"/>
                <w:sz w:val="24"/>
              </w:rPr>
              <w:t>保利地产</w:t>
            </w:r>
          </w:p>
        </w:tc>
        <w:tc>
          <w:tcPr>
            <w:vAlign w:val="center"/>
          </w:tcPr>
          <w:p>
            <w:pPr>
              <w:jc w:val="right"/>
            </w:pPr>
            <w:r>
              <w:rPr>
                <w:color w:val="000000"/>
                <w:sz w:val="24"/>
              </w:rPr>
              <w:t>528,300</w:t>
            </w:r>
          </w:p>
        </w:tc>
        <w:tc>
          <w:tcPr>
            <w:vAlign w:val="center"/>
          </w:tcPr>
          <w:p>
            <w:pPr>
              <w:jc w:val="right"/>
            </w:pPr>
            <w:r>
              <w:rPr>
                <w:color w:val="000000"/>
                <w:sz w:val="24"/>
              </w:rPr>
              <w:t>8,394,687.00</w:t>
            </w:r>
          </w:p>
        </w:tc>
        <w:tc>
          <w:tcPr>
            <w:vAlign w:val="center"/>
          </w:tcPr>
          <w:p>
            <w:pPr>
              <w:jc w:val="right"/>
            </w:pPr>
            <w:r>
              <w:rPr>
                <w:color w:val="000000"/>
                <w:sz w:val="24"/>
              </w:rPr>
              <w:t>0.97</w:t>
            </w:r>
          </w:p>
        </w:tc>
      </w:tr>
      <w:tr>
        <w:tc>
          <w:tcPr>
            <w:vAlign w:val="center"/>
          </w:tcPr>
          <w:p>
            <w:pPr>
              <w:jc w:val="center"/>
            </w:pPr>
            <w:r>
              <w:rPr>
                <w:color w:val="000000"/>
                <w:sz w:val="24"/>
              </w:rPr>
              <w:t>3</w:t>
            </w:r>
          </w:p>
        </w:tc>
        <w:tc>
          <w:tcPr>
            <w:vAlign w:val="center"/>
          </w:tcPr>
          <w:p>
            <w:pPr>
              <w:jc w:val="center"/>
            </w:pPr>
            <w:r>
              <w:rPr>
                <w:color w:val="000000"/>
                <w:sz w:val="24"/>
              </w:rPr>
              <w:t>600519</w:t>
            </w:r>
          </w:p>
        </w:tc>
        <w:tc>
          <w:tcPr>
            <w:vAlign w:val="center"/>
          </w:tcPr>
          <w:p>
            <w:pPr>
              <w:jc w:val="center"/>
            </w:pPr>
            <w:r>
              <w:rPr>
                <w:color w:val="000000"/>
                <w:sz w:val="24"/>
              </w:rPr>
              <w:t>贵州茅台</w:t>
            </w:r>
          </w:p>
        </w:tc>
        <w:tc>
          <w:tcPr>
            <w:vAlign w:val="center"/>
          </w:tcPr>
          <w:p>
            <w:pPr>
              <w:jc w:val="right"/>
            </w:pPr>
            <w:r>
              <w:rPr>
                <w:color w:val="000000"/>
                <w:sz w:val="24"/>
              </w:rPr>
              <w:t>5,000</w:t>
            </w:r>
          </w:p>
        </w:tc>
        <w:tc>
          <w:tcPr>
            <w:vAlign w:val="center"/>
          </w:tcPr>
          <w:p>
            <w:pPr>
              <w:jc w:val="right"/>
            </w:pPr>
            <w:r>
              <w:rPr>
                <w:color w:val="000000"/>
                <w:sz w:val="24"/>
              </w:rPr>
              <w:t>8,342,500.00</w:t>
            </w:r>
          </w:p>
        </w:tc>
        <w:tc>
          <w:tcPr>
            <w:vAlign w:val="center"/>
          </w:tcPr>
          <w:p>
            <w:pPr>
              <w:jc w:val="right"/>
            </w:pPr>
            <w:r>
              <w:rPr>
                <w:color w:val="000000"/>
                <w:sz w:val="24"/>
              </w:rPr>
              <w:t>0.97</w:t>
            </w:r>
          </w:p>
        </w:tc>
      </w:tr>
      <w:tr>
        <w:tc>
          <w:tcPr>
            <w:vAlign w:val="center"/>
          </w:tcPr>
          <w:p>
            <w:pPr>
              <w:jc w:val="center"/>
            </w:pPr>
            <w:r>
              <w:rPr>
                <w:color w:val="000000"/>
                <w:sz w:val="24"/>
              </w:rPr>
              <w:t>4</w:t>
            </w:r>
          </w:p>
        </w:tc>
        <w:tc>
          <w:tcPr>
            <w:vAlign w:val="center"/>
          </w:tcPr>
          <w:p>
            <w:pPr>
              <w:jc w:val="center"/>
            </w:pPr>
            <w:r>
              <w:rPr>
                <w:color w:val="000000"/>
                <w:sz w:val="24"/>
              </w:rPr>
              <w:t>601838</w:t>
            </w:r>
          </w:p>
        </w:tc>
        <w:tc>
          <w:tcPr>
            <w:vAlign w:val="center"/>
          </w:tcPr>
          <w:p>
            <w:pPr>
              <w:jc w:val="center"/>
            </w:pPr>
            <w:r>
              <w:rPr>
                <w:color w:val="000000"/>
                <w:sz w:val="24"/>
              </w:rPr>
              <w:t>成都银行</w:t>
            </w:r>
          </w:p>
        </w:tc>
        <w:tc>
          <w:tcPr>
            <w:vAlign w:val="center"/>
          </w:tcPr>
          <w:p>
            <w:pPr>
              <w:jc w:val="right"/>
            </w:pPr>
            <w:r>
              <w:rPr>
                <w:color w:val="000000"/>
                <w:sz w:val="24"/>
              </w:rPr>
              <w:t>726,100</w:t>
            </w:r>
          </w:p>
        </w:tc>
        <w:tc>
          <w:tcPr>
            <w:vAlign w:val="center"/>
          </w:tcPr>
          <w:p>
            <w:pPr>
              <w:jc w:val="right"/>
            </w:pPr>
            <w:r>
              <w:rPr>
                <w:color w:val="000000"/>
                <w:sz w:val="24"/>
              </w:rPr>
              <w:t>7,173,868.00</w:t>
            </w:r>
          </w:p>
        </w:tc>
        <w:tc>
          <w:tcPr>
            <w:vAlign w:val="center"/>
          </w:tcPr>
          <w:p>
            <w:pPr>
              <w:jc w:val="right"/>
            </w:pPr>
            <w:r>
              <w:rPr>
                <w:color w:val="000000"/>
                <w:sz w:val="24"/>
              </w:rPr>
              <w:t>0.83</w:t>
            </w:r>
          </w:p>
        </w:tc>
      </w:tr>
      <w:tr>
        <w:tc>
          <w:tcPr>
            <w:vAlign w:val="center"/>
          </w:tcPr>
          <w:p>
            <w:pPr>
              <w:jc w:val="center"/>
            </w:pPr>
            <w:r>
              <w:rPr>
                <w:color w:val="000000"/>
                <w:sz w:val="24"/>
              </w:rPr>
              <w:t>5</w:t>
            </w:r>
          </w:p>
        </w:tc>
        <w:tc>
          <w:tcPr>
            <w:vAlign w:val="center"/>
          </w:tcPr>
          <w:p>
            <w:pPr>
              <w:jc w:val="center"/>
            </w:pPr>
            <w:r>
              <w:rPr>
                <w:color w:val="000000"/>
                <w:sz w:val="24"/>
              </w:rPr>
              <w:t>002475</w:t>
            </w:r>
          </w:p>
        </w:tc>
        <w:tc>
          <w:tcPr>
            <w:vAlign w:val="center"/>
          </w:tcPr>
          <w:p>
            <w:pPr>
              <w:jc w:val="center"/>
            </w:pPr>
            <w:r>
              <w:rPr>
                <w:color w:val="000000"/>
                <w:sz w:val="24"/>
              </w:rPr>
              <w:t>立讯精密</w:t>
            </w:r>
          </w:p>
        </w:tc>
        <w:tc>
          <w:tcPr>
            <w:vAlign w:val="center"/>
          </w:tcPr>
          <w:p>
            <w:pPr>
              <w:jc w:val="right"/>
            </w:pPr>
            <w:r>
              <w:rPr>
                <w:color w:val="000000"/>
                <w:sz w:val="24"/>
              </w:rPr>
              <w:t>112,057</w:t>
            </w:r>
          </w:p>
        </w:tc>
        <w:tc>
          <w:tcPr>
            <w:vAlign w:val="center"/>
          </w:tcPr>
          <w:p>
            <w:pPr>
              <w:jc w:val="right"/>
            </w:pPr>
            <w:r>
              <w:rPr>
                <w:color w:val="000000"/>
                <w:sz w:val="24"/>
              </w:rPr>
              <w:t>6,401,816.41</w:t>
            </w:r>
          </w:p>
        </w:tc>
        <w:tc>
          <w:tcPr>
            <w:vAlign w:val="center"/>
          </w:tcPr>
          <w:p>
            <w:pPr>
              <w:jc w:val="right"/>
            </w:pPr>
            <w:r>
              <w:rPr>
                <w:color w:val="000000"/>
                <w:sz w:val="24"/>
              </w:rPr>
              <w:t>0.74</w:t>
            </w:r>
          </w:p>
        </w:tc>
      </w:tr>
      <w:tr>
        <w:tc>
          <w:tcPr>
            <w:vAlign w:val="center"/>
          </w:tcPr>
          <w:p>
            <w:pPr>
              <w:jc w:val="center"/>
            </w:pPr>
            <w:r>
              <w:rPr>
                <w:color w:val="000000"/>
                <w:sz w:val="24"/>
              </w:rPr>
              <w:t>6</w:t>
            </w:r>
          </w:p>
        </w:tc>
        <w:tc>
          <w:tcPr>
            <w:vAlign w:val="center"/>
          </w:tcPr>
          <w:p>
            <w:pPr>
              <w:jc w:val="center"/>
            </w:pPr>
            <w:r>
              <w:rPr>
                <w:color w:val="000000"/>
                <w:sz w:val="24"/>
              </w:rPr>
              <w:t>002064</w:t>
            </w:r>
          </w:p>
        </w:tc>
        <w:tc>
          <w:tcPr>
            <w:vAlign w:val="center"/>
          </w:tcPr>
          <w:p>
            <w:pPr>
              <w:jc w:val="center"/>
            </w:pPr>
            <w:r>
              <w:rPr>
                <w:color w:val="000000"/>
                <w:sz w:val="24"/>
              </w:rPr>
              <w:t>华峰氨纶</w:t>
            </w:r>
          </w:p>
        </w:tc>
        <w:tc>
          <w:tcPr>
            <w:vAlign w:val="center"/>
          </w:tcPr>
          <w:p>
            <w:pPr>
              <w:jc w:val="right"/>
            </w:pPr>
            <w:r>
              <w:rPr>
                <w:color w:val="000000"/>
                <w:sz w:val="24"/>
              </w:rPr>
              <w:t>810,100</w:t>
            </w:r>
          </w:p>
        </w:tc>
        <w:tc>
          <w:tcPr>
            <w:vAlign w:val="center"/>
          </w:tcPr>
          <w:p>
            <w:pPr>
              <w:jc w:val="right"/>
            </w:pPr>
            <w:r>
              <w:rPr>
                <w:color w:val="000000"/>
                <w:sz w:val="24"/>
              </w:rPr>
              <w:t>5,897,528.00</w:t>
            </w:r>
          </w:p>
        </w:tc>
        <w:tc>
          <w:tcPr>
            <w:vAlign w:val="center"/>
          </w:tcPr>
          <w:p>
            <w:pPr>
              <w:jc w:val="right"/>
            </w:pPr>
            <w:r>
              <w:rPr>
                <w:color w:val="000000"/>
                <w:sz w:val="24"/>
              </w:rPr>
              <w:t>0.68</w:t>
            </w:r>
          </w:p>
        </w:tc>
      </w:tr>
      <w:tr>
        <w:tc>
          <w:tcPr>
            <w:vAlign w:val="center"/>
          </w:tcPr>
          <w:p>
            <w:pPr>
              <w:jc w:val="center"/>
            </w:pPr>
            <w:r>
              <w:rPr>
                <w:color w:val="000000"/>
                <w:sz w:val="24"/>
              </w:rPr>
              <w:t>7</w:t>
            </w:r>
          </w:p>
        </w:tc>
        <w:tc>
          <w:tcPr>
            <w:vAlign w:val="center"/>
          </w:tcPr>
          <w:p>
            <w:pPr>
              <w:jc w:val="center"/>
            </w:pPr>
            <w:r>
              <w:rPr>
                <w:color w:val="000000"/>
                <w:sz w:val="24"/>
              </w:rPr>
              <w:t>601601</w:t>
            </w:r>
          </w:p>
        </w:tc>
        <w:tc>
          <w:tcPr>
            <w:vAlign w:val="center"/>
          </w:tcPr>
          <w:p>
            <w:pPr>
              <w:jc w:val="center"/>
            </w:pPr>
            <w:r>
              <w:rPr>
                <w:color w:val="000000"/>
                <w:sz w:val="24"/>
              </w:rPr>
              <w:t>中国太保</w:t>
            </w:r>
          </w:p>
        </w:tc>
        <w:tc>
          <w:tcPr>
            <w:vAlign w:val="center"/>
          </w:tcPr>
          <w:p>
            <w:pPr>
              <w:jc w:val="right"/>
            </w:pPr>
            <w:r>
              <w:rPr>
                <w:color w:val="000000"/>
                <w:sz w:val="24"/>
              </w:rPr>
              <w:t>177,800</w:t>
            </w:r>
          </w:p>
        </w:tc>
        <w:tc>
          <w:tcPr>
            <w:vAlign w:val="center"/>
          </w:tcPr>
          <w:p>
            <w:pPr>
              <w:jc w:val="right"/>
            </w:pPr>
            <w:r>
              <w:rPr>
                <w:color w:val="000000"/>
                <w:sz w:val="24"/>
              </w:rPr>
              <w:t>5,549,138.00</w:t>
            </w:r>
          </w:p>
        </w:tc>
        <w:tc>
          <w:tcPr>
            <w:vAlign w:val="center"/>
          </w:tcPr>
          <w:p>
            <w:pPr>
              <w:jc w:val="right"/>
            </w:pPr>
            <w:r>
              <w:rPr>
                <w:color w:val="000000"/>
                <w:sz w:val="24"/>
              </w:rPr>
              <w:t>0.64</w:t>
            </w:r>
          </w:p>
        </w:tc>
      </w:tr>
      <w:tr>
        <w:tc>
          <w:tcPr>
            <w:vAlign w:val="center"/>
          </w:tcPr>
          <w:p>
            <w:pPr>
              <w:jc w:val="center"/>
            </w:pPr>
            <w:r>
              <w:rPr>
                <w:color w:val="000000"/>
                <w:sz w:val="24"/>
              </w:rPr>
              <w:t>8</w:t>
            </w:r>
          </w:p>
        </w:tc>
        <w:tc>
          <w:tcPr>
            <w:vAlign w:val="center"/>
          </w:tcPr>
          <w:p>
            <w:pPr>
              <w:jc w:val="center"/>
            </w:pPr>
            <w:r>
              <w:rPr>
                <w:color w:val="000000"/>
                <w:sz w:val="24"/>
              </w:rPr>
              <w:t>002179</w:t>
            </w:r>
          </w:p>
        </w:tc>
        <w:tc>
          <w:tcPr>
            <w:vAlign w:val="center"/>
          </w:tcPr>
          <w:p>
            <w:pPr>
              <w:jc w:val="center"/>
            </w:pPr>
            <w:r>
              <w:rPr>
                <w:color w:val="000000"/>
                <w:sz w:val="24"/>
              </w:rPr>
              <w:t>中航光电</w:t>
            </w:r>
          </w:p>
        </w:tc>
        <w:tc>
          <w:tcPr>
            <w:vAlign w:val="center"/>
          </w:tcPr>
          <w:p>
            <w:pPr>
              <w:jc w:val="right"/>
            </w:pPr>
            <w:r>
              <w:rPr>
                <w:color w:val="000000"/>
                <w:sz w:val="24"/>
              </w:rPr>
              <w:t>108,300</w:t>
            </w:r>
          </w:p>
        </w:tc>
        <w:tc>
          <w:tcPr>
            <w:vAlign w:val="center"/>
          </w:tcPr>
          <w:p>
            <w:pPr>
              <w:jc w:val="right"/>
            </w:pPr>
            <w:r>
              <w:rPr>
                <w:color w:val="000000"/>
                <w:sz w:val="24"/>
              </w:rPr>
              <w:t>5,014,290.00</w:t>
            </w:r>
          </w:p>
        </w:tc>
        <w:tc>
          <w:tcPr>
            <w:vAlign w:val="center"/>
          </w:tcPr>
          <w:p>
            <w:pPr>
              <w:jc w:val="right"/>
            </w:pPr>
            <w:r>
              <w:rPr>
                <w:color w:val="000000"/>
                <w:sz w:val="24"/>
              </w:rPr>
              <w:t>0.58</w:t>
            </w:r>
          </w:p>
        </w:tc>
      </w:tr>
      <w:tr>
        <w:tc>
          <w:tcPr>
            <w:vAlign w:val="center"/>
          </w:tcPr>
          <w:p>
            <w:pPr>
              <w:jc w:val="center"/>
            </w:pPr>
            <w:r>
              <w:rPr>
                <w:color w:val="000000"/>
                <w:sz w:val="24"/>
              </w:rPr>
              <w:t>9</w:t>
            </w:r>
          </w:p>
        </w:tc>
        <w:tc>
          <w:tcPr>
            <w:vAlign w:val="center"/>
          </w:tcPr>
          <w:p>
            <w:pPr>
              <w:jc w:val="center"/>
            </w:pPr>
            <w:r>
              <w:rPr>
                <w:color w:val="000000"/>
                <w:sz w:val="24"/>
              </w:rPr>
              <w:t>600019</w:t>
            </w:r>
          </w:p>
        </w:tc>
        <w:tc>
          <w:tcPr>
            <w:vAlign w:val="center"/>
          </w:tcPr>
          <w:p>
            <w:pPr>
              <w:jc w:val="center"/>
            </w:pPr>
            <w:r>
              <w:rPr>
                <w:color w:val="000000"/>
                <w:sz w:val="24"/>
              </w:rPr>
              <w:t>宝钢股份</w:t>
            </w:r>
          </w:p>
        </w:tc>
        <w:tc>
          <w:tcPr>
            <w:vAlign w:val="center"/>
          </w:tcPr>
          <w:p>
            <w:pPr>
              <w:jc w:val="right"/>
            </w:pPr>
            <w:r>
              <w:rPr>
                <w:color w:val="000000"/>
                <w:sz w:val="24"/>
              </w:rPr>
              <w:t>977,500</w:t>
            </w:r>
          </w:p>
        </w:tc>
        <w:tc>
          <w:tcPr>
            <w:vAlign w:val="center"/>
          </w:tcPr>
          <w:p>
            <w:pPr>
              <w:jc w:val="right"/>
            </w:pPr>
            <w:r>
              <w:rPr>
                <w:color w:val="000000"/>
                <w:sz w:val="24"/>
              </w:rPr>
              <w:t>4,877,725.00</w:t>
            </w:r>
          </w:p>
        </w:tc>
        <w:tc>
          <w:tcPr>
            <w:vAlign w:val="center"/>
          </w:tcPr>
          <w:p>
            <w:pPr>
              <w:jc w:val="right"/>
            </w:pPr>
            <w:r>
              <w:rPr>
                <w:color w:val="000000"/>
                <w:sz w:val="24"/>
              </w:rPr>
              <w:t>0.56</w:t>
            </w:r>
          </w:p>
        </w:tc>
      </w:tr>
      <w:tr>
        <w:tc>
          <w:tcPr>
            <w:vAlign w:val="center"/>
          </w:tcPr>
          <w:p>
            <w:pPr>
              <w:jc w:val="center"/>
            </w:pPr>
            <w:r>
              <w:rPr>
                <w:color w:val="000000"/>
                <w:sz w:val="24"/>
              </w:rPr>
              <w:t>10</w:t>
            </w:r>
          </w:p>
        </w:tc>
        <w:tc>
          <w:tcPr>
            <w:vAlign w:val="center"/>
          </w:tcPr>
          <w:p>
            <w:pPr>
              <w:jc w:val="center"/>
            </w:pPr>
            <w:r>
              <w:rPr>
                <w:color w:val="000000"/>
                <w:sz w:val="24"/>
              </w:rPr>
              <w:t>601088</w:t>
            </w:r>
          </w:p>
        </w:tc>
        <w:tc>
          <w:tcPr>
            <w:vAlign w:val="center"/>
          </w:tcPr>
          <w:p>
            <w:pPr>
              <w:jc w:val="center"/>
            </w:pPr>
            <w:r>
              <w:rPr>
                <w:color w:val="000000"/>
                <w:sz w:val="24"/>
              </w:rPr>
              <w:t>中国神华</w:t>
            </w:r>
          </w:p>
        </w:tc>
        <w:tc>
          <w:tcPr>
            <w:vAlign w:val="center"/>
          </w:tcPr>
          <w:p>
            <w:pPr>
              <w:jc w:val="right"/>
            </w:pPr>
            <w:r>
              <w:rPr>
                <w:color w:val="000000"/>
                <w:sz w:val="24"/>
              </w:rPr>
              <w:t>291,800</w:t>
            </w:r>
          </w:p>
        </w:tc>
        <w:tc>
          <w:tcPr>
            <w:vAlign w:val="center"/>
          </w:tcPr>
          <w:p>
            <w:pPr>
              <w:jc w:val="right"/>
            </w:pPr>
            <w:r>
              <w:rPr>
                <w:color w:val="000000"/>
                <w:sz w:val="24"/>
              </w:rPr>
              <w:t>4,805,946.00</w:t>
            </w:r>
          </w:p>
        </w:tc>
        <w:tc>
          <w:tcPr>
            <w:vAlign w:val="center"/>
          </w:tcPr>
          <w:p>
            <w:pPr>
              <w:jc w:val="right"/>
            </w:pPr>
            <w:r>
              <w:rPr>
                <w:color w:val="000000"/>
                <w:sz w:val="24"/>
              </w:rPr>
              <w:t>0.56</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32,980,986.00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3.82</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34,689,026.40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4.01</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34,689,026.40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4.01</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386,932,000.00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44.77</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335,747,500.00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38.85</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189,608.86</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0.02</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790,539,121.26</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91.47</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101900121</w:t>
            </w:r>
          </w:p>
        </w:tc>
        <w:tc>
          <w:tcPr>
            <w:vAlign w:val="center"/>
          </w:tcPr>
          <w:p>
            <w:pPr>
              <w:jc w:val="center"/>
            </w:pPr>
            <w:r>
              <w:rPr>
                <w:color w:val="000000"/>
                <w:sz w:val="24"/>
              </w:rPr>
              <w:t>19中电信MTN001</w:t>
            </w:r>
          </w:p>
        </w:tc>
        <w:tc>
          <w:tcPr>
            <w:vAlign w:val="center"/>
          </w:tcPr>
          <w:p>
            <w:pPr>
              <w:jc w:val="right"/>
            </w:pPr>
            <w:r>
              <w:rPr>
                <w:color w:val="000000"/>
                <w:sz w:val="24"/>
              </w:rPr>
              <w:t>500,000</w:t>
            </w:r>
          </w:p>
        </w:tc>
        <w:tc>
          <w:tcPr>
            <w:vAlign w:val="center"/>
          </w:tcPr>
          <w:p>
            <w:pPr>
              <w:jc w:val="right"/>
            </w:pPr>
            <w:r>
              <w:rPr>
                <w:color w:val="000000"/>
                <w:sz w:val="24"/>
              </w:rPr>
              <w:t>50,360,000.00</w:t>
            </w:r>
          </w:p>
        </w:tc>
        <w:tc>
          <w:tcPr>
            <w:vAlign w:val="center"/>
          </w:tcPr>
          <w:p>
            <w:pPr>
              <w:jc w:val="right"/>
            </w:pPr>
            <w:r>
              <w:rPr>
                <w:color w:val="000000"/>
                <w:sz w:val="24"/>
              </w:rPr>
              <w:t>5.83</w:t>
            </w:r>
          </w:p>
        </w:tc>
      </w:tr>
      <w:tr>
        <w:tc>
          <w:tcPr>
            <w:vAlign w:val="center"/>
          </w:tcPr>
          <w:p>
            <w:pPr>
              <w:jc w:val="center"/>
            </w:pPr>
            <w:r>
              <w:rPr>
                <w:color w:val="000000"/>
                <w:sz w:val="24"/>
              </w:rPr>
              <w:t>2</w:t>
            </w:r>
          </w:p>
        </w:tc>
        <w:tc>
          <w:tcPr>
            <w:vAlign w:val="center"/>
          </w:tcPr>
          <w:p>
            <w:pPr>
              <w:jc w:val="center"/>
            </w:pPr>
            <w:r>
              <w:rPr>
                <w:color w:val="000000"/>
                <w:sz w:val="24"/>
              </w:rPr>
              <w:t>143746</w:t>
            </w:r>
          </w:p>
        </w:tc>
        <w:tc>
          <w:tcPr>
            <w:vAlign w:val="center"/>
          </w:tcPr>
          <w:p>
            <w:pPr>
              <w:jc w:val="center"/>
            </w:pPr>
            <w:r>
              <w:rPr>
                <w:color w:val="000000"/>
                <w:sz w:val="24"/>
              </w:rPr>
              <w:t>18光明02</w:t>
            </w:r>
          </w:p>
        </w:tc>
        <w:tc>
          <w:tcPr>
            <w:vAlign w:val="center"/>
          </w:tcPr>
          <w:p>
            <w:pPr>
              <w:jc w:val="right"/>
            </w:pPr>
            <w:r>
              <w:rPr>
                <w:color w:val="000000"/>
                <w:sz w:val="24"/>
              </w:rPr>
              <w:t>400,000</w:t>
            </w:r>
          </w:p>
        </w:tc>
        <w:tc>
          <w:tcPr>
            <w:vAlign w:val="center"/>
          </w:tcPr>
          <w:p>
            <w:pPr>
              <w:jc w:val="right"/>
            </w:pPr>
            <w:r>
              <w:rPr>
                <w:color w:val="000000"/>
                <w:sz w:val="24"/>
              </w:rPr>
              <w:t>40,276,000.00</w:t>
            </w:r>
          </w:p>
        </w:tc>
        <w:tc>
          <w:tcPr>
            <w:vAlign w:val="center"/>
          </w:tcPr>
          <w:p>
            <w:pPr>
              <w:jc w:val="right"/>
            </w:pPr>
            <w:r>
              <w:rPr>
                <w:color w:val="000000"/>
                <w:sz w:val="24"/>
              </w:rPr>
              <w:t>4.66</w:t>
            </w:r>
          </w:p>
        </w:tc>
      </w:tr>
      <w:tr>
        <w:tc>
          <w:tcPr>
            <w:vAlign w:val="center"/>
          </w:tcPr>
          <w:p>
            <w:pPr>
              <w:jc w:val="center"/>
            </w:pPr>
            <w:r>
              <w:rPr>
                <w:color w:val="000000"/>
                <w:sz w:val="24"/>
              </w:rPr>
              <w:t>3</w:t>
            </w:r>
          </w:p>
        </w:tc>
        <w:tc>
          <w:tcPr>
            <w:vAlign w:val="center"/>
          </w:tcPr>
          <w:p>
            <w:pPr>
              <w:jc w:val="center"/>
            </w:pPr>
            <w:r>
              <w:rPr>
                <w:color w:val="000000"/>
                <w:sz w:val="24"/>
              </w:rPr>
              <w:t>136827</w:t>
            </w:r>
          </w:p>
        </w:tc>
        <w:tc>
          <w:tcPr>
            <w:vAlign w:val="center"/>
          </w:tcPr>
          <w:p>
            <w:pPr>
              <w:jc w:val="center"/>
            </w:pPr>
            <w:r>
              <w:rPr>
                <w:color w:val="000000"/>
                <w:sz w:val="24"/>
              </w:rPr>
              <w:t>16国网02</w:t>
            </w:r>
          </w:p>
        </w:tc>
        <w:tc>
          <w:tcPr>
            <w:vAlign w:val="center"/>
          </w:tcPr>
          <w:p>
            <w:pPr>
              <w:jc w:val="right"/>
            </w:pPr>
            <w:r>
              <w:rPr>
                <w:color w:val="000000"/>
                <w:sz w:val="24"/>
              </w:rPr>
              <w:t>400,000</w:t>
            </w:r>
          </w:p>
        </w:tc>
        <w:tc>
          <w:tcPr>
            <w:vAlign w:val="center"/>
          </w:tcPr>
          <w:p>
            <w:pPr>
              <w:jc w:val="right"/>
            </w:pPr>
            <w:r>
              <w:rPr>
                <w:color w:val="000000"/>
                <w:sz w:val="24"/>
              </w:rPr>
              <w:t>39,980,000.00</w:t>
            </w:r>
          </w:p>
        </w:tc>
        <w:tc>
          <w:tcPr>
            <w:vAlign w:val="center"/>
          </w:tcPr>
          <w:p>
            <w:pPr>
              <w:jc w:val="right"/>
            </w:pPr>
            <w:r>
              <w:rPr>
                <w:color w:val="000000"/>
                <w:sz w:val="24"/>
              </w:rPr>
              <w:t>4.63</w:t>
            </w:r>
          </w:p>
        </w:tc>
      </w:tr>
      <w:tr>
        <w:tc>
          <w:tcPr>
            <w:vAlign w:val="center"/>
          </w:tcPr>
          <w:p>
            <w:pPr>
              <w:jc w:val="center"/>
            </w:pPr>
            <w:r>
              <w:rPr>
                <w:color w:val="000000"/>
                <w:sz w:val="24"/>
              </w:rPr>
              <w:t>4</w:t>
            </w:r>
          </w:p>
        </w:tc>
        <w:tc>
          <w:tcPr>
            <w:vAlign w:val="center"/>
          </w:tcPr>
          <w:p>
            <w:pPr>
              <w:jc w:val="center"/>
            </w:pPr>
            <w:r>
              <w:rPr>
                <w:color w:val="000000"/>
                <w:sz w:val="24"/>
              </w:rPr>
              <w:t>019627</w:t>
            </w:r>
          </w:p>
        </w:tc>
        <w:tc>
          <w:tcPr>
            <w:vAlign w:val="center"/>
          </w:tcPr>
          <w:p>
            <w:pPr>
              <w:jc w:val="center"/>
            </w:pPr>
            <w:r>
              <w:rPr>
                <w:color w:val="000000"/>
                <w:sz w:val="24"/>
              </w:rPr>
              <w:t>20国债01</w:t>
            </w:r>
          </w:p>
        </w:tc>
        <w:tc>
          <w:tcPr>
            <w:vAlign w:val="center"/>
          </w:tcPr>
          <w:p>
            <w:pPr>
              <w:jc w:val="right"/>
            </w:pPr>
            <w:r>
              <w:rPr>
                <w:color w:val="000000"/>
                <w:sz w:val="24"/>
              </w:rPr>
              <w:t>330,140</w:t>
            </w:r>
          </w:p>
        </w:tc>
        <w:tc>
          <w:tcPr>
            <w:vAlign w:val="center"/>
          </w:tcPr>
          <w:p>
            <w:pPr>
              <w:jc w:val="right"/>
            </w:pPr>
            <w:r>
              <w:rPr>
                <w:color w:val="000000"/>
                <w:sz w:val="24"/>
              </w:rPr>
              <w:t>32,980,986.00</w:t>
            </w:r>
          </w:p>
        </w:tc>
        <w:tc>
          <w:tcPr>
            <w:vAlign w:val="center"/>
          </w:tcPr>
          <w:p>
            <w:pPr>
              <w:jc w:val="right"/>
            </w:pPr>
            <w:r>
              <w:rPr>
                <w:color w:val="000000"/>
                <w:sz w:val="24"/>
              </w:rPr>
              <w:t>3.82</w:t>
            </w:r>
          </w:p>
        </w:tc>
      </w:tr>
      <w:tr>
        <w:tc>
          <w:tcPr>
            <w:vAlign w:val="center"/>
          </w:tcPr>
          <w:p>
            <w:pPr>
              <w:jc w:val="center"/>
            </w:pPr>
            <w:r>
              <w:rPr>
                <w:color w:val="000000"/>
                <w:sz w:val="24"/>
              </w:rPr>
              <w:t>5</w:t>
            </w:r>
          </w:p>
        </w:tc>
        <w:tc>
          <w:tcPr>
            <w:vAlign w:val="center"/>
          </w:tcPr>
          <w:p>
            <w:pPr>
              <w:jc w:val="center"/>
            </w:pPr>
            <w:r>
              <w:rPr>
                <w:color w:val="000000"/>
                <w:sz w:val="24"/>
              </w:rPr>
              <w:t>101800415</w:t>
            </w:r>
          </w:p>
        </w:tc>
        <w:tc>
          <w:tcPr>
            <w:vAlign w:val="center"/>
          </w:tcPr>
          <w:p>
            <w:pPr>
              <w:jc w:val="center"/>
            </w:pPr>
            <w:r>
              <w:rPr>
                <w:color w:val="000000"/>
                <w:sz w:val="24"/>
              </w:rPr>
              <w:t>18兆润投资MTN001</w:t>
            </w:r>
          </w:p>
        </w:tc>
        <w:tc>
          <w:tcPr>
            <w:vAlign w:val="center"/>
          </w:tcPr>
          <w:p>
            <w:pPr>
              <w:jc w:val="right"/>
            </w:pPr>
            <w:r>
              <w:rPr>
                <w:color w:val="000000"/>
                <w:sz w:val="24"/>
              </w:rPr>
              <w:t>300,000</w:t>
            </w:r>
          </w:p>
        </w:tc>
        <w:tc>
          <w:tcPr>
            <w:vAlign w:val="center"/>
          </w:tcPr>
          <w:p>
            <w:pPr>
              <w:jc w:val="right"/>
            </w:pPr>
            <w:r>
              <w:rPr>
                <w:color w:val="000000"/>
                <w:sz w:val="24"/>
              </w:rPr>
              <w:t>30,384,000.00</w:t>
            </w:r>
          </w:p>
        </w:tc>
        <w:tc>
          <w:tcPr>
            <w:vAlign w:val="center"/>
          </w:tcPr>
          <w:p>
            <w:pPr>
              <w:jc w:val="right"/>
            </w:pPr>
            <w:r>
              <w:rPr>
                <w:color w:val="000000"/>
                <w:sz w:val="24"/>
              </w:rPr>
              <w:t>3.52</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bookmarkStart w:id="2" w:name="_GoBack"/>
      <w:r w:rsidRPr="00885AD9">
        <w:rPr>
          <w:b/>
          <w:kern w:val="0"/>
          <w:sz w:val="24"/>
        </w:rPr>
        <w:t>5.11.3</w:t>
      </w:r>
      <w:bookmarkEnd w:id="2"/>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77,494.49</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12,849,805.01</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2,818,679.24</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15,745,978.74</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本基金本报告期末前十名股票中不存在流通受限情况。</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交银优择回报灵活配置混合A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交银优择回报灵活配置混合C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746,143,954.37</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54,374,357.62</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237,384,964.82</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138,501,373.97</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471,058,955.47</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27,690,892.59</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512,469,963.72</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165,184,839.00</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注：1、如果本报告期间发生转换入、红利再投业务，则总申购份额中包含该业务；     </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 xml:space="preserve">    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2020/7/1-2020/9/30</w:t>
            </w:r>
          </w:p>
        </w:tc>
        <w:tc>
          <w:tcPr>
            <w:vAlign w:val="center"/>
          </w:tcPr>
          <w:p>
            <w:pPr>
              <w:jc w:val="center"/>
            </w:pPr>
            <w:r>
              <w:rPr>
                <w:rFonts w:ascii="宋体" w:hAnsi="宋体" w:hint="eastAsia"/>
                <w:color w:val="000000"/>
                <w:kern w:val="0"/>
                <w:szCs w:val="21"/>
              </w:rPr>
              <w:t>500,044,000.00</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408,600,000.00</w:t>
            </w:r>
          </w:p>
        </w:tc>
        <w:tc>
          <w:tcPr>
            <w:vAlign w:val="center"/>
          </w:tcPr>
          <w:p>
            <w:pPr>
              <w:jc w:val="center"/>
            </w:pPr>
            <w:r>
              <w:rPr>
                <w:rFonts w:ascii="宋体" w:hAnsi="宋体" w:hint="eastAsia"/>
                <w:color w:val="000000"/>
                <w:kern w:val="0"/>
                <w:szCs w:val="21"/>
              </w:rPr>
              <w:t>91,444,000.00</w:t>
            </w:r>
          </w:p>
        </w:tc>
        <w:tc>
          <w:tcPr>
            <w:vAlign w:val="center"/>
          </w:tcPr>
          <w:p>
            <w:pPr>
              <w:jc w:val="center"/>
            </w:pPr>
            <w:r>
              <w:rPr>
                <w:rFonts w:ascii="宋体" w:hAnsi="宋体" w:hint="eastAsia"/>
                <w:color w:val="000000"/>
                <w:kern w:val="0"/>
                <w:szCs w:val="21"/>
              </w:rPr>
              <w:t>13.49%</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1、中国证监会准予交银施罗德优择回报灵活配置混合型证券投资基金募集注册的文件；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 xml:space="preserve">2、《交银施罗德优择回报灵活配置混合型证券投资基金基金合同》； </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3、《交银施罗德优择回报灵活配置混合型证券投资基金招募说明书》；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4、《交银施罗德优择回报灵活配置混合型证券投资基金托管协议》；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 xml:space="preserve">5、关于申请募集注册交银施罗德优择回报灵活配置混合型证券投资基金的法律意见书； </w:t>
      </w:r>
    </w:p>
    <w:p>
      <w:pPr>
        <w:spacing w:before="29" w:line="288" w:lineRule="auto"/>
        <w:ind w:firstLine="480" w:firstLineChars="200"/>
        <w:rPr>
          <w:rFonts w:eastAsiaTheme="minorEastAsia"/>
          <w:color w:val="000000"/>
          <w:sz w:val="24"/>
        </w:rPr>
      </w:pPr>
      <w:r>
        <w:rPr>
          <w:rFonts w:eastAsiaTheme="minorEastAsia"/>
          <w:color w:val="000000"/>
          <w:sz w:val="24"/>
        </w:rPr>
        <w:t xml:space="preserve">6、基金管理人业务资格批件、营业执照； </w:t>
      </w:r>
    </w:p>
    <w:p>
      <w:pPr>
        <w:spacing w:before="29" w:line="288" w:lineRule="auto"/>
        <w:ind w:firstLine="480" w:firstLineChars="200"/>
        <w:rPr>
          <w:rFonts w:eastAsiaTheme="minorEastAsia"/>
          <w:color w:val="000000"/>
          <w:sz w:val="24"/>
        </w:rPr>
      </w:pPr>
      <w:r>
        <w:rPr>
          <w:rFonts w:eastAsiaTheme="minorEastAsia"/>
          <w:color w:val="000000"/>
          <w:sz w:val="24"/>
        </w:rPr>
        <w:t xml:space="preserve">7、基金托管人业务资格批件、营业执照； </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8、报告期内交银施罗德优择回报灵活配置混合型证券投资基金在指定报刊上各项公告的原稿。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85AD9">
      <w:rPr>
        <w:noProof/>
        <w:kern w:val="0"/>
        <w:szCs w:val="21"/>
      </w:rPr>
      <w:t>19</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885AD9">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685AD1" w:rsidRDefault="00685AD1">
      <w:r>
        <w:separator/>
      </w:r>
    </w:p>
  </w:footnote>
  <w:footnote w:id="0" w:type="continuationSeparator">
    <w:p w:rsidR="00685AD1" w:rsidRDefault="00685AD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交银施罗德优择回报灵活配置混合型证券投资基金2020年第3季度报告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2FB8-C167-4963-8B27-9929FDC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254</TotalTime>
  <Pages>27</Pages>
  <Words>4295</Words>
  <Characters>24488</Characters>
  <Application>Microsoft Office Word</Application>
  <DocSecurity>0</DocSecurity>
  <Lines>204</Lines>
  <Paragraphs>57</Paragraphs>
  <ScaleCrop>false</ScaleCrop>
  <Company>TRT. Ltd. Co.</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2020-03-05T08:23:00Z</dcterms:modified>
  <cp:revision>404</cp:revision>
</cp:coreProperties>
</file>