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FC7F43" w:rsidRDefault="00FC7F4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2D2A00" w:rsidRPr="005858C2">
      <w:pPr>
        <w:spacing w:before="29" w:line="288" w:lineRule="auto"/>
        <w:jc w:val="center"/>
        <w:rPr>
          <w:rFonts w:eastAsiaTheme="minorEastAsia"/>
          <w:b/>
          <w:sz w:val="36"/>
          <w:szCs w:val="36"/>
        </w:rPr>
      </w:pPr>
      <w:r w:rsidRPr="005858C2">
        <w:rPr>
          <w:rFonts w:eastAsiaTheme="minorEastAsia"/>
          <w:b/>
          <w:sz w:val="36"/>
          <w:szCs w:val="36"/>
        </w:rPr>
        <w:t>交银施罗德优择回报灵活配置混合型证券投资基金</w:t>
      </w:r>
    </w:p>
    <w:p w:rsidP="007C14DF" w:rsidR="002D2A00" w:rsidRDefault="002D2A00" w:rsidRPr="005858C2">
      <w:pPr>
        <w:spacing w:before="29" w:line="288" w:lineRule="auto"/>
        <w:jc w:val="center"/>
        <w:rPr>
          <w:rFonts w:eastAsiaTheme="minorEastAsia"/>
          <w:b/>
          <w:sz w:val="36"/>
          <w:szCs w:val="36"/>
        </w:rPr>
      </w:pPr>
      <w:r w:rsidRPr="005858C2">
        <w:rPr>
          <w:rFonts w:eastAsiaTheme="minorEastAsia"/>
          <w:b/>
          <w:sz w:val="36"/>
          <w:szCs w:val="36"/>
        </w:rPr>
        <w:t>2020年第2季度报告</w:t>
      </w:r>
    </w:p>
    <w:p w:rsidP="007C14DF" w:rsidR="009A2283" w:rsidRDefault="00577209" w:rsidRPr="005858C2">
      <w:pPr>
        <w:spacing w:before="29" w:line="288" w:lineRule="auto"/>
        <w:jc w:val="center"/>
        <w:rPr>
          <w:b/>
          <w:sz w:val="36"/>
          <w:szCs w:val="36"/>
        </w:rPr>
      </w:pPr>
      <w:r w:rsidRPr="005858C2">
        <w:rPr>
          <w:b/>
          <w:sz w:val="36"/>
          <w:szCs w:val="36"/>
        </w:rPr>
        <w:t/>
      </w:r>
      <w:r w:rsidR="00121533" w:rsidRPr="005858C2">
        <w:rPr>
          <w:b/>
          <w:sz w:val="36"/>
          <w:szCs w:val="36"/>
        </w:rPr>
        <w:t>2020年6月30日</w:t>
      </w: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657487">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E27360" w:rsidRDefault="00E27360"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rPr>
          <w:color w:val="000000"/>
          <w:sz w:val="24"/>
        </w:rPr>
      </w:pP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基金管理人：</w:t>
      </w:r>
      <w:r w:rsidR="00BF377F" w:rsidRPr="005858C2">
        <w:rPr>
          <w:b/>
          <w:color w:val="000000"/>
          <w:sz w:val="24"/>
        </w:rPr>
        <w:t>交银施罗德基金管理有限公司</w:t>
      </w: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基金托管人：</w:t>
      </w:r>
      <w:r w:rsidR="00BF377F" w:rsidRPr="005858C2">
        <w:rPr>
          <w:b/>
          <w:color w:val="000000"/>
          <w:sz w:val="24"/>
        </w:rPr>
        <w:t>中信银行股份有限公司</w:t>
      </w:r>
    </w:p>
    <w:p w:rsidP="007C14DF" w:rsidR="009A2283" w:rsidRDefault="009A2283" w:rsidRPr="005858C2">
      <w:pPr>
        <w:spacing w:before="29" w:line="288" w:lineRule="auto"/>
        <w:ind w:firstLine="2168" w:firstLineChars="900"/>
        <w:rPr>
          <w:b/>
          <w:sz w:val="24"/>
        </w:rPr>
        <w:sectPr w:rsidR="009A2283" w:rsidRPr="005858C2" w:rsidSect="00D3445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5858C2">
        <w:rPr>
          <w:b/>
          <w:color w:val="000000"/>
          <w:sz w:val="24"/>
        </w:rPr>
        <w:t>报告送出日期：</w:t>
      </w:r>
      <w:r w:rsidR="00D04410" w:rsidRPr="005858C2">
        <w:rPr>
          <w:b/>
          <w:color w:val="000000"/>
          <w:sz w:val="24"/>
        </w:rPr>
        <w:t>二〇二〇年七月二十一日</w:t>
      </w:r>
    </w:p>
    <w:p w:rsidP="000A2988" w:rsidR="009238DB" w:rsidRDefault="009238DB" w:rsidRPr="007F52FA">
      <w:pPr>
        <w:pStyle w:val="1"/>
        <w:spacing w:after="312" w:afterLines="100" w:before="312" w:before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基金托管人中信银行股份有限公司根据本基金合同规定，于2020年7月20日复核了本报告中的财务指标、净值表现和投资组合报告等内容，保证复核内容不存在虚假记载、误导性陈述或者重大遗漏。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rFonts w:eastAsiaTheme="minorEastAsia"/>
          <w:color w:val="000000"/>
          <w:sz w:val="24"/>
        </w:rPr>
      </w:pPr>
      <w:r>
        <w:rPr>
          <w:rFonts w:eastAsiaTheme="minorEastAsia"/>
          <w:color w:val="000000"/>
          <w:sz w:val="24"/>
        </w:rPr>
        <w:t>本报告中财务资料未经审计。</w:t>
      </w:r>
    </w:p>
    <w:p w:rsidP="007C14DF" w:rsidR="009238DB" w:rsidRDefault="00267DA9"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本报告期自2020年4月1日起至6月30日止。</w:t>
      </w:r>
    </w:p>
    <w:p w:rsidP="007C14DF" w:rsidR="00740635" w:rsidRDefault="00740635" w:rsidRPr="007F52FA">
      <w:pPr>
        <w:spacing w:before="29" w:line="288" w:lineRule="auto"/>
        <w:ind w:firstLine="480" w:firstLineChars="200"/>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type="dxa" w:w="899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3048"/>
      </w:tblGrid>
      <w:tr w:rsidR="00A6200E" w:rsidRPr="007F52FA" w:rsidTr="009416C9">
        <w:trPr>
          <w:jc w:val="center"/>
        </w:trPr>
        <w:tc>
          <w:tcPr>
            <w:tcW w:type="dxa" w:w="3023"/>
            <w:vAlign w:val="center"/>
          </w:tcPr>
          <w:p w:rsidP="007C14DF" w:rsidR="00A6200E" w:rsidRDefault="00A6200E" w:rsidRPr="007F52FA">
            <w:pPr>
              <w:adjustRightInd w:val="0"/>
              <w:spacing w:before="29" w:line="288" w:lineRule="auto"/>
              <w:ind w:left="17"/>
              <w:jc w:val="left"/>
              <w:rPr>
                <w:kern w:val="0"/>
                <w:sz w:val="24"/>
              </w:rPr>
            </w:pPr>
            <w:r w:rsidRPr="007F52FA">
              <w:rPr>
                <w:kern w:val="0"/>
                <w:sz w:val="24"/>
              </w:rPr>
              <w:t>基金简称</w:t>
            </w:r>
          </w:p>
        </w:tc>
        <w:tc>
          <w:tcPr>
            <w:tcW w:type="dxa" w:w="5970"/>
            <w:gridSpan w:val="2"/>
            <w:vAlign w:val="center"/>
          </w:tcPr>
          <w:p w:rsidP="007C14DF" w:rsidR="00A6200E" w:rsidRDefault="00A6200E" w:rsidRPr="007F52FA">
            <w:pPr>
              <w:adjustRightInd w:val="0"/>
              <w:spacing w:before="29" w:line="288" w:lineRule="auto"/>
              <w:ind w:left="17"/>
              <w:jc w:val="left"/>
              <w:rPr>
                <w:color w:val="000000"/>
                <w:kern w:val="0"/>
                <w:sz w:val="24"/>
              </w:rPr>
            </w:pPr>
            <w:r w:rsidRPr="007F52FA">
              <w:rPr>
                <w:color w:val="000000"/>
                <w:kern w:val="0"/>
                <w:sz w:val="24"/>
              </w:rPr>
              <w:t>交银优择回报灵活配置混合</w:t>
            </w:r>
          </w:p>
        </w:tc>
      </w:tr>
      <w:tr w:rsidR="00B95753" w:rsidRPr="007F52FA" w:rsidTr="009416C9">
        <w:trPr>
          <w:jc w:val="center"/>
        </w:trPr>
        <w:tc>
          <w:tcPr>
            <w:tcW w:type="dxa" w:w="3023"/>
            <w:vAlign w:val="center"/>
          </w:tcPr>
          <w:p w:rsidP="007C14DF" w:rsidR="00B95753" w:rsidRDefault="00B95753" w:rsidRPr="007F52FA">
            <w:pPr>
              <w:adjustRightInd w:val="0"/>
              <w:spacing w:before="29" w:line="288" w:lineRule="auto"/>
              <w:ind w:left="17"/>
              <w:jc w:val="left"/>
              <w:rPr>
                <w:kern w:val="0"/>
                <w:sz w:val="24"/>
              </w:rPr>
            </w:pPr>
            <w:r w:rsidRPr="007F52FA">
              <w:rPr>
                <w:kern w:val="0"/>
                <w:sz w:val="24"/>
              </w:rPr>
              <w:t>基金主代码</w:t>
            </w:r>
          </w:p>
        </w:tc>
        <w:tc>
          <w:tcPr>
            <w:tcW w:type="dxa" w:w="5970"/>
            <w:gridSpan w:val="2"/>
            <w:tcBorders>
              <w:bottom w:color="auto" w:space="0" w:sz="4" w:val="single"/>
            </w:tcBorders>
            <w:vAlign w:val="center"/>
          </w:tcPr>
          <w:p w:rsidP="007C14DF" w:rsidR="00B95753" w:rsidRDefault="00B95753" w:rsidRPr="007F52FA">
            <w:pPr>
              <w:adjustRightInd w:val="0"/>
              <w:spacing w:before="29" w:line="288" w:lineRule="auto"/>
              <w:ind w:left="17"/>
              <w:jc w:val="left"/>
              <w:rPr>
                <w:color w:val="000000"/>
                <w:kern w:val="0"/>
                <w:sz w:val="24"/>
              </w:rPr>
            </w:pPr>
            <w:r w:rsidRPr="007F52FA">
              <w:rPr>
                <w:color w:val="000000"/>
                <w:kern w:val="0"/>
                <w:sz w:val="24"/>
              </w:rPr>
              <w:t>519770</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基金运作方式</w:t>
            </w:r>
          </w:p>
        </w:tc>
        <w:tc>
          <w:tcPr>
            <w:tcW w:type="dxa" w:w="5970"/>
            <w:gridSpan w:val="2"/>
            <w:tcBorders>
              <w:top w:color="auto" w:space="0" w:sz="4" w:val="single"/>
            </w:tcBorders>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基金合同生效日</w:t>
            </w:r>
          </w:p>
        </w:tc>
        <w:tc>
          <w:tcPr>
            <w:tcW w:type="dxa" w:w="5970"/>
            <w:gridSpan w:val="2"/>
            <w:vAlign w:val="center"/>
          </w:tcPr>
          <w:p w:rsidP="007C14DF" w:rsidR="008532F3" w:rsidRDefault="008532F3" w:rsidRPr="007F52FA">
            <w:pPr>
              <w:adjustRightInd w:val="0"/>
              <w:spacing w:before="29" w:line="288" w:lineRule="auto"/>
              <w:ind w:left="17"/>
              <w:jc w:val="left"/>
              <w:rPr>
                <w:color w:val="000000"/>
                <w:kern w:val="0"/>
                <w:sz w:val="24"/>
              </w:rPr>
            </w:pPr>
            <w:r w:rsidRPr="007F52FA">
              <w:rPr>
                <w:color w:val="000000"/>
                <w:kern w:val="0"/>
                <w:sz w:val="24"/>
              </w:rPr>
              <w:t>2016年4月22日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报告期末基金份额总额</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800,518,311.99</w:t>
            </w:r>
            <w:r w:rsidRPr="007F52FA">
              <w:rPr>
                <w:color w:val="000000"/>
                <w:kern w:val="0"/>
                <w:sz w:val="24"/>
              </w:rPr>
              <w:t>份</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投资目标</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本基金在控制风险并保持基金资产良好的流动性的前提下，通过灵活的资产配置策略和积极主动的投资管理，力争为投资者提供长期稳健的投资回报。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投资策略</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业绩比较基准</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50%×沪深300指数收益率+50%×中债综合全价指数收益率</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风险收益特征</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本基金是一只混合型基金，其风险和预期收益高于债券型基金和货币市场基金，低于股票型基金。属于承担较高风险、预期收益较高的证券投资基金品种。</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基金管理人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基金托管人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kern w:val="0"/>
                <w:sz w:val="24"/>
              </w:rPr>
            </w:pPr>
            <w:r w:rsidRPr="007F52FA">
              <w:rPr>
                <w:color w:val="000000"/>
                <w:sz w:val="24"/>
              </w:rPr>
              <w:t>下属两级基金的基金简称</w:t>
            </w:r>
          </w:p>
        </w:tc>
        <w:tc>
          <w:tcPr>
            <w:tcW w:type="dxa" w:w="2922"/>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交银优择回报灵活配置混合A</w:t>
            </w:r>
          </w:p>
        </w:tc>
        <w:tc>
          <w:tcPr>
            <w:tcW w:type="dxa" w:w="3048"/>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交银优择回报灵活配置混合C</w:t>
            </w:r>
          </w:p>
        </w:tc>
      </w:tr>
      <w:tr w:rsidR="00C23B30" w:rsidRPr="007F52FA" w:rsidTr="009416C9">
        <w:trPr>
          <w:jc w:val="center"/>
        </w:trPr>
        <w:tc>
          <w:tcPr>
            <w:tcW w:type="dxa" w:w="3023"/>
            <w:vAlign w:val="center"/>
          </w:tcPr>
          <w:p w:rsidP="007C14DF" w:rsidR="00C23B30" w:rsidRDefault="007C3DC6">
            <w:pPr>
              <w:adjustRightInd w:val="0"/>
              <w:spacing w:before="29" w:line="288" w:lineRule="auto"/>
              <w:ind w:left="17"/>
              <w:jc w:val="left"/>
              <w:rPr>
                <w:color w:val="000000"/>
                <w:sz w:val="24"/>
              </w:rPr>
            </w:pPr>
            <w:r w:rsidRPr="007F52FA">
              <w:rPr>
                <w:color w:val="000000"/>
                <w:sz w:val="24"/>
              </w:rPr>
              <w:t>下属两级基金的交易代码</w:t>
            </w:r>
          </w:p>
          <w:p w:rsidP="00C01EF2" w:rsidR="00C01EF2" w:rsidRDefault="00C01EF2" w:rsidRPr="007F52FA">
            <w:pPr>
              <w:adjustRightInd w:val="0"/>
              <w:spacing w:before="29" w:line="288" w:lineRule="auto"/>
              <w:ind w:left="17"/>
              <w:jc w:val="left"/>
              <w:rPr>
                <w:color w:val="000000"/>
                <w:sz w:val="24"/>
              </w:rPr>
            </w:pPr>
            <w:r w:rsidRPr="007F52FA">
              <w:rPr>
                <w:color w:themeColor="text1" w:val="000000"/>
                <w:sz w:val="24"/>
              </w:rPr>
              <w:t/>
            </w:r>
            <w:r w:rsidRPr="000E4C40">
              <w:rPr>
                <w:color w:val="000000"/>
                <w:kern w:val="0"/>
                <w:sz w:val="24"/>
              </w:rPr>
              <w:t/>
            </w:r>
            <w:r>
              <w:rPr>
                <w:rFonts w:hint="eastAsia"/>
                <w:color w:val="000000"/>
                <w:kern w:val="0"/>
                <w:sz w:val="24"/>
              </w:rPr>
              <w:t/>
            </w:r>
            <w:r w:rsidRPr="000E4C40">
              <w:rPr>
                <w:sz w:val="24"/>
              </w:rPr>
              <w:t/>
            </w:r>
          </w:p>
        </w:tc>
        <w:tc>
          <w:tcPr>
            <w:tcW w:type="dxa" w:w="2922"/>
            <w:vAlign w:val="center"/>
          </w:tcPr>
          <w:p w:rsidP="007F50FB" w:rsidR="00C23B30" w:rsidRDefault="00C23B30" w:rsidRPr="000E4C40">
            <w:pPr>
              <w:spacing w:before="29" w:line="288" w:lineRule="auto"/>
              <w:jc w:val="left"/>
              <w:rPr>
                <w:sz w:val="24"/>
              </w:rPr>
            </w:pPr>
            <w:r w:rsidRPr="007F52FA">
              <w:rPr>
                <w:color w:themeColor="text1" w:val="000000"/>
                <w:sz w:val="24"/>
              </w:rPr>
              <w:t/>
            </w:r>
            <w:r w:rsidRPr="000E4C40">
              <w:rPr>
                <w:color w:val="000000"/>
                <w:kern w:val="0"/>
                <w:sz w:val="24"/>
              </w:rPr>
              <w:t/>
            </w:r>
            <w:r w:rsidRPr="000E4C40">
              <w:rPr>
                <w:sz w:val="24"/>
              </w:rPr>
              <w:t>519770</w:t>
            </w:r>
          </w:p>
        </w:tc>
        <w:tc>
          <w:tcPr>
            <w:tcW w:type="dxa" w:w="3048"/>
            <w:vAlign w:val="center"/>
          </w:tcPr>
          <w:p w:rsidP="00A52A9E" w:rsidR="00C23B30" w:rsidRDefault="00261F47" w:rsidRPr="000E4C40">
            <w:pPr>
              <w:spacing w:before="29" w:line="288" w:lineRule="auto"/>
              <w:jc w:val="left"/>
              <w:rPr>
                <w:sz w:val="24"/>
              </w:rPr>
            </w:pPr>
            <w:r w:rsidRPr="007F52FA">
              <w:rPr>
                <w:color w:themeColor="text1" w:val="000000"/>
                <w:sz w:val="24"/>
              </w:rPr>
              <w:t/>
            </w:r>
            <w:r w:rsidR="00C23B30" w:rsidRPr="000E4C40">
              <w:rPr>
                <w:color w:val="000000"/>
                <w:kern w:val="0"/>
                <w:sz w:val="24"/>
              </w:rPr>
              <w:t/>
            </w:r>
            <w:r w:rsidR="00C23B30" w:rsidRPr="000E4C40">
              <w:rPr>
                <w:sz w:val="24"/>
              </w:rPr>
              <w:t/>
            </w:r>
            <w:r w:rsidR="00A52A9E">
              <w:rPr>
                <w:sz w:val="24"/>
              </w:rPr>
              <w:t/>
            </w:r>
            <w:r w:rsidR="00C23B30" w:rsidRPr="000E4C40">
              <w:rPr>
                <w:sz w:val="24"/>
              </w:rPr>
              <w:t>519771</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报告期末下属两级基金的</w:t>
            </w:r>
            <w:r w:rsidRPr="007F52FA">
              <w:rPr>
                <w:color w:val="000000"/>
                <w:sz w:val="24"/>
              </w:rPr>
              <w:lastRenderedPageBreak/>
              <w:t>份额总额</w:t>
            </w:r>
          </w:p>
        </w:tc>
        <w:tc>
          <w:tcPr>
            <w:tcW w:type="dxa" w:w="2922"/>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746,143,954.37</w:t>
            </w:r>
            <w:r w:rsidRPr="007F52FA">
              <w:rPr>
                <w:color w:val="000000"/>
                <w:kern w:val="0"/>
                <w:sz w:val="24"/>
              </w:rPr>
              <w:t>份</w:t>
            </w:r>
          </w:p>
        </w:tc>
        <w:tc>
          <w:tcPr>
            <w:tcW w:type="dxa" w:w="3048"/>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54,374,357.62</w:t>
            </w:r>
            <w:r w:rsidRPr="007F52FA">
              <w:rPr>
                <w:color w:val="000000"/>
                <w:kern w:val="0"/>
                <w:sz w:val="24"/>
              </w:rPr>
              <w:t>份</w:t>
            </w:r>
          </w:p>
        </w:tc>
      </w:tr>
    </w:tbl>
    <w:p w:rsidP="007C14DF" w:rsidR="00740635" w:rsidRDefault="00740635" w:rsidRPr="007F52FA">
      <w:pPr>
        <w:autoSpaceDE w:val="0"/>
        <w:autoSpaceDN w:val="0"/>
        <w:adjustRightInd w:val="0"/>
        <w:spacing w:before="29" w:line="288" w:lineRule="auto"/>
        <w:jc w:val="left"/>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P="007C14DF" w:rsidR="009238DB" w:rsidRDefault="009238DB" w:rsidRPr="007F52FA">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9E549D" w:rsidRPr="007F52FA" w:rsidTr="007A5233">
        <w:trPr>
          <w:jc w:val="center"/>
        </w:trPr>
        <w:tc>
          <w:tcPr>
            <w:tcW w:type="dxa" w:w="3402"/>
            <w:vMerge w:val="restart"/>
            <w:vAlign w:val="center"/>
          </w:tcPr>
          <w:p w:rsidP="007C14DF" w:rsidR="009E549D" w:rsidRDefault="009E549D" w:rsidRPr="007F52FA">
            <w:pPr>
              <w:adjustRightInd w:val="0"/>
              <w:spacing w:before="29" w:line="288" w:lineRule="auto"/>
              <w:ind w:left="17"/>
              <w:jc w:val="center"/>
              <w:rPr>
                <w:kern w:val="0"/>
                <w:sz w:val="24"/>
              </w:rPr>
            </w:pPr>
            <w:r w:rsidRPr="007F52FA">
              <w:rPr>
                <w:kern w:val="0"/>
                <w:sz w:val="24"/>
              </w:rPr>
              <w:t>主要财务指标</w:t>
            </w:r>
          </w:p>
        </w:tc>
        <w:tc>
          <w:tcPr>
            <w:tcW w:type="dxa" w:w="4962"/>
            <w:gridSpan w:val="2"/>
            <w:vAlign w:val="center"/>
          </w:tcPr>
          <w:p w:rsidP="00BF5A58" w:rsidR="00BF5A58" w:rsidRDefault="00BF5A58" w:rsidRPr="00414345">
            <w:pPr>
              <w:adjustRightInd w:val="0"/>
              <w:spacing w:before="29" w:line="288" w:lineRule="auto"/>
              <w:ind w:left="17"/>
              <w:jc w:val="center"/>
              <w:rPr>
                <w:color w:val="000000"/>
                <w:sz w:val="24"/>
              </w:rPr>
            </w:pPr>
            <w:r w:rsidRPr="00414345">
              <w:rPr>
                <w:color w:val="000000"/>
                <w:sz w:val="24"/>
              </w:rPr>
              <w:t>报告期</w:t>
            </w:r>
          </w:p>
          <w:p w:rsidP="00BF5A58" w:rsidR="009E549D" w:rsidRDefault="00BF5A58" w:rsidRPr="007F52FA">
            <w:pPr>
              <w:adjustRightInd w:val="0"/>
              <w:spacing w:before="29" w:line="288" w:lineRule="auto"/>
              <w:ind w:left="17"/>
              <w:jc w:val="center"/>
              <w:rPr>
                <w:color w:val="000000"/>
                <w:sz w:val="24"/>
              </w:rPr>
            </w:pPr>
            <w:r w:rsidRPr="00414345">
              <w:rPr>
                <w:color w:val="000000"/>
                <w:sz w:val="24"/>
              </w:rPr>
              <w:t>(2020年4月1日-2020年6月30日)</w:t>
            </w:r>
          </w:p>
        </w:tc>
      </w:tr>
      <w:tr w:rsidR="009E549D" w:rsidRPr="007F52FA" w:rsidTr="007A5233">
        <w:trPr>
          <w:jc w:val="center"/>
        </w:trPr>
        <w:tc>
          <w:tcPr>
            <w:tcW w:type="dxa" w:w="3402"/>
            <w:vMerge/>
            <w:vAlign w:val="center"/>
          </w:tcPr>
          <w:p w:rsidP="007C14DF" w:rsidR="009E549D" w:rsidRDefault="009E549D" w:rsidRPr="007F52FA">
            <w:pPr>
              <w:adjustRightInd w:val="0"/>
              <w:spacing w:before="29" w:line="288" w:lineRule="auto"/>
              <w:ind w:left="17"/>
              <w:jc w:val="center"/>
              <w:rPr>
                <w:kern w:val="0"/>
                <w:sz w:val="24"/>
              </w:rPr>
            </w:pP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交银优择回报灵活配置混合A</w:t>
            </w: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交银优择回报灵活配置混合C</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13,154,748.12</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412,847.92</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2.</w:t>
            </w:r>
            <w:r w:rsidRPr="007F52FA">
              <w:rPr>
                <w:kern w:val="0"/>
                <w:sz w:val="24"/>
              </w:rPr>
              <w:t>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18,251,507.59</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591,763.06</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0.0256</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0.0351</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890,374,949.99</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65,449,785.81</w:t>
            </w:r>
          </w:p>
        </w:tc>
      </w:tr>
      <w:tr w:rsidR="005F293E" w:rsidRPr="007F52FA" w:rsidTr="007A5233">
        <w:trPr>
          <w:trHeight w:val="158"/>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1.193</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1.204</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注：1、上述基金A类业绩指标不包括持有人认购或交易基金的各项费用，计入费用后的实际收益水平要低于所列数字； </w:t>
      </w:r>
    </w:p>
    <w:p w:rsidP="007C14DF" w:rsidR="005E01A3" w:rsidRDefault="005E01A3"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2、本期已实现收益指基金本期利息收入、投资收益、其他收入（不含公允价值变动收益）扣除相关费用后的余额，本期利润为本期已实现收益加上本期公允价值变动收益。</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P="007C14DF" w:rsidR="009238DB" w:rsidRDefault="009238DB" w:rsidRPr="007F52FA">
      <w:pPr>
        <w:autoSpaceDE w:val="0"/>
        <w:autoSpaceDN w:val="0"/>
        <w:adjustRightInd w:val="0"/>
        <w:spacing w:before="29" w:line="288" w:lineRule="auto"/>
        <w:jc w:val="left"/>
        <w:rPr>
          <w:b/>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P="007C14DF" w:rsidR="009238DB" w:rsidRDefault="009238DB" w:rsidRPr="007F52FA">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交银优择回报灵活配置混合A</w:t>
      </w:r>
      <w:r w:rsidRPr="007F52FA">
        <w:rPr>
          <w:b/>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2.23%</w:t>
            </w:r>
          </w:p>
        </w:tc>
        <w:tc>
          <w:tcPr>
            <w:vAlign w:val="center"/>
          </w:tcPr>
          <w:p>
            <w:pPr>
              <w:jc w:val="center"/>
            </w:pPr>
            <w:r>
              <w:rPr>
                <w:color w:val="000000"/>
                <w:sz w:val="24"/>
              </w:rPr>
              <w:t>0.12%</w:t>
            </w:r>
          </w:p>
        </w:tc>
        <w:tc>
          <w:tcPr>
            <w:vAlign w:val="center"/>
          </w:tcPr>
          <w:p>
            <w:pPr>
              <w:jc w:val="center"/>
            </w:pPr>
            <w:r>
              <w:rPr>
                <w:color w:val="000000"/>
                <w:sz w:val="24"/>
              </w:rPr>
              <w:t>5.80%</w:t>
            </w:r>
          </w:p>
        </w:tc>
        <w:tc>
          <w:tcPr>
            <w:vAlign w:val="center"/>
          </w:tcPr>
          <w:p>
            <w:pPr>
              <w:jc w:val="center"/>
            </w:pPr>
            <w:r>
              <w:rPr>
                <w:color w:val="000000"/>
                <w:sz w:val="24"/>
              </w:rPr>
              <w:t>0.45%</w:t>
            </w:r>
          </w:p>
        </w:tc>
        <w:tc>
          <w:tcPr>
            <w:vAlign w:val="center"/>
          </w:tcPr>
          <w:p>
            <w:pPr>
              <w:jc w:val="center"/>
            </w:pPr>
            <w:r>
              <w:rPr>
                <w:color w:val="000000"/>
                <w:sz w:val="24"/>
              </w:rPr>
              <w:t>-3.57%</w:t>
            </w:r>
          </w:p>
        </w:tc>
        <w:tc>
          <w:tcPr>
            <w:vAlign w:val="center"/>
          </w:tcPr>
          <w:p>
            <w:pPr>
              <w:jc w:val="center"/>
            </w:pPr>
            <w:r>
              <w:rPr>
                <w:color w:val="000000"/>
                <w:sz w:val="24"/>
              </w:rPr>
              <w:t>-0.33%</w:t>
            </w:r>
          </w:p>
        </w:tc>
      </w:tr>
      <w:tr>
        <w:tc>
          <w:tcPr>
            <w:vAlign w:val="center"/>
          </w:tcPr>
          <w:p>
            <w:pPr>
              <w:jc w:val="left"/>
            </w:pPr>
            <w:r>
              <w:rPr>
                <w:color w:val="000000"/>
                <w:sz w:val="24"/>
              </w:rPr>
              <w:t>过去六个月</w:t>
            </w:r>
          </w:p>
        </w:tc>
        <w:tc>
          <w:tcPr>
            <w:vAlign w:val="center"/>
          </w:tcPr>
          <w:p>
            <w:pPr>
              <w:jc w:val="center"/>
            </w:pPr>
            <w:r>
              <w:rPr>
                <w:color w:val="000000"/>
                <w:sz w:val="24"/>
              </w:rPr>
              <w:t>4.19%</w:t>
            </w:r>
          </w:p>
        </w:tc>
        <w:tc>
          <w:tcPr>
            <w:vAlign w:val="center"/>
          </w:tcPr>
          <w:p>
            <w:pPr>
              <w:jc w:val="center"/>
            </w:pPr>
            <w:r>
              <w:rPr>
                <w:color w:val="000000"/>
                <w:sz w:val="24"/>
              </w:rPr>
              <w:t>0.16%</w:t>
            </w:r>
          </w:p>
        </w:tc>
        <w:tc>
          <w:tcPr>
            <w:vAlign w:val="center"/>
          </w:tcPr>
          <w:p>
            <w:pPr>
              <w:jc w:val="center"/>
            </w:pPr>
            <w:r>
              <w:rPr>
                <w:color w:val="000000"/>
                <w:sz w:val="24"/>
              </w:rPr>
              <w:t>1.59%</w:t>
            </w:r>
          </w:p>
        </w:tc>
        <w:tc>
          <w:tcPr>
            <w:vAlign w:val="center"/>
          </w:tcPr>
          <w:p>
            <w:pPr>
              <w:jc w:val="center"/>
            </w:pPr>
            <w:r>
              <w:rPr>
                <w:color w:val="000000"/>
                <w:sz w:val="24"/>
              </w:rPr>
              <w:t>0.74%</w:t>
            </w:r>
          </w:p>
        </w:tc>
        <w:tc>
          <w:tcPr>
            <w:vAlign w:val="center"/>
          </w:tcPr>
          <w:p>
            <w:pPr>
              <w:jc w:val="center"/>
            </w:pPr>
            <w:r>
              <w:rPr>
                <w:color w:val="000000"/>
                <w:sz w:val="24"/>
              </w:rPr>
              <w:t>2.60%</w:t>
            </w:r>
          </w:p>
        </w:tc>
        <w:tc>
          <w:tcPr>
            <w:vAlign w:val="center"/>
          </w:tcPr>
          <w:p>
            <w:pPr>
              <w:jc w:val="center"/>
            </w:pPr>
            <w:r>
              <w:rPr>
                <w:color w:val="000000"/>
                <w:sz w:val="24"/>
              </w:rPr>
              <w:t>-0.58%</w:t>
            </w:r>
          </w:p>
        </w:tc>
      </w:tr>
      <w:tr>
        <w:tc>
          <w:tcPr>
            <w:vAlign w:val="center"/>
          </w:tcPr>
          <w:p>
            <w:pPr>
              <w:jc w:val="left"/>
            </w:pPr>
            <w:r>
              <w:rPr>
                <w:color w:val="000000"/>
                <w:sz w:val="24"/>
              </w:rPr>
              <w:t>过去一年</w:t>
            </w:r>
          </w:p>
        </w:tc>
        <w:tc>
          <w:tcPr>
            <w:vAlign w:val="center"/>
          </w:tcPr>
          <w:p>
            <w:pPr>
              <w:jc w:val="center"/>
            </w:pPr>
            <w:r>
              <w:rPr>
                <w:color w:val="000000"/>
                <w:sz w:val="24"/>
              </w:rPr>
              <w:t>10.16%</w:t>
            </w:r>
          </w:p>
        </w:tc>
        <w:tc>
          <w:tcPr>
            <w:vAlign w:val="center"/>
          </w:tcPr>
          <w:p>
            <w:pPr>
              <w:jc w:val="center"/>
            </w:pPr>
            <w:r>
              <w:rPr>
                <w:color w:val="000000"/>
                <w:sz w:val="24"/>
              </w:rPr>
              <w:t>0.15%</w:t>
            </w:r>
          </w:p>
        </w:tc>
        <w:tc>
          <w:tcPr>
            <w:vAlign w:val="center"/>
          </w:tcPr>
          <w:p>
            <w:pPr>
              <w:jc w:val="center"/>
            </w:pPr>
            <w:r>
              <w:rPr>
                <w:color w:val="000000"/>
                <w:sz w:val="24"/>
              </w:rPr>
              <w:t>5.81%</w:t>
            </w:r>
          </w:p>
        </w:tc>
        <w:tc>
          <w:tcPr>
            <w:vAlign w:val="center"/>
          </w:tcPr>
          <w:p>
            <w:pPr>
              <w:jc w:val="center"/>
            </w:pPr>
            <w:r>
              <w:rPr>
                <w:color w:val="000000"/>
                <w:sz w:val="24"/>
              </w:rPr>
              <w:t>0.60%</w:t>
            </w:r>
          </w:p>
        </w:tc>
        <w:tc>
          <w:tcPr>
            <w:vAlign w:val="center"/>
          </w:tcPr>
          <w:p>
            <w:pPr>
              <w:jc w:val="center"/>
            </w:pPr>
            <w:r>
              <w:rPr>
                <w:color w:val="000000"/>
                <w:sz w:val="24"/>
              </w:rPr>
              <w:t>4.35%</w:t>
            </w:r>
          </w:p>
        </w:tc>
        <w:tc>
          <w:tcPr>
            <w:vAlign w:val="center"/>
          </w:tcPr>
          <w:p>
            <w:pPr>
              <w:jc w:val="center"/>
            </w:pPr>
            <w:r>
              <w:rPr>
                <w:color w:val="000000"/>
                <w:sz w:val="24"/>
              </w:rPr>
              <w:t>-0.45%</w:t>
            </w:r>
          </w:p>
        </w:tc>
      </w:tr>
      <w:tr>
        <w:tc>
          <w:tcPr>
            <w:vAlign w:val="center"/>
          </w:tcPr>
          <w:p>
            <w:pPr>
              <w:jc w:val="left"/>
            </w:pPr>
            <w:r>
              <w:rPr>
                <w:color w:val="000000"/>
                <w:sz w:val="24"/>
              </w:rPr>
              <w:t>过去三年</w:t>
            </w:r>
          </w:p>
        </w:tc>
        <w:tc>
          <w:tcPr>
            <w:vAlign w:val="center"/>
          </w:tcPr>
          <w:p>
            <w:pPr>
              <w:jc w:val="center"/>
            </w:pPr>
            <w:r>
              <w:rPr>
                <w:color w:val="000000"/>
                <w:sz w:val="24"/>
              </w:rPr>
              <w:t>20.85%</w:t>
            </w:r>
          </w:p>
        </w:tc>
        <w:tc>
          <w:tcPr>
            <w:vAlign w:val="center"/>
          </w:tcPr>
          <w:p>
            <w:pPr>
              <w:jc w:val="center"/>
            </w:pPr>
            <w:r>
              <w:rPr>
                <w:color w:val="000000"/>
                <w:sz w:val="24"/>
              </w:rPr>
              <w:t>0.12%</w:t>
            </w:r>
          </w:p>
        </w:tc>
        <w:tc>
          <w:tcPr>
            <w:vAlign w:val="center"/>
          </w:tcPr>
          <w:p>
            <w:pPr>
              <w:jc w:val="center"/>
            </w:pPr>
            <w:r>
              <w:rPr>
                <w:color w:val="000000"/>
                <w:sz w:val="24"/>
              </w:rPr>
              <w:t>11.17%</w:t>
            </w:r>
          </w:p>
        </w:tc>
        <w:tc>
          <w:tcPr>
            <w:vAlign w:val="center"/>
          </w:tcPr>
          <w:p>
            <w:pPr>
              <w:jc w:val="center"/>
            </w:pPr>
            <w:r>
              <w:rPr>
                <w:color w:val="000000"/>
                <w:sz w:val="24"/>
              </w:rPr>
              <w:t>0.62%</w:t>
            </w:r>
          </w:p>
        </w:tc>
        <w:tc>
          <w:tcPr>
            <w:vAlign w:val="center"/>
          </w:tcPr>
          <w:p>
            <w:pPr>
              <w:jc w:val="center"/>
            </w:pPr>
            <w:r>
              <w:rPr>
                <w:color w:val="000000"/>
                <w:sz w:val="24"/>
              </w:rPr>
              <w:t>9.68%</w:t>
            </w:r>
          </w:p>
        </w:tc>
        <w:tc>
          <w:tcPr>
            <w:vAlign w:val="center"/>
          </w:tcPr>
          <w:p>
            <w:pPr>
              <w:jc w:val="center"/>
            </w:pPr>
            <w:r>
              <w:rPr>
                <w:color w:val="000000"/>
                <w:sz w:val="24"/>
              </w:rPr>
              <w:t>-0.50%</w:t>
            </w:r>
          </w:p>
        </w:tc>
      </w:tr>
      <w:tr>
        <w:tc>
          <w:tcPr>
            <w:vAlign w:val="center"/>
          </w:tcPr>
          <w:p>
            <w:pPr>
              <w:jc w:val="left"/>
            </w:pPr>
            <w:r>
              <w:rPr>
                <w:color w:val="000000"/>
                <w:sz w:val="24"/>
              </w:rPr>
              <w:t>自基金合同生效起至今</w:t>
            </w:r>
          </w:p>
        </w:tc>
        <w:tc>
          <w:tcPr>
            <w:vAlign w:val="center"/>
          </w:tcPr>
          <w:p>
            <w:pPr>
              <w:jc w:val="center"/>
            </w:pPr>
            <w:r>
              <w:rPr>
                <w:color w:val="000000"/>
                <w:sz w:val="24"/>
              </w:rPr>
              <w:t>27.98%</w:t>
            </w:r>
          </w:p>
        </w:tc>
        <w:tc>
          <w:tcPr>
            <w:vAlign w:val="center"/>
          </w:tcPr>
          <w:p>
            <w:pPr>
              <w:jc w:val="center"/>
            </w:pPr>
            <w:r>
              <w:rPr>
                <w:color w:val="000000"/>
                <w:sz w:val="24"/>
              </w:rPr>
              <w:t>0.11%</w:t>
            </w:r>
          </w:p>
        </w:tc>
        <w:tc>
          <w:tcPr>
            <w:vAlign w:val="center"/>
          </w:tcPr>
          <w:p>
            <w:pPr>
              <w:jc w:val="center"/>
            </w:pPr>
            <w:r>
              <w:rPr>
                <w:color w:val="000000"/>
                <w:sz w:val="24"/>
              </w:rPr>
              <w:t>17.99%</w:t>
            </w:r>
          </w:p>
        </w:tc>
        <w:tc>
          <w:tcPr>
            <w:vAlign w:val="center"/>
          </w:tcPr>
          <w:p>
            <w:pPr>
              <w:jc w:val="center"/>
            </w:pPr>
            <w:r>
              <w:rPr>
                <w:color w:val="000000"/>
                <w:sz w:val="24"/>
              </w:rPr>
              <w:t>0.56%</w:t>
            </w:r>
          </w:p>
        </w:tc>
        <w:tc>
          <w:tcPr>
            <w:vAlign w:val="center"/>
          </w:tcPr>
          <w:p>
            <w:pPr>
              <w:jc w:val="center"/>
            </w:pPr>
            <w:r>
              <w:rPr>
                <w:color w:val="000000"/>
                <w:sz w:val="24"/>
              </w:rPr>
              <w:t>9.99%</w:t>
            </w:r>
          </w:p>
        </w:tc>
        <w:tc>
          <w:tcPr>
            <w:vAlign w:val="center"/>
          </w:tcPr>
          <w:p>
            <w:pPr>
              <w:jc w:val="center"/>
            </w:pPr>
            <w:r>
              <w:rPr>
                <w:color w:val="000000"/>
                <w:sz w:val="24"/>
              </w:rPr>
              <w:t>-0.45%</w:t>
            </w:r>
          </w:p>
        </w:tc>
      </w:tr>
    </w:tbl>
    <w:p w:rsidP="007C14DF" w:rsidR="004425E8" w:rsidRDefault="004425E8" w:rsidRPr="007F52FA">
      <w:pPr>
        <w:pStyle w:val="20"/>
        <w:spacing w:before="29" w:line="288" w:lineRule="auto"/>
        <w:ind w:firstLine="0" w:firstLineChars="0"/>
        <w:rPr>
          <w:rFonts w:ascii="Times New Roman" w:eastAsiaTheme="minorEastAsia" w:hAnsi="Times New Roman"/>
          <w:color w:val="000000"/>
        </w:rPr>
      </w:pPr>
    </w:p>
    <w:p w:rsidP="007C14DF" w:rsidR="009238DB" w:rsidRDefault="009238DB" w:rsidRPr="007F52FA">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交银优择回报灵活配置混合C</w:t>
      </w:r>
      <w:r w:rsidRPr="007F52FA">
        <w:rPr>
          <w:b/>
          <w:color w:val="000000"/>
          <w:kern w:val="0"/>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2.21%</w:t>
            </w:r>
          </w:p>
        </w:tc>
        <w:tc>
          <w:tcPr>
            <w:vAlign w:val="center"/>
          </w:tcPr>
          <w:p>
            <w:pPr>
              <w:jc w:val="center"/>
            </w:pPr>
            <w:r>
              <w:rPr>
                <w:color w:val="000000"/>
                <w:sz w:val="24"/>
              </w:rPr>
              <w:t>0.12%</w:t>
            </w:r>
          </w:p>
        </w:tc>
        <w:tc>
          <w:tcPr>
            <w:vAlign w:val="center"/>
          </w:tcPr>
          <w:p>
            <w:pPr>
              <w:jc w:val="center"/>
            </w:pPr>
            <w:r>
              <w:rPr>
                <w:color w:val="000000"/>
                <w:sz w:val="24"/>
              </w:rPr>
              <w:t>5.80%</w:t>
            </w:r>
          </w:p>
        </w:tc>
        <w:tc>
          <w:tcPr>
            <w:vAlign w:val="center"/>
          </w:tcPr>
          <w:p>
            <w:pPr>
              <w:jc w:val="center"/>
            </w:pPr>
            <w:r>
              <w:rPr>
                <w:color w:val="000000"/>
                <w:sz w:val="24"/>
              </w:rPr>
              <w:t>0.45%</w:t>
            </w:r>
          </w:p>
        </w:tc>
        <w:tc>
          <w:tcPr>
            <w:vAlign w:val="center"/>
          </w:tcPr>
          <w:p>
            <w:pPr>
              <w:jc w:val="center"/>
            </w:pPr>
            <w:r>
              <w:rPr>
                <w:color w:val="000000"/>
                <w:sz w:val="24"/>
              </w:rPr>
              <w:t>-3.59%</w:t>
            </w:r>
          </w:p>
        </w:tc>
        <w:tc>
          <w:tcPr>
            <w:vAlign w:val="center"/>
          </w:tcPr>
          <w:p>
            <w:pPr>
              <w:jc w:val="center"/>
            </w:pPr>
            <w:r>
              <w:rPr>
                <w:color w:val="000000"/>
                <w:sz w:val="24"/>
              </w:rPr>
              <w:t>-0.33%</w:t>
            </w:r>
          </w:p>
        </w:tc>
      </w:tr>
      <w:tr>
        <w:tc>
          <w:tcPr>
            <w:vAlign w:val="center"/>
          </w:tcPr>
          <w:p>
            <w:pPr>
              <w:jc w:val="left"/>
            </w:pPr>
            <w:r>
              <w:rPr>
                <w:color w:val="000000"/>
                <w:sz w:val="24"/>
              </w:rPr>
              <w:t>过去六个月</w:t>
            </w:r>
          </w:p>
        </w:tc>
        <w:tc>
          <w:tcPr>
            <w:vAlign w:val="center"/>
          </w:tcPr>
          <w:p>
            <w:pPr>
              <w:jc w:val="center"/>
            </w:pPr>
            <w:r>
              <w:rPr>
                <w:color w:val="000000"/>
                <w:sz w:val="24"/>
              </w:rPr>
              <w:t>4.15%</w:t>
            </w:r>
          </w:p>
        </w:tc>
        <w:tc>
          <w:tcPr>
            <w:vAlign w:val="center"/>
          </w:tcPr>
          <w:p>
            <w:pPr>
              <w:jc w:val="center"/>
            </w:pPr>
            <w:r>
              <w:rPr>
                <w:color w:val="000000"/>
                <w:sz w:val="24"/>
              </w:rPr>
              <w:t>0.16%</w:t>
            </w:r>
          </w:p>
        </w:tc>
        <w:tc>
          <w:tcPr>
            <w:vAlign w:val="center"/>
          </w:tcPr>
          <w:p>
            <w:pPr>
              <w:jc w:val="center"/>
            </w:pPr>
            <w:r>
              <w:rPr>
                <w:color w:val="000000"/>
                <w:sz w:val="24"/>
              </w:rPr>
              <w:t>1.59%</w:t>
            </w:r>
          </w:p>
        </w:tc>
        <w:tc>
          <w:tcPr>
            <w:vAlign w:val="center"/>
          </w:tcPr>
          <w:p>
            <w:pPr>
              <w:jc w:val="center"/>
            </w:pPr>
            <w:r>
              <w:rPr>
                <w:color w:val="000000"/>
                <w:sz w:val="24"/>
              </w:rPr>
              <w:t>0.74%</w:t>
            </w:r>
          </w:p>
        </w:tc>
        <w:tc>
          <w:tcPr>
            <w:vAlign w:val="center"/>
          </w:tcPr>
          <w:p>
            <w:pPr>
              <w:jc w:val="center"/>
            </w:pPr>
            <w:r>
              <w:rPr>
                <w:color w:val="000000"/>
                <w:sz w:val="24"/>
              </w:rPr>
              <w:t>2.56%</w:t>
            </w:r>
          </w:p>
        </w:tc>
        <w:tc>
          <w:tcPr>
            <w:vAlign w:val="center"/>
          </w:tcPr>
          <w:p>
            <w:pPr>
              <w:jc w:val="center"/>
            </w:pPr>
            <w:r>
              <w:rPr>
                <w:color w:val="000000"/>
                <w:sz w:val="24"/>
              </w:rPr>
              <w:t>-0.58%</w:t>
            </w:r>
          </w:p>
        </w:tc>
      </w:tr>
      <w:tr>
        <w:tc>
          <w:tcPr>
            <w:vAlign w:val="center"/>
          </w:tcPr>
          <w:p>
            <w:pPr>
              <w:jc w:val="left"/>
            </w:pPr>
            <w:r>
              <w:rPr>
                <w:color w:val="000000"/>
                <w:sz w:val="24"/>
              </w:rPr>
              <w:t>过去一年</w:t>
            </w:r>
          </w:p>
        </w:tc>
        <w:tc>
          <w:tcPr>
            <w:vAlign w:val="center"/>
          </w:tcPr>
          <w:p>
            <w:pPr>
              <w:jc w:val="center"/>
            </w:pPr>
            <w:r>
              <w:rPr>
                <w:color w:val="000000"/>
                <w:sz w:val="24"/>
              </w:rPr>
              <w:t>10.05%</w:t>
            </w:r>
          </w:p>
        </w:tc>
        <w:tc>
          <w:tcPr>
            <w:vAlign w:val="center"/>
          </w:tcPr>
          <w:p>
            <w:pPr>
              <w:jc w:val="center"/>
            </w:pPr>
            <w:r>
              <w:rPr>
                <w:color w:val="000000"/>
                <w:sz w:val="24"/>
              </w:rPr>
              <w:t>0.15%</w:t>
            </w:r>
          </w:p>
        </w:tc>
        <w:tc>
          <w:tcPr>
            <w:vAlign w:val="center"/>
          </w:tcPr>
          <w:p>
            <w:pPr>
              <w:jc w:val="center"/>
            </w:pPr>
            <w:r>
              <w:rPr>
                <w:color w:val="000000"/>
                <w:sz w:val="24"/>
              </w:rPr>
              <w:t>5.81%</w:t>
            </w:r>
          </w:p>
        </w:tc>
        <w:tc>
          <w:tcPr>
            <w:vAlign w:val="center"/>
          </w:tcPr>
          <w:p>
            <w:pPr>
              <w:jc w:val="center"/>
            </w:pPr>
            <w:r>
              <w:rPr>
                <w:color w:val="000000"/>
                <w:sz w:val="24"/>
              </w:rPr>
              <w:t>0.60%</w:t>
            </w:r>
          </w:p>
        </w:tc>
        <w:tc>
          <w:tcPr>
            <w:vAlign w:val="center"/>
          </w:tcPr>
          <w:p>
            <w:pPr>
              <w:jc w:val="center"/>
            </w:pPr>
            <w:r>
              <w:rPr>
                <w:color w:val="000000"/>
                <w:sz w:val="24"/>
              </w:rPr>
              <w:t>4.24%</w:t>
            </w:r>
          </w:p>
        </w:tc>
        <w:tc>
          <w:tcPr>
            <w:vAlign w:val="center"/>
          </w:tcPr>
          <w:p>
            <w:pPr>
              <w:jc w:val="center"/>
            </w:pPr>
            <w:r>
              <w:rPr>
                <w:color w:val="000000"/>
                <w:sz w:val="24"/>
              </w:rPr>
              <w:t>-0.45%</w:t>
            </w:r>
          </w:p>
        </w:tc>
      </w:tr>
      <w:tr>
        <w:tc>
          <w:tcPr>
            <w:vAlign w:val="center"/>
          </w:tcPr>
          <w:p>
            <w:pPr>
              <w:jc w:val="left"/>
            </w:pPr>
            <w:r>
              <w:rPr>
                <w:color w:val="000000"/>
                <w:sz w:val="24"/>
              </w:rPr>
              <w:t>过去三年</w:t>
            </w:r>
          </w:p>
        </w:tc>
        <w:tc>
          <w:tcPr>
            <w:vAlign w:val="center"/>
          </w:tcPr>
          <w:p>
            <w:pPr>
              <w:jc w:val="center"/>
            </w:pPr>
            <w:r>
              <w:rPr>
                <w:color w:val="000000"/>
                <w:sz w:val="24"/>
              </w:rPr>
              <w:t>22.34%</w:t>
            </w:r>
          </w:p>
        </w:tc>
        <w:tc>
          <w:tcPr>
            <w:vAlign w:val="center"/>
          </w:tcPr>
          <w:p>
            <w:pPr>
              <w:jc w:val="center"/>
            </w:pPr>
            <w:r>
              <w:rPr>
                <w:color w:val="000000"/>
                <w:sz w:val="24"/>
              </w:rPr>
              <w:t>0.14%</w:t>
            </w:r>
          </w:p>
        </w:tc>
        <w:tc>
          <w:tcPr>
            <w:vAlign w:val="center"/>
          </w:tcPr>
          <w:p>
            <w:pPr>
              <w:jc w:val="center"/>
            </w:pPr>
            <w:r>
              <w:rPr>
                <w:color w:val="000000"/>
                <w:sz w:val="24"/>
              </w:rPr>
              <w:t>11.17%</w:t>
            </w:r>
          </w:p>
        </w:tc>
        <w:tc>
          <w:tcPr>
            <w:vAlign w:val="center"/>
          </w:tcPr>
          <w:p>
            <w:pPr>
              <w:jc w:val="center"/>
            </w:pPr>
            <w:r>
              <w:rPr>
                <w:color w:val="000000"/>
                <w:sz w:val="24"/>
              </w:rPr>
              <w:t>0.62%</w:t>
            </w:r>
          </w:p>
        </w:tc>
        <w:tc>
          <w:tcPr>
            <w:vAlign w:val="center"/>
          </w:tcPr>
          <w:p>
            <w:pPr>
              <w:jc w:val="center"/>
            </w:pPr>
            <w:r>
              <w:rPr>
                <w:color w:val="000000"/>
                <w:sz w:val="24"/>
              </w:rPr>
              <w:t>11.17%</w:t>
            </w:r>
          </w:p>
        </w:tc>
        <w:tc>
          <w:tcPr>
            <w:vAlign w:val="center"/>
          </w:tcPr>
          <w:p>
            <w:pPr>
              <w:jc w:val="center"/>
            </w:pPr>
            <w:r>
              <w:rPr>
                <w:color w:val="000000"/>
                <w:sz w:val="24"/>
              </w:rPr>
              <w:t>-0.48%</w:t>
            </w:r>
          </w:p>
        </w:tc>
      </w:tr>
      <w:tr>
        <w:tc>
          <w:tcPr>
            <w:vAlign w:val="center"/>
          </w:tcPr>
          <w:p>
            <w:pPr>
              <w:jc w:val="left"/>
            </w:pPr>
            <w:r>
              <w:rPr>
                <w:color w:val="000000"/>
                <w:sz w:val="24"/>
              </w:rPr>
              <w:t>自基金合同生效起至今</w:t>
            </w:r>
          </w:p>
        </w:tc>
        <w:tc>
          <w:tcPr>
            <w:vAlign w:val="center"/>
          </w:tcPr>
          <w:p>
            <w:pPr>
              <w:jc w:val="center"/>
            </w:pPr>
            <w:r>
              <w:rPr>
                <w:color w:val="000000"/>
                <w:sz w:val="24"/>
              </w:rPr>
              <w:t>29.19%</w:t>
            </w:r>
          </w:p>
        </w:tc>
        <w:tc>
          <w:tcPr>
            <w:vAlign w:val="center"/>
          </w:tcPr>
          <w:p>
            <w:pPr>
              <w:jc w:val="center"/>
            </w:pPr>
            <w:r>
              <w:rPr>
                <w:color w:val="000000"/>
                <w:sz w:val="24"/>
              </w:rPr>
              <w:t>0.13%</w:t>
            </w:r>
          </w:p>
        </w:tc>
        <w:tc>
          <w:tcPr>
            <w:vAlign w:val="center"/>
          </w:tcPr>
          <w:p>
            <w:pPr>
              <w:jc w:val="center"/>
            </w:pPr>
            <w:r>
              <w:rPr>
                <w:color w:val="000000"/>
                <w:sz w:val="24"/>
              </w:rPr>
              <w:t>17.99%</w:t>
            </w:r>
          </w:p>
        </w:tc>
        <w:tc>
          <w:tcPr>
            <w:vAlign w:val="center"/>
          </w:tcPr>
          <w:p>
            <w:pPr>
              <w:jc w:val="center"/>
            </w:pPr>
            <w:r>
              <w:rPr>
                <w:color w:val="000000"/>
                <w:sz w:val="24"/>
              </w:rPr>
              <w:t>0.56%</w:t>
            </w:r>
          </w:p>
        </w:tc>
        <w:tc>
          <w:tcPr>
            <w:vAlign w:val="center"/>
          </w:tcPr>
          <w:p>
            <w:pPr>
              <w:jc w:val="center"/>
            </w:pPr>
            <w:r>
              <w:rPr>
                <w:color w:val="000000"/>
                <w:sz w:val="24"/>
              </w:rPr>
              <w:t>11.20%</w:t>
            </w:r>
          </w:p>
        </w:tc>
        <w:tc>
          <w:tcPr>
            <w:vAlign w:val="center"/>
          </w:tcPr>
          <w:p>
            <w:pPr>
              <w:jc w:val="center"/>
            </w:pPr>
            <w:r>
              <w:rPr>
                <w:color w:val="000000"/>
                <w:sz w:val="24"/>
              </w:rPr>
              <w:t>-0.43%</w:t>
            </w:r>
          </w:p>
        </w:tc>
      </w:tr>
    </w:tbl>
    <w:p w:rsidP="007C14DF" w:rsidR="009238DB" w:rsidRDefault="009238DB" w:rsidRPr="007F52FA">
      <w:pPr>
        <w:autoSpaceDE w:val="0"/>
        <w:autoSpaceDN w:val="0"/>
        <w:adjustRightInd w:val="0"/>
        <w:spacing w:before="29" w:line="288" w:lineRule="auto"/>
        <w:ind w:left="15"/>
        <w:jc w:val="left"/>
        <w:rPr>
          <w:rFonts w:eastAsiaTheme="minorEastAsia"/>
          <w:b/>
          <w:color w:val="000000"/>
          <w:kern w:val="0"/>
          <w:sz w:val="24"/>
        </w:rPr>
      </w:pPr>
    </w:p>
    <w:p w:rsidP="007C14DF" w:rsidR="009238DB" w:rsidRDefault="009238DB" w:rsidRPr="007F52FA">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P="007C14DF" w:rsidR="009A045B" w:rsidRDefault="009A045B" w:rsidRPr="007F52FA">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交银施罗德优择回报灵活配置混合型证券投资基金</w:t>
      </w:r>
    </w:p>
    <w:p w:rsidP="007C14DF" w:rsidR="00022396" w:rsidRDefault="0001164A" w:rsidRPr="007F52FA">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P="007C14DF" w:rsidR="009A045B" w:rsidRDefault="00CC1636" w:rsidRPr="007F52FA">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2016年4月22日</w:t>
      </w:r>
      <w:r w:rsidR="009A045B" w:rsidRPr="007F52FA">
        <w:rPr>
          <w:rFonts w:ascii="Times New Roman" w:hAnsi="Times New Roman"/>
          <w:sz w:val="24"/>
          <w:szCs w:val="24"/>
        </w:rPr>
        <w:t>至</w:t>
      </w:r>
      <w:r w:rsidRPr="007F52FA">
        <w:rPr>
          <w:rFonts w:ascii="Times New Roman" w:hAnsi="Times New Roman"/>
          <w:sz w:val="24"/>
          <w:szCs w:val="24"/>
        </w:rPr>
        <w:t>2020年6月30日</w:t>
      </w:r>
      <w:r w:rsidRPr="007F52FA">
        <w:rPr>
          <w:rFonts w:ascii="Times New Roman" w:hAnsi="Times New Roman"/>
          <w:sz w:val="24"/>
          <w:szCs w:val="24"/>
        </w:rPr>
        <w:t>）</w:t>
      </w:r>
    </w:p>
    <w:p w:rsidP="007C14DF" w:rsidR="009238DB" w:rsidRDefault="009238DB" w:rsidRPr="007F52FA">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交银优择回报灵活配置混合A</w:t>
      </w:r>
    </w:p>
    <w:p w:rsidP="007C14DF" w:rsidR="00807B81"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B="0" distL="0" distR="0" distT="0">
            <wp:extent cx="5731510" cy="3356610"/>
            <wp:effectExtent b="0" l="19050" r="2540" t="0"/>
            <wp:docPr descr="走势图1.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7C14DF" w:rsidR="009238DB"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注：本基金建仓期为自基金合同生效日起的6个月。截至建仓期结束，本基金各项资产配置比例符合基金合同及招募说明书有关投资比例的约定。</w:t>
      </w:r>
    </w:p>
    <w:p w:rsidP="007C14DF" w:rsidR="0042785F" w:rsidRDefault="0042785F" w:rsidRPr="007F52FA">
      <w:pPr>
        <w:pStyle w:val="20"/>
        <w:spacing w:before="29" w:line="288" w:lineRule="auto"/>
        <w:ind w:firstLine="0" w:firstLineChars="0"/>
        <w:rPr>
          <w:rFonts w:ascii="Times New Roman" w:hAnsi="Times New Roman"/>
          <w:color w:val="000000"/>
        </w:rPr>
      </w:pPr>
    </w:p>
    <w:p w:rsidP="007C14DF" w:rsidR="009238DB" w:rsidRDefault="009238DB" w:rsidRPr="007F52FA">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交银优择回报灵活配置混合C</w:t>
      </w:r>
    </w:p>
    <w:p w:rsidP="007C14DF" w:rsidR="00D12D04"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B="0" distL="0" distR="0" distT="0">
            <wp:extent cx="5731510" cy="3356610"/>
            <wp:effectExtent b="0" l="19050" r="2540" t="0"/>
            <wp:docPr descr="走势图2.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31510" cy="3356610"/>
                    </a:xfrm>
                    <a:prstGeom prst="rect">
                      <a:avLst/>
                    </a:prstGeom>
                  </pic:spPr>
                </pic:pic>
              </a:graphicData>
            </a:graphic>
          </wp:inline>
        </w:drawing>
      </w:r>
    </w:p>
    <w:p w:rsidP="007C14DF" w:rsidR="0042785F"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注：本基金建仓期为自基金合同生效日起的6个月。截至建仓期结束，本基金各项资产配置比例符合基金合同及招募说明书有关投资比例的约定。</w:t>
      </w:r>
    </w:p>
    <w:p w:rsidP="007C14DF" w:rsidR="00757FD7" w:rsidRDefault="00757FD7" w:rsidRPr="007F52FA">
      <w:pPr>
        <w:spacing w:before="29" w:line="288" w:lineRule="auto"/>
        <w:ind w:firstLine="480" w:firstLineChars="200"/>
        <w:rPr>
          <w:color w:val="000000"/>
          <w:sz w:val="24"/>
        </w:rPr>
      </w:pPr>
      <w:r w:rsidRPr="007F52FA">
        <w:rPr>
          <w:color w:val="000000"/>
          <w:sz w:val="24"/>
        </w:rPr>
        <w:t/>
      </w:r>
      <w:r w:rsidR="00FE7FBD" w:rsidRPr="007F52FA">
        <w:rPr>
          <w:color w:val="000000"/>
          <w:sz w:val="24"/>
        </w:rPr>
        <w:t/>
      </w:r>
      <w:r w:rsidRPr="007F52FA">
        <w:rPr>
          <w:color w:val="000000"/>
          <w:sz w:val="24"/>
        </w:rPr>
        <w:t/>
      </w:r>
    </w:p>
    <w:p w:rsidP="007C14DF" w:rsidR="00973B57" w:rsidRDefault="00973B57" w:rsidRPr="007F52FA">
      <w:pPr>
        <w:pStyle w:val="20"/>
        <w:spacing w:before="29" w:line="288" w:lineRule="auto"/>
        <w:ind w:firstLine="0" w:firstLineChars="0"/>
        <w:jc w:val="left"/>
        <w:rPr>
          <w:rFonts w:ascii="Times New Roman" w:eastAsiaTheme="minorEastAsia" w:hAnsi="Times New Roman"/>
          <w:color w:val="000000"/>
        </w:rPr>
      </w:pPr>
    </w:p>
    <w:p w:rsidP="007C14DF" w:rsidR="006C5BC9" w:rsidRDefault="006C5BC9" w:rsidRPr="007F52FA">
      <w:pPr>
        <w:tabs>
          <w:tab w:pos="1800" w:val="left"/>
        </w:tabs>
        <w:spacing w:before="29" w:line="288" w:lineRule="auto"/>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6"/>
        <w:gridCol w:w="924"/>
        <w:gridCol w:w="1202"/>
        <w:gridCol w:w="1300"/>
        <w:gridCol w:w="1245"/>
        <w:gridCol w:w="3251"/>
      </w:tblGrid>
      <w:tr w:rsidR="00C41617" w:rsidRPr="007F52FA" w:rsidTr="00370FE2">
        <w:trPr>
          <w:jc w:val="center"/>
        </w:trPr>
        <w:tc>
          <w:tcPr>
            <w:tcW w:type="dxa" w:w="952"/>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type="dxa" w:w="930"/>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type="dxa" w:w="2519"/>
            <w:gridSpan w:val="2"/>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type="dxa" w:w="1254"/>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type="dxa" w:w="3276"/>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type="dxa" w:w="952"/>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930"/>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1210"/>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type="dxa" w:w="1309"/>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type="dxa" w:w="1254"/>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3276"/>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李娜</w:t>
            </w:r>
          </w:p>
        </w:tc>
        <w:tc>
          <w:tcPr>
            <w:vAlign w:val="center"/>
          </w:tcPr>
          <w:p>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vAlign w:val="center"/>
          </w:tcPr>
          <w:p>
            <w:pPr>
              <w:jc w:val="center"/>
            </w:pPr>
            <w:r>
              <w:rPr>
                <w:color w:val="000000"/>
                <w:sz w:val="24"/>
              </w:rPr>
              <w:t>2016-04-22</w:t>
            </w:r>
          </w:p>
        </w:tc>
        <w:tc>
          <w:tcPr>
            <w:vAlign w:val="center"/>
          </w:tcPr>
          <w:p>
            <w:pPr>
              <w:jc w:val="center"/>
            </w:pPr>
            <w:r>
              <w:rPr>
                <w:color w:val="000000"/>
                <w:sz w:val="24"/>
              </w:rPr>
              <w:t>-</w:t>
            </w:r>
          </w:p>
        </w:tc>
        <w:tc>
          <w:tcPr>
            <w:vAlign w:val="center"/>
          </w:tcPr>
          <w:p>
            <w:pPr>
              <w:jc w:val="center"/>
            </w:pPr>
            <w:r>
              <w:rPr>
                <w:color w:val="000000"/>
                <w:sz w:val="24"/>
              </w:rPr>
              <w:t>10年</w:t>
            </w:r>
          </w:p>
        </w:tc>
        <w:tc>
          <w:tcPr>
            <w:vAlign w:val="center"/>
          </w:tcPr>
          <w:p>
            <w:pPr>
              <w:jc w:val="both"/>
            </w:pPr>
            <w:r>
              <w:rPr>
                <w:color w:val="000000"/>
                <w:sz w:val="24"/>
              </w:rPr>
              <w:t>李娜女士，美国宾夕法尼亚大学应用数学与计算科学硕士。历任国泰基金管理有限公司研究员。2012年加入交银施罗德基金管理有限公司，历任债券分析师、基金经理助理。2017年3月2日至2018年4月10日担任交银施罗德瑞安定期开放灵活配置混合型证券投资基金基金经理。2017年2月24日至2018年7月18日担任交银施罗德瑞利定期开放灵活配置混合型证券投资基金的基金经理。2017年3月31日至2018年8月23日担任交银施罗德启通灵活配置混合型证券投资基金的基金经理。2016年12月21日至2018年11月16日担任交银施罗德瑞景定期开放灵活配置混合型证券投资基金的基金经理。2016年2月17日至2018年12月7日担任交银施罗德卓越回报灵活配置混合型证券投资基金的基金经理。2016年9月13日至2019年1月21日担任交银施罗德领先回报灵活配置混合型证券投资基金的基金经理。</w:t>
            </w:r>
          </w:p>
        </w:tc>
      </w:tr>
      <w:tr>
        <w:tc>
          <w:tcPr>
            <w:vAlign w:val="center"/>
          </w:tcPr>
          <w:p>
            <w:pPr>
              <w:jc w:val="center"/>
            </w:pPr>
            <w:r>
              <w:rPr>
                <w:color w:val="000000"/>
                <w:sz w:val="24"/>
              </w:rPr>
              <w:t>凌超</w:t>
            </w:r>
          </w:p>
        </w:tc>
        <w:tc>
          <w:tcPr>
            <w:vAlign w:val="center"/>
          </w:tcPr>
          <w:p>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公募)投资副总监</w:t>
            </w:r>
          </w:p>
        </w:tc>
        <w:tc>
          <w:tcPr>
            <w:vAlign w:val="center"/>
          </w:tcPr>
          <w:p>
            <w:pPr>
              <w:jc w:val="center"/>
            </w:pPr>
            <w:r>
              <w:rPr>
                <w:color w:val="000000"/>
                <w:sz w:val="24"/>
              </w:rPr>
              <w:t>2019-07-20</w:t>
            </w:r>
          </w:p>
        </w:tc>
        <w:tc>
          <w:tcPr>
            <w:vAlign w:val="center"/>
          </w:tcPr>
          <w:p>
            <w:pPr>
              <w:jc w:val="center"/>
            </w:pPr>
            <w:r>
              <w:rPr>
                <w:color w:val="000000"/>
                <w:sz w:val="24"/>
              </w:rPr>
              <w:t>-</w:t>
            </w:r>
          </w:p>
        </w:tc>
        <w:tc>
          <w:tcPr>
            <w:vAlign w:val="center"/>
          </w:tcPr>
          <w:p>
            <w:pPr>
              <w:jc w:val="center"/>
            </w:pPr>
            <w:r>
              <w:rPr>
                <w:color w:val="000000"/>
                <w:sz w:val="24"/>
              </w:rPr>
              <w:t>14年</w:t>
            </w:r>
          </w:p>
        </w:tc>
        <w:tc>
          <w:tcPr>
            <w:vAlign w:val="center"/>
          </w:tcPr>
          <w:p>
            <w:pPr>
              <w:jc w:val="both"/>
            </w:pPr>
            <w:r>
              <w:rPr>
                <w:color w:val="000000"/>
                <w:sz w:val="24"/>
              </w:rPr>
              <w:t>凌超先生，华中科技大学数量经济学硕士、武汉科技大学信息与计算科学学士。2006年至2009年任长江证券股份有限公司研究员、投资经理，2009年至2012年任光大保德信基金有限管理公司研究员、基金助理、基金经理，2012年至2016年任海富通基金管理有限公司投资顾问、基金经理，2016年至2017年任天弘基金管理有限公司固定收益部副总经理、基金经理。2010年8月31日至2012年3月1日任光大保德信货币市场基金基金经理，2013年12月19日至2016年1月12日任海富通一年定期开放债券型证券投资基金基金经理，2014年4月2日至2016年1月12日任海富通纯债债券型证券投资基金基金经理，2014年12月1日至2016年1月12日任海富通稳固收益债券型证券投资基金基金经理，2016年5月14日至2017年7月13日任天弘弘利债券型证券投资基金基金经理，2016年5月14日至2017年7月13日任天弘裕利灵活配置混合型证券投资基金基金经理，2016年5月14日至2017年7月13日任天弘债券型发起式证券投资基金基金经理。2017年7月加入交银施罗德基金管理有限公司。2019年2月28日至2019年5月30日担任转型前的交银施罗德荣祥保本混合型证券投资基金的基金经理。</w:t>
            </w:r>
          </w:p>
        </w:tc>
      </w:tr>
    </w:tbl>
    <w:p w:rsidP="007C14DF" w:rsidR="009238DB" w:rsidRDefault="00062E1F" w:rsidRPr="007F52FA">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P="007C14DF" w:rsidR="005C7D00" w:rsidRDefault="005C7D00" w:rsidRPr="007F52FA">
      <w:pPr>
        <w:pStyle w:val="20"/>
        <w:spacing w:before="29" w:line="288" w:lineRule="auto"/>
        <w:ind w:firstLine="0" w:firstLineChars="0"/>
        <w:rPr>
          <w:rFonts w:ascii="Times New Roman" w:eastAsiaTheme="minorEastAsia" w:hAnsi="Times New Roman"/>
          <w:color w:val="auto"/>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P="007C14DF" w:rsidR="009238DB" w:rsidRDefault="00323F25" w:rsidRPr="007F52FA">
      <w:pPr>
        <w:spacing w:before="29" w:line="288" w:lineRule="auto"/>
        <w:ind w:firstLine="480" w:firstLineChars="20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P="007C14DF" w:rsidR="00D15733" w:rsidRDefault="00D15733" w:rsidRPr="007F52FA">
      <w:pPr>
        <w:spacing w:before="29" w:line="288" w:lineRule="auto"/>
        <w:rPr>
          <w:sz w:val="24"/>
        </w:rPr>
      </w:pPr>
      <w:smartTag w:element="chsdate" w:uri="urn:schemas-microsoft-com:office:smarttags">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7C14DF" w:rsidR="00D15733" w:rsidRDefault="00323F25" w:rsidRPr="007F52FA">
      <w:pPr>
        <w:spacing w:before="29" w:line="288" w:lineRule="auto"/>
        <w:ind w:firstLine="480" w:firstLineChars="200"/>
        <w:rPr>
          <w:color w:val="000000"/>
          <w:sz w:val="24"/>
        </w:rPr>
      </w:pPr>
      <w:r w:rsidRPr="007F52FA">
        <w:rPr>
          <w:color w:val="000000"/>
          <w:sz w:val="24"/>
        </w:rPr>
        <w:t>报告期内本公司严格执行公平交易制度，公平对待旗下各投资组合，未发现任何违反公平交易的行为。</w:t>
      </w:r>
    </w:p>
    <w:p w:rsidP="007C14DF" w:rsidR="00D15733" w:rsidRDefault="00D15733" w:rsidRPr="007F52FA">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P="007C14DF" w:rsidR="00D15733" w:rsidRDefault="00323F25" w:rsidRPr="007F52FA">
      <w:pPr>
        <w:spacing w:before="29" w:line="288" w:lineRule="auto"/>
        <w:ind w:firstLine="480" w:firstLineChars="20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债券市场初期走势仍然较为火热，但随着后期资金面利率水平上行、央行货币政策防空转及经济逐步复苏的影响，收益率呈现先下后上的V型走势。四月，因市场资金面仍然相对宽裕，国外新冠病情持续发酵，受悲观预期影响，债市仍在持续火热。但步入五月伊始，国内疫情逐步控制，经济逐步恢复企稳，央行开始关注资金空转的影响，引导资金利率水平上行，政策开始趋向精准投放以提高信用派生的针对性和有效性，债券收益率开始触底回升；进入六月，经济持续恢复，资金利率水平维持在高位，信用派生政策持续发力，债券利率持续上行后，逐步进入高位震荡状态。</w:t>
      </w:r>
    </w:p>
    <w:p>
      <w:pPr>
        <w:spacing w:before="29" w:line="288" w:lineRule="auto"/>
        <w:ind w:firstLine="480" w:firstLineChars="200"/>
        <w:rPr>
          <w:color w:val="000000"/>
          <w:sz w:val="24"/>
        </w:rPr>
      </w:pPr>
      <w:r>
        <w:rPr>
          <w:color w:val="000000"/>
          <w:sz w:val="24"/>
        </w:rPr>
        <w:t>二季度，权益市场走势较为良好，在经济逐步企稳恢复、全球流动性同时宽裕的背景下，主要指数表现趋势上涨的势头，特别是创业板指数更是持续上行并创出年内新高。在四月，市场逐步企稳恢复，消费医药和业绩较好的科技类个股表现突出，五月国内经济逐步恢复，经济托底相关政策也不断出台，市场出现进一步回暖，医药消费、消费电子龙头品种、新能源汽车产业链等品种均表现亮眼。步入六月之后，虽然国外疫情仍然持续，但各国主要股指均进一步回升，部分指数甚至接近大跌之前的位置。A股主要指数也大幅恢复，创业板指数更是创下年内新高。</w:t>
      </w:r>
    </w:p>
    <w:p>
      <w:pPr>
        <w:spacing w:before="29" w:line="288" w:lineRule="auto"/>
        <w:ind w:firstLine="480" w:firstLineChars="200"/>
        <w:rPr>
          <w:color w:val="000000"/>
          <w:sz w:val="24"/>
        </w:rPr>
      </w:pPr>
      <w:r>
        <w:rPr>
          <w:color w:val="000000"/>
          <w:sz w:val="24"/>
        </w:rPr>
        <w:t>在基金操作中，债券部分我们维持中短久期高等级信用债的底仓配置，以获取稳定的票息收益。权益方面，随着市场逐步回暖，在总体稳健的基础上，将持仓结构调整得更加平衡。此外，组合积极参与权益及转债的一级申购，以增厚组合收益。</w:t>
      </w:r>
    </w:p>
    <w:p w:rsidP="007C14DF" w:rsidR="00952A72" w:rsidRDefault="00323F25" w:rsidRPr="007F52FA">
      <w:pPr>
        <w:spacing w:before="29" w:line="288" w:lineRule="auto"/>
        <w:ind w:firstLine="480" w:firstLineChars="200"/>
        <w:rPr>
          <w:color w:val="000000"/>
          <w:sz w:val="24"/>
        </w:rPr>
      </w:pPr>
      <w:r w:rsidRPr="007F52FA">
        <w:rPr>
          <w:color w:val="000000"/>
          <w:sz w:val="24"/>
        </w:rPr>
        <w:t>展望2020年三季度，随着经济的逐步复苏，新冠疫情影响的逐步趋弱，债券预期将维持震荡的格局。目前来看，政策带来的经济复苏更多是出于对冲经济下滑幅度和就业维持稳定的良好状态，在不出现政策大幅度向投资转向的背景下，经济向上弹性较弱，债券收益率暂时看不到太大的上行空间。由于经济目前仍在复苏过程之中，货币政策短期进一步宽松的可能性下降，债市在目前收益率水平下趋于震荡的概率偏大。未来基金将维持底仓配置中短久期高等级信用债品种，以获取票息收益，并根据市场变化动态调整组合久期。权益方面，我们将继续维持稳健品种配置，保持对景气度较高行业投资机会的关注。同时我们将继续积极参加权益及转债的一级申购，以期增厚组合收益。</w:t>
      </w:r>
    </w:p>
    <w:p w:rsidP="007C14DF" w:rsidR="00EC41BC" w:rsidRDefault="00EC41BC" w:rsidRPr="007F52FA">
      <w:pPr>
        <w:spacing w:before="29" w:line="288" w:lineRule="auto"/>
        <w:ind w:firstLine="480" w:firstLineChars="200"/>
        <w:rPr>
          <w:color w:val="00000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P="007C14DF" w:rsidR="00952A72" w:rsidRDefault="00323F25" w:rsidRPr="007F52FA">
      <w:pPr>
        <w:spacing w:before="29" w:line="288" w:lineRule="auto"/>
        <w:ind w:firstLine="480" w:firstLineChars="200"/>
        <w:rPr>
          <w:color w:val="000000"/>
          <w:sz w:val="24"/>
        </w:rPr>
      </w:pPr>
      <w:r w:rsidRPr="007F52FA">
        <w:rPr>
          <w:color w:val="000000"/>
          <w:sz w:val="24"/>
        </w:rPr>
        <w:t>本基金（各类）份额净值及业绩表现请见“3.1主要财务指标” 及“3.2.1 本报告期基金份额净值增长率及其与同期业绩比较基准收益率的比较”部分披露。</w:t>
      </w:r>
    </w:p>
    <w:p w:rsidP="007C14DF" w:rsidR="00400FA6" w:rsidRDefault="00400FA6" w:rsidRPr="007F52FA">
      <w:pPr>
        <w:spacing w:before="29" w:line="288" w:lineRule="auto"/>
        <w:ind w:firstLine="480" w:firstLineChars="200"/>
        <w:rPr>
          <w:color w:val="000000"/>
          <w:sz w:val="24"/>
        </w:rPr>
      </w:pPr>
    </w:p>
    <w:p w:rsidP="00274444" w:rsidR="00274444" w:rsidRDefault="00274444"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274444" w:rsidR="00274444" w:rsidRDefault="00274444">
      <w:pPr>
        <w:spacing w:before="29" w:line="288" w:lineRule="auto"/>
        <w:ind w:firstLine="480" w:firstLineChars="200"/>
        <w:rPr>
          <w:color w:val="000000"/>
          <w:sz w:val="24"/>
        </w:rPr>
      </w:pPr>
      <w:r w:rsidRPr="002070B4">
        <w:rPr>
          <w:color w:val="000000"/>
          <w:sz w:val="24"/>
        </w:rPr>
        <w:t>本基金本报告期内无需预警说明。</w:t>
      </w:r>
    </w:p>
    <w:p w:rsidP="007C14DF" w:rsidR="00400FA6" w:rsidRDefault="00400FA6" w:rsidRPr="007F52FA">
      <w:pPr>
        <w:spacing w:before="29" w:line="288" w:lineRule="auto"/>
        <w:ind w:firstLine="480" w:firstLineChars="200"/>
        <w:rPr>
          <w:color w:val="000000"/>
          <w:sz w:val="24"/>
        </w:rPr>
      </w:pPr>
    </w:p>
    <w:p w:rsidP="000A2988" w:rsidR="009238DB" w:rsidRDefault="009238DB" w:rsidRPr="007C6127">
      <w:pPr>
        <w:pStyle w:val="1"/>
        <w:spacing w:after="312" w:afterLines="100" w:before="312" w:beforeLines="100"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P="00C51B4E" w:rsidR="00C51B4E" w:rsidRDefault="00C51B4E">
      <w:pPr>
        <w:autoSpaceDE w:val="0"/>
        <w:autoSpaceDN w:val="0"/>
        <w:adjustRightInd w:val="0"/>
        <w:spacing w:line="360" w:lineRule="auto"/>
        <w:jc w:val="left"/>
        <w:rPr>
          <w:rFonts w:eastAsiaTheme="minorEastAsia"/>
          <w:b/>
          <w:color w:themeColor="text1" w:val="000000"/>
          <w:kern w:val="0"/>
          <w:sz w:val="24"/>
        </w:rPr>
      </w:pPr>
      <w:r w:rsidRPr="0028293E">
        <w:rPr>
          <w:rFonts w:eastAsiaTheme="minorEastAsia"/>
          <w:b/>
          <w:color w:themeColor="text1" w:val="000000"/>
          <w:kern w:val="0"/>
          <w:sz w:val="24"/>
        </w:rPr>
        <w:t xml:space="preserve">5.1 </w:t>
      </w:r>
      <w:r w:rsidRPr="0028293E">
        <w:rPr>
          <w:rFonts w:eastAsiaTheme="minorEastAsia"/>
          <w:b/>
          <w:color w:themeColor="text1" w:val="000000"/>
          <w:kern w:val="0"/>
          <w:sz w:val="24"/>
        </w:rPr>
        <w:t>报告期末基金资产组合情况</w:t>
      </w:r>
    </w:p>
    <w:p w:rsidP="001A5E45" w:rsidR="00610880" w:rsidRDefault="001A5E45" w:rsidRPr="0028293E">
      <w:pPr>
        <w:autoSpaceDE w:val="0"/>
        <w:autoSpaceDN w:val="0"/>
        <w:adjustRightInd w:val="0"/>
        <w:spacing w:line="360" w:lineRule="auto"/>
        <w:jc w:val="right"/>
        <w:rPr>
          <w:rFonts w:eastAsiaTheme="minorEastAsia"/>
          <w:b/>
          <w:color w:themeColor="text1" w:val="000000"/>
          <w:kern w:val="0"/>
          <w:sz w:val="24"/>
        </w:rPr>
      </w:pPr>
      <w:r w:rsidRPr="001A5E45">
        <w:rPr>
          <w:rFonts w:hint="eastAsia"/>
          <w:color w:val="000000"/>
          <w:kern w:val="0"/>
        </w:rPr>
        <w:t/>
      </w:r>
      <w:r w:rsidRPr="001A5E45">
        <w:rPr>
          <w:rFonts w:hint="eastAsia"/>
          <w:color w:val="000000"/>
          <w:kern w:val="0"/>
        </w:rPr>
        <w:t>金额单位：人民币元</w:t>
      </w:r>
    </w:p>
    <w:tbl>
      <w:tblPr>
        <w:tblStyle w:val="af2"/>
        <w:tblW w:type="dxa" w:w="8897"/>
        <w:tblInd w:type="dxa" w:w="108"/>
        <w:tblLayout w:type="fixed"/>
        <w:tblLook w:firstColumn="1" w:firstRow="1" w:lastColumn="0" w:lastRow="0" w:noHBand="0" w:noVBand="1" w:val="04A0"/>
      </w:tblPr>
      <w:tblGrid>
        <w:gridCol w:w="720"/>
        <w:gridCol w:w="2824"/>
        <w:gridCol w:w="2552"/>
        <w:gridCol w:w="2801"/>
      </w:tblGrid>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序号</w:t>
            </w:r>
          </w:p>
        </w:tc>
        <w:tc>
          <w:tcPr>
            <w:tcW w:type="dxa" w:w="2824"/>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项目</w:t>
            </w:r>
          </w:p>
        </w:tc>
        <w:tc>
          <w:tcPr>
            <w:tcW w:type="dxa" w:w="2552"/>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金额</w:t>
            </w:r>
          </w:p>
        </w:tc>
        <w:tc>
          <w:tcPr>
            <w:tcW w:type="dxa" w:w="2801"/>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占基金总资产的比例</w:t>
            </w:r>
            <w:r w:rsidR="005D2D89">
              <w:rPr>
                <w:rFonts w:eastAsiaTheme="minorEastAsia" w:hint="eastAsia"/>
                <w:color w:themeColor="text1" w:val="000000"/>
                <w:sz w:val="24"/>
              </w:rPr>
              <w:t>（</w:t>
            </w:r>
            <w:r w:rsidR="005D2D89">
              <w:rPr>
                <w:rFonts w:eastAsiaTheme="minorEastAsia" w:hint="eastAsia"/>
                <w:color w:themeColor="text1" w:val="000000"/>
                <w:sz w:val="24"/>
              </w:rPr>
              <w:t>%</w:t>
            </w:r>
            <w:r w:rsidR="005D2D89">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1</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权益投资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141,228,231.86</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13.63</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其中：股票</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141,228,231.86</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13.63</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2</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ascii="宋体" w:hAnsi="宋体" w:hint="eastAsia"/>
                <w:sz w:val="24"/>
              </w:rPr>
              <w:t>基金投资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3</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固定收益投资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822,144,710.20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79.33</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其中：债券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822,144,710.20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79.33</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8293E" w:rsidR="00C51B4E" w:rsidRDefault="00C51B4E" w:rsidRPr="0028293E">
            <w:pPr>
              <w:autoSpaceDE w:val="0"/>
              <w:autoSpaceDN w:val="0"/>
              <w:adjustRightInd w:val="0"/>
              <w:spacing w:before="29" w:line="360" w:lineRule="auto"/>
              <w:ind w:firstLine="720" w:firstLineChars="300" w:left="17"/>
              <w:jc w:val="left"/>
              <w:rPr>
                <w:rFonts w:eastAsiaTheme="minorEastAsia"/>
                <w:color w:themeColor="text1" w:val="000000"/>
                <w:sz w:val="24"/>
              </w:rPr>
            </w:pPr>
            <w:r w:rsidRPr="0028293E">
              <w:rPr>
                <w:rFonts w:eastAsiaTheme="minorEastAsia"/>
                <w:color w:themeColor="text1" w:val="000000"/>
                <w:sz w:val="24"/>
              </w:rPr>
              <w:t>资产支持证券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4</w:t>
            </w:r>
          </w:p>
        </w:tc>
        <w:tc>
          <w:tcPr>
            <w:tcW w:type="dxa" w:w="2824"/>
            <w:vAlign w:val="center"/>
          </w:tcPr>
          <w:p w:rsidP="002D2971" w:rsidR="00C51B4E" w:rsidRDefault="00C51B4E" w:rsidRPr="0028293E">
            <w:pPr>
              <w:spacing w:before="29" w:line="360" w:lineRule="auto"/>
              <w:ind w:left="105" w:leftChars="50"/>
              <w:rPr>
                <w:rFonts w:eastAsiaTheme="minorEastAsia"/>
                <w:color w:themeColor="text1" w:val="000000"/>
                <w:sz w:val="24"/>
              </w:rPr>
            </w:pPr>
            <w:r w:rsidRPr="0028293E">
              <w:rPr>
                <w:rFonts w:eastAsiaTheme="minorEastAsia"/>
                <w:color w:themeColor="text1" w:val="000000"/>
                <w:sz w:val="24"/>
              </w:rPr>
              <w:t>贵金属投资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
            </w:r>
            <w:r w:rsidRPr="0028293E">
              <w:rPr>
                <w:rFonts w:eastAsiaTheme="minorEastAsia"/>
                <w:color w:themeColor="text1" w:val="000000"/>
                <w:sz w:val="24"/>
              </w:rPr>
              <w:lastRenderedPageBreak/>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lastRenderedPageBreak/>
              <w:t/>
            </w:r>
            <w:r w:rsidRPr="0028293E">
              <w:rPr>
                <w:rFonts w:eastAsiaTheme="minorEastAsia"/>
                <w:color w:themeColor="text1" w:val="000000"/>
                <w:sz w:val="24"/>
              </w:rPr>
              <w:lastRenderedPageBreak/>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lastRenderedPageBreak/>
              <w:t>5</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金融衍生品投资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6</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其中：买断式回购的买入返售金融资产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7</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银行存款和结算备付金合计</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60,993,511.79</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5.89</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8</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其他各项资产</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12,025,436.34</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1.16</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9</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合计</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1,036,391,890.19</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100.00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P="001A5D39" w:rsidR="001A5D39" w:rsidRDefault="001A5D39">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1A5E45" w:rsidR="005F69E7" w:rsidRDefault="001A5E45" w:rsidRPr="005F69E7">
      <w:pPr>
        <w:jc w:val="right"/>
        <w:rPr>
          <w:sz w:val="24"/>
        </w:rPr>
      </w:pPr>
      <w:r w:rsidRPr="001A5E45">
        <w:rPr>
          <w:rFonts w:hint="eastAsia"/>
          <w:sz w:val="24"/>
        </w:rPr>
        <w:t/>
      </w:r>
      <w:r w:rsidRPr="001A5E45">
        <w:rPr>
          <w:rFonts w:hint="eastAsia"/>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113"/>
          <w:right w:type="dxa" w:w="113"/>
        </w:tblCellMar>
        <w:tblLook w:firstColumn="0" w:firstRow="0" w:lastColumn="0" w:lastRow="0" w:noHBand="0" w:noVBand="0" w:val="0000"/>
      </w:tblPr>
      <w:tblGrid>
        <w:gridCol w:w="772"/>
        <w:gridCol w:w="3525"/>
        <w:gridCol w:w="2897"/>
        <w:gridCol w:w="1674"/>
      </w:tblGrid>
      <w:tr w:rsidR="005F458B" w:rsidRPr="007F52FA" w:rsidTr="004D7E11">
        <w:trPr>
          <w:trHeight w:val="390"/>
          <w:jc w:val="center"/>
        </w:trPr>
        <w:tc>
          <w:tcPr>
            <w:tcW w:type="dxa" w:w="772"/>
            <w:tcBorders>
              <w:top w:color="000000" w:space="0" w:sz="4" w:val="single"/>
              <w:left w:color="000000" w:space="0" w:sz="4" w:val="single"/>
              <w:bottom w:color="000000" w:space="0" w:sz="4" w:val="single"/>
              <w:right w:color="000000" w:space="0" w:sz="4" w:val="single"/>
            </w:tcBorders>
            <w:vAlign w:val="center"/>
          </w:tcPr>
          <w:p w:rsidP="007C14DF" w:rsidR="005F458B" w:rsidRDefault="005F458B" w:rsidRPr="007F52FA">
            <w:pPr>
              <w:adjustRightInd w:val="0"/>
              <w:snapToGrid w:val="0"/>
              <w:spacing w:before="29" w:line="288" w:lineRule="auto"/>
              <w:jc w:val="center"/>
              <w:rPr>
                <w:sz w:val="24"/>
              </w:rPr>
            </w:pPr>
            <w:r w:rsidRPr="007F52FA">
              <w:rPr>
                <w:sz w:val="24"/>
              </w:rPr>
              <w:t>代码</w:t>
            </w:r>
            <w:r w:rsidR="00FA0527" w:rsidRPr="007F52FA">
              <w:rPr>
                <w:sz w:val="24"/>
              </w:rPr>
              <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行业类别</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1A5E45" w:rsidRPr="007F52FA">
            <w:pPr>
              <w:adjustRightInd w:val="0"/>
              <w:snapToGrid w:val="0"/>
              <w:spacing w:before="29" w:line="288" w:lineRule="auto"/>
              <w:jc w:val="center"/>
              <w:rPr>
                <w:sz w:val="24"/>
              </w:rPr>
            </w:pPr>
            <w:r>
              <w:rPr>
                <w:sz w:val="24"/>
              </w:rPr>
              <w:t>公允价值</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A</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农、林、牧、渔业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B</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采矿业</w:t>
            </w:r>
          </w:p>
        </w:tc>
        <w:tc>
          <w:tcPr>
            <w:tcW w:type="dxa" w:w="2897"/>
            <w:tcBorders>
              <w:top w:color="000000" w:space="0" w:sz="4" w:val="single"/>
              <w:left w:color="auto" w:space="0" w:sz="4" w:val="single"/>
              <w:bottom w:color="000000" w:space="0" w:sz="4" w:val="single"/>
              <w:right w:color="000000" w:space="0" w:sz="4" w:val="single"/>
            </w:tcBorders>
            <w:vAlign w:val="center"/>
          </w:tcPr>
          <w:p w:rsidP="00DF744A" w:rsidR="005F458B" w:rsidRDefault="005F458B" w:rsidRPr="007F52FA">
            <w:pPr>
              <w:spacing w:before="29" w:line="288" w:lineRule="auto"/>
              <w:jc w:val="right"/>
              <w:rPr>
                <w:sz w:val="24"/>
              </w:rPr>
            </w:pPr>
            <w:r w:rsidRPr="007F52FA">
              <w:rPr>
                <w:sz w:val="24"/>
              </w:rPr>
              <w:t>2,281,804.00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DF744A" w:rsidR="005F458B" w:rsidRDefault="005F458B" w:rsidRPr="007F52FA">
            <w:pPr>
              <w:spacing w:before="29" w:line="288" w:lineRule="auto"/>
              <w:jc w:val="right"/>
              <w:rPr>
                <w:sz w:val="24"/>
              </w:rPr>
            </w:pPr>
            <w:r w:rsidRPr="007F52FA">
              <w:rPr>
                <w:sz w:val="24"/>
              </w:rPr>
              <w:t>0.24</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C</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制造业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56,556,417.90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5.92</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D</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电力、热力、燃气及水生产和供应业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12,766.32</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0.00</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E</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建筑业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7,052,987.38</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0.74</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F</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批发和零售业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6,459,726.00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
            </w:r>
            <w:r w:rsidRPr="007F52FA">
              <w:rPr>
                <w:sz w:val="24"/>
              </w:rPr>
              <w:lastRenderedPageBreak/>
              <w:t>0.68</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lastRenderedPageBreak/>
              <w:t>G</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交通运输、仓储和邮政业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9,056,236.56</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0.95</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H</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住宿和餐饮业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240CA0">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I</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240CA0" w:rsidR="005F458B" w:rsidRDefault="005F458B" w:rsidRPr="007F52FA">
            <w:pPr>
              <w:adjustRightInd w:val="0"/>
              <w:snapToGrid w:val="0"/>
              <w:spacing w:before="29" w:line="288" w:lineRule="auto"/>
              <w:rPr>
                <w:sz w:val="24"/>
              </w:rPr>
            </w:pPr>
            <w:r w:rsidRPr="007F52FA">
              <w:rPr>
                <w:sz w:val="24"/>
              </w:rPr>
              <w:t>信息传输、软件和信息技术服务业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6,087,177.37</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0.64</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J</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金融业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29,818,308.73</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3.12</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K</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房地产业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19,695,830.00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2.06</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L</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租赁和商务服务业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M</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科学研究和技术服务业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lastRenderedPageBreak/>
              <w:t>N</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水利、环境和公共设施管理业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4,206,977.60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0.44</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O</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居民服务、修理和其他服务业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P</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教育</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Q</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卫生和社会工作</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R</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文化、体育和娱乐业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S</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综合</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合计</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141,228,231.86</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14.78</w:t>
            </w:r>
          </w:p>
        </w:tc>
      </w:tr>
    </w:tbl>
    <w:p w:rsidP="001A5D39" w:rsidR="001A5D39" w:rsidRDefault="001A5D39"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BE251D">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1A5D39" w:rsidR="001A5D39" w:rsidRDefault="001A5D39">
      <w:pPr>
        <w:spacing w:before="29" w:line="360" w:lineRule="auto"/>
        <w:ind w:left="17"/>
        <w:rPr>
          <w:color w:val="000000"/>
          <w:sz w:val="24"/>
        </w:rPr>
      </w:pPr>
      <w:r w:rsidRPr="00FF0BBF">
        <w:rPr>
          <w:color w:val="000000"/>
          <w:sz w:val="24"/>
        </w:rPr>
        <w:t>本基金本报告期末未持有通过港股通投资的股票。</w:t>
      </w:r>
    </w:p>
    <w:p w:rsidP="007C14DF" w:rsidR="009238DB" w:rsidRDefault="009238DB" w:rsidRPr="001A5D39">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850"/>
        <w:gridCol w:w="1327"/>
        <w:gridCol w:w="1769"/>
        <w:gridCol w:w="1327"/>
        <w:gridCol w:w="1915"/>
        <w:gridCol w:w="1680"/>
      </w:tblGrid>
      <w:tr w:rsidR="000871DB" w:rsidRPr="007F52FA" w:rsidTr="00481DB2">
        <w:trPr>
          <w:jc w:val="center"/>
        </w:trPr>
        <w:tc>
          <w:tcPr>
            <w:tcW w:type="dxa" w:w="817"/>
            <w:vAlign w:val="center"/>
          </w:tcPr>
          <w:p w:rsidP="007C14DF" w:rsidR="000871DB" w:rsidRDefault="000871DB" w:rsidRPr="007F52FA">
            <w:pPr>
              <w:spacing w:before="29" w:line="288" w:lineRule="auto"/>
              <w:ind w:left="17"/>
              <w:jc w:val="center"/>
              <w:rPr>
                <w:color w:val="000000"/>
                <w:sz w:val="24"/>
              </w:rPr>
            </w:pPr>
            <w:r w:rsidRPr="007F52FA">
              <w:rPr>
                <w:color w:val="000000"/>
                <w:sz w:val="24"/>
              </w:rPr>
              <w:t>序号</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股票代码</w:t>
            </w:r>
          </w:p>
        </w:tc>
        <w:tc>
          <w:tcPr>
            <w:tcW w:type="dxa" w:w="1701"/>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股票名称</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type="dxa" w:w="1842"/>
            <w:vAlign w:val="center"/>
          </w:tcPr>
          <w:p w:rsidP="007C14DF" w:rsidR="000871DB" w:rsidRDefault="000871DB" w:rsidRPr="007F52FA">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type="dxa" w:w="1616"/>
            <w:vAlign w:val="center"/>
          </w:tcPr>
          <w:p w:rsidP="007C14DF" w:rsidR="000871DB" w:rsidRDefault="000871DB" w:rsidRPr="007F52FA">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tc>
          <w:tcPr>
            <w:vAlign w:val="center"/>
          </w:tcPr>
          <w:p>
            <w:pPr>
              <w:jc w:val="center"/>
            </w:pPr>
            <w:r>
              <w:rPr>
                <w:color w:val="000000"/>
                <w:sz w:val="24"/>
              </w:rPr>
              <w:t>1</w:t>
            </w:r>
          </w:p>
        </w:tc>
        <w:tc>
          <w:tcPr>
            <w:vAlign w:val="center"/>
          </w:tcPr>
          <w:p>
            <w:pPr>
              <w:jc w:val="center"/>
            </w:pPr>
            <w:r>
              <w:rPr>
                <w:color w:val="000000"/>
                <w:sz w:val="24"/>
              </w:rPr>
              <w:t>600048</w:t>
            </w:r>
          </w:p>
        </w:tc>
        <w:tc>
          <w:tcPr>
            <w:vAlign w:val="center"/>
          </w:tcPr>
          <w:p>
            <w:pPr>
              <w:jc w:val="center"/>
            </w:pPr>
            <w:r>
              <w:rPr>
                <w:color w:val="000000"/>
                <w:sz w:val="24"/>
              </w:rPr>
              <w:t>保利地产</w:t>
            </w:r>
          </w:p>
        </w:tc>
        <w:tc>
          <w:tcPr>
            <w:vAlign w:val="center"/>
          </w:tcPr>
          <w:p>
            <w:pPr>
              <w:jc w:val="right"/>
            </w:pPr>
            <w:r>
              <w:rPr>
                <w:color w:val="000000"/>
                <w:sz w:val="24"/>
              </w:rPr>
              <w:t>1,049,800</w:t>
            </w:r>
          </w:p>
        </w:tc>
        <w:tc>
          <w:tcPr>
            <w:vAlign w:val="center"/>
          </w:tcPr>
          <w:p>
            <w:pPr>
              <w:jc w:val="right"/>
            </w:pPr>
            <w:r>
              <w:rPr>
                <w:color w:val="000000"/>
                <w:sz w:val="24"/>
              </w:rPr>
              <w:t>15,516,044.00</w:t>
            </w:r>
          </w:p>
        </w:tc>
        <w:tc>
          <w:tcPr>
            <w:vAlign w:val="center"/>
          </w:tcPr>
          <w:p>
            <w:pPr>
              <w:jc w:val="right"/>
            </w:pPr>
            <w:r>
              <w:rPr>
                <w:color w:val="000000"/>
                <w:sz w:val="24"/>
              </w:rPr>
              <w:t>1.62</w:t>
            </w:r>
          </w:p>
        </w:tc>
      </w:tr>
      <w:tr>
        <w:tc>
          <w:tcPr>
            <w:vAlign w:val="center"/>
          </w:tcPr>
          <w:p>
            <w:pPr>
              <w:jc w:val="center"/>
            </w:pPr>
            <w:r>
              <w:rPr>
                <w:color w:val="000000"/>
                <w:sz w:val="24"/>
              </w:rPr>
              <w:t>2</w:t>
            </w:r>
          </w:p>
        </w:tc>
        <w:tc>
          <w:tcPr>
            <w:vAlign w:val="center"/>
          </w:tcPr>
          <w:p>
            <w:pPr>
              <w:jc w:val="center"/>
            </w:pPr>
            <w:r>
              <w:rPr>
                <w:color w:val="000000"/>
                <w:sz w:val="24"/>
              </w:rPr>
              <w:t>601288</w:t>
            </w:r>
          </w:p>
        </w:tc>
        <w:tc>
          <w:tcPr>
            <w:vAlign w:val="center"/>
          </w:tcPr>
          <w:p>
            <w:pPr>
              <w:jc w:val="center"/>
            </w:pPr>
            <w:r>
              <w:rPr>
                <w:color w:val="000000"/>
                <w:sz w:val="24"/>
              </w:rPr>
              <w:t>农业银行</w:t>
            </w:r>
          </w:p>
        </w:tc>
        <w:tc>
          <w:tcPr>
            <w:vAlign w:val="center"/>
          </w:tcPr>
          <w:p>
            <w:pPr>
              <w:jc w:val="right"/>
            </w:pPr>
            <w:r>
              <w:rPr>
                <w:color w:val="000000"/>
                <w:sz w:val="24"/>
              </w:rPr>
              <w:t>3,275,900</w:t>
            </w:r>
          </w:p>
        </w:tc>
        <w:tc>
          <w:tcPr>
            <w:vAlign w:val="center"/>
          </w:tcPr>
          <w:p>
            <w:pPr>
              <w:jc w:val="right"/>
            </w:pPr>
            <w:r>
              <w:rPr>
                <w:color w:val="000000"/>
                <w:sz w:val="24"/>
              </w:rPr>
              <w:t>11,072,542.00</w:t>
            </w:r>
          </w:p>
        </w:tc>
        <w:tc>
          <w:tcPr>
            <w:vAlign w:val="center"/>
          </w:tcPr>
          <w:p>
            <w:pPr>
              <w:jc w:val="right"/>
            </w:pPr>
            <w:r>
              <w:rPr>
                <w:color w:val="000000"/>
                <w:sz w:val="24"/>
              </w:rPr>
              <w:t>1.16</w:t>
            </w:r>
          </w:p>
        </w:tc>
      </w:tr>
      <w:tr>
        <w:tc>
          <w:tcPr>
            <w:vAlign w:val="center"/>
          </w:tcPr>
          <w:p>
            <w:pPr>
              <w:jc w:val="center"/>
            </w:pPr>
            <w:r>
              <w:rPr>
                <w:color w:val="000000"/>
                <w:sz w:val="24"/>
              </w:rPr>
              <w:t>3</w:t>
            </w:r>
          </w:p>
        </w:tc>
        <w:tc>
          <w:tcPr>
            <w:vAlign w:val="center"/>
          </w:tcPr>
          <w:p>
            <w:pPr>
              <w:jc w:val="center"/>
            </w:pPr>
            <w:r>
              <w:rPr>
                <w:color w:val="000000"/>
                <w:sz w:val="24"/>
              </w:rPr>
              <w:t>002271</w:t>
            </w:r>
          </w:p>
        </w:tc>
        <w:tc>
          <w:tcPr>
            <w:vAlign w:val="center"/>
          </w:tcPr>
          <w:p>
            <w:pPr>
              <w:jc w:val="center"/>
            </w:pPr>
            <w:r>
              <w:rPr>
                <w:color w:val="000000"/>
                <w:sz w:val="24"/>
              </w:rPr>
              <w:t>东方雨虹</w:t>
            </w:r>
          </w:p>
        </w:tc>
        <w:tc>
          <w:tcPr>
            <w:vAlign w:val="center"/>
          </w:tcPr>
          <w:p>
            <w:pPr>
              <w:jc w:val="right"/>
            </w:pPr>
            <w:r>
              <w:rPr>
                <w:color w:val="000000"/>
                <w:sz w:val="24"/>
              </w:rPr>
              <w:t>267,429</w:t>
            </w:r>
          </w:p>
        </w:tc>
        <w:tc>
          <w:tcPr>
            <w:vAlign w:val="center"/>
          </w:tcPr>
          <w:p>
            <w:pPr>
              <w:jc w:val="right"/>
            </w:pPr>
            <w:r>
              <w:rPr>
                <w:color w:val="000000"/>
                <w:sz w:val="24"/>
              </w:rPr>
              <w:t>10,865,640.27</w:t>
            </w:r>
          </w:p>
        </w:tc>
        <w:tc>
          <w:tcPr>
            <w:vAlign w:val="center"/>
          </w:tcPr>
          <w:p>
            <w:pPr>
              <w:jc w:val="right"/>
            </w:pPr>
            <w:r>
              <w:rPr>
                <w:color w:val="000000"/>
                <w:sz w:val="24"/>
              </w:rPr>
              <w:t>1.14</w:t>
            </w:r>
          </w:p>
        </w:tc>
      </w:tr>
      <w:tr>
        <w:tc>
          <w:tcPr>
            <w:vAlign w:val="center"/>
          </w:tcPr>
          <w:p>
            <w:pPr>
              <w:jc w:val="center"/>
            </w:pPr>
            <w:r>
              <w:rPr>
                <w:color w:val="000000"/>
                <w:sz w:val="24"/>
              </w:rPr>
              <w:t>4</w:t>
            </w:r>
          </w:p>
        </w:tc>
        <w:tc>
          <w:tcPr>
            <w:vAlign w:val="center"/>
          </w:tcPr>
          <w:p>
            <w:pPr>
              <w:jc w:val="center"/>
            </w:pPr>
            <w:r>
              <w:rPr>
                <w:color w:val="000000"/>
                <w:sz w:val="24"/>
              </w:rPr>
              <w:t>600519</w:t>
            </w:r>
          </w:p>
        </w:tc>
        <w:tc>
          <w:tcPr>
            <w:vAlign w:val="center"/>
          </w:tcPr>
          <w:p>
            <w:pPr>
              <w:jc w:val="center"/>
            </w:pPr>
            <w:r>
              <w:rPr>
                <w:color w:val="000000"/>
                <w:sz w:val="24"/>
              </w:rPr>
              <w:t>贵州茅台</w:t>
            </w:r>
          </w:p>
        </w:tc>
        <w:tc>
          <w:tcPr>
            <w:vAlign w:val="center"/>
          </w:tcPr>
          <w:p>
            <w:pPr>
              <w:jc w:val="right"/>
            </w:pPr>
            <w:r>
              <w:rPr>
                <w:color w:val="000000"/>
                <w:sz w:val="24"/>
              </w:rPr>
              <w:t>5,000</w:t>
            </w:r>
          </w:p>
        </w:tc>
        <w:tc>
          <w:tcPr>
            <w:vAlign w:val="center"/>
          </w:tcPr>
          <w:p>
            <w:pPr>
              <w:jc w:val="right"/>
            </w:pPr>
            <w:r>
              <w:rPr>
                <w:color w:val="000000"/>
                <w:sz w:val="24"/>
              </w:rPr>
              <w:t>7,314,400.00</w:t>
            </w:r>
          </w:p>
        </w:tc>
        <w:tc>
          <w:tcPr>
            <w:vAlign w:val="center"/>
          </w:tcPr>
          <w:p>
            <w:pPr>
              <w:jc w:val="right"/>
            </w:pPr>
            <w:r>
              <w:rPr>
                <w:color w:val="000000"/>
                <w:sz w:val="24"/>
              </w:rPr>
              <w:t>0.77</w:t>
            </w:r>
          </w:p>
        </w:tc>
      </w:tr>
      <w:tr>
        <w:tc>
          <w:tcPr>
            <w:vAlign w:val="center"/>
          </w:tcPr>
          <w:p>
            <w:pPr>
              <w:jc w:val="center"/>
            </w:pPr>
            <w:r>
              <w:rPr>
                <w:color w:val="000000"/>
                <w:sz w:val="24"/>
              </w:rPr>
              <w:t>5</w:t>
            </w:r>
          </w:p>
        </w:tc>
        <w:tc>
          <w:tcPr>
            <w:vAlign w:val="center"/>
          </w:tcPr>
          <w:p>
            <w:pPr>
              <w:jc w:val="center"/>
            </w:pPr>
            <w:r>
              <w:rPr>
                <w:color w:val="000000"/>
                <w:sz w:val="24"/>
              </w:rPr>
              <w:t>601628</w:t>
            </w:r>
          </w:p>
        </w:tc>
        <w:tc>
          <w:tcPr>
            <w:vAlign w:val="center"/>
          </w:tcPr>
          <w:p>
            <w:pPr>
              <w:jc w:val="center"/>
            </w:pPr>
            <w:r>
              <w:rPr>
                <w:color w:val="000000"/>
                <w:sz w:val="24"/>
              </w:rPr>
              <w:t>中国人寿</w:t>
            </w:r>
          </w:p>
        </w:tc>
        <w:tc>
          <w:tcPr>
            <w:vAlign w:val="center"/>
          </w:tcPr>
          <w:p>
            <w:pPr>
              <w:jc w:val="right"/>
            </w:pPr>
            <w:r>
              <w:rPr>
                <w:color w:val="000000"/>
                <w:sz w:val="24"/>
              </w:rPr>
              <w:t>250,600</w:t>
            </w:r>
          </w:p>
        </w:tc>
        <w:tc>
          <w:tcPr>
            <w:vAlign w:val="center"/>
          </w:tcPr>
          <w:p>
            <w:pPr>
              <w:jc w:val="right"/>
            </w:pPr>
            <w:r>
              <w:rPr>
                <w:color w:val="000000"/>
                <w:sz w:val="24"/>
              </w:rPr>
              <w:t>6,818,826.00</w:t>
            </w:r>
          </w:p>
        </w:tc>
        <w:tc>
          <w:tcPr>
            <w:vAlign w:val="center"/>
          </w:tcPr>
          <w:p>
            <w:pPr>
              <w:jc w:val="right"/>
            </w:pPr>
            <w:r>
              <w:rPr>
                <w:color w:val="000000"/>
                <w:sz w:val="24"/>
              </w:rPr>
              <w:t>0.71</w:t>
            </w:r>
          </w:p>
        </w:tc>
      </w:tr>
      <w:tr>
        <w:tc>
          <w:tcPr>
            <w:vAlign w:val="center"/>
          </w:tcPr>
          <w:p>
            <w:pPr>
              <w:jc w:val="center"/>
            </w:pPr>
            <w:r>
              <w:rPr>
                <w:color w:val="000000"/>
                <w:sz w:val="24"/>
              </w:rPr>
              <w:t>6</w:t>
            </w:r>
          </w:p>
        </w:tc>
        <w:tc>
          <w:tcPr>
            <w:vAlign w:val="center"/>
          </w:tcPr>
          <w:p>
            <w:pPr>
              <w:jc w:val="center"/>
            </w:pPr>
            <w:r>
              <w:rPr>
                <w:color w:val="000000"/>
                <w:sz w:val="24"/>
              </w:rPr>
              <w:t>001965</w:t>
            </w:r>
          </w:p>
        </w:tc>
        <w:tc>
          <w:tcPr>
            <w:vAlign w:val="center"/>
          </w:tcPr>
          <w:p>
            <w:pPr>
              <w:jc w:val="center"/>
            </w:pPr>
            <w:r>
              <w:rPr>
                <w:color w:val="000000"/>
                <w:sz w:val="24"/>
              </w:rPr>
              <w:t>招商公路</w:t>
            </w:r>
          </w:p>
        </w:tc>
        <w:tc>
          <w:tcPr>
            <w:vAlign w:val="center"/>
          </w:tcPr>
          <w:p>
            <w:pPr>
              <w:jc w:val="right"/>
            </w:pPr>
            <w:r>
              <w:rPr>
                <w:color w:val="000000"/>
                <w:sz w:val="24"/>
              </w:rPr>
              <w:t>930,100</w:t>
            </w:r>
          </w:p>
        </w:tc>
        <w:tc>
          <w:tcPr>
            <w:vAlign w:val="center"/>
          </w:tcPr>
          <w:p>
            <w:pPr>
              <w:jc w:val="right"/>
            </w:pPr>
            <w:r>
              <w:rPr>
                <w:color w:val="000000"/>
                <w:sz w:val="24"/>
              </w:rPr>
              <w:t>6,259,573.00</w:t>
            </w:r>
          </w:p>
        </w:tc>
        <w:tc>
          <w:tcPr>
            <w:vAlign w:val="center"/>
          </w:tcPr>
          <w:p>
            <w:pPr>
              <w:jc w:val="right"/>
            </w:pPr>
            <w:r>
              <w:rPr>
                <w:color w:val="000000"/>
                <w:sz w:val="24"/>
              </w:rPr>
              <w:t>0.65</w:t>
            </w:r>
          </w:p>
        </w:tc>
      </w:tr>
      <w:tr>
        <w:tc>
          <w:tcPr>
            <w:vAlign w:val="center"/>
          </w:tcPr>
          <w:p>
            <w:pPr>
              <w:jc w:val="center"/>
            </w:pPr>
            <w:r>
              <w:rPr>
                <w:color w:val="000000"/>
                <w:sz w:val="24"/>
              </w:rPr>
              <w:t>7</w:t>
            </w:r>
          </w:p>
        </w:tc>
        <w:tc>
          <w:tcPr>
            <w:vAlign w:val="center"/>
          </w:tcPr>
          <w:p>
            <w:pPr>
              <w:jc w:val="center"/>
            </w:pPr>
            <w:r>
              <w:rPr>
                <w:color w:val="000000"/>
                <w:sz w:val="24"/>
              </w:rPr>
              <w:t>002475</w:t>
            </w:r>
          </w:p>
        </w:tc>
        <w:tc>
          <w:tcPr>
            <w:vAlign w:val="center"/>
          </w:tcPr>
          <w:p>
            <w:pPr>
              <w:jc w:val="center"/>
            </w:pPr>
            <w:r>
              <w:rPr>
                <w:color w:val="000000"/>
                <w:sz w:val="24"/>
              </w:rPr>
              <w:t>立讯精密</w:t>
            </w:r>
          </w:p>
        </w:tc>
        <w:tc>
          <w:tcPr>
            <w:vAlign w:val="center"/>
          </w:tcPr>
          <w:p>
            <w:pPr>
              <w:jc w:val="right"/>
            </w:pPr>
            <w:r>
              <w:rPr>
                <w:color w:val="000000"/>
                <w:sz w:val="24"/>
              </w:rPr>
              <w:t>112,057</w:t>
            </w:r>
          </w:p>
        </w:tc>
        <w:tc>
          <w:tcPr>
            <w:vAlign w:val="center"/>
          </w:tcPr>
          <w:p>
            <w:pPr>
              <w:jc w:val="right"/>
            </w:pPr>
            <w:r>
              <w:rPr>
                <w:color w:val="000000"/>
                <w:sz w:val="24"/>
              </w:rPr>
              <w:t>5,754,126.95</w:t>
            </w:r>
          </w:p>
        </w:tc>
        <w:tc>
          <w:tcPr>
            <w:vAlign w:val="center"/>
          </w:tcPr>
          <w:p>
            <w:pPr>
              <w:jc w:val="right"/>
            </w:pPr>
            <w:r>
              <w:rPr>
                <w:color w:val="000000"/>
                <w:sz w:val="24"/>
              </w:rPr>
              <w:t>0.60</w:t>
            </w:r>
          </w:p>
        </w:tc>
      </w:tr>
      <w:tr>
        <w:tc>
          <w:tcPr>
            <w:vAlign w:val="center"/>
          </w:tcPr>
          <w:p>
            <w:pPr>
              <w:jc w:val="center"/>
            </w:pPr>
            <w:r>
              <w:rPr>
                <w:color w:val="000000"/>
                <w:sz w:val="24"/>
              </w:rPr>
              <w:t>8</w:t>
            </w:r>
          </w:p>
        </w:tc>
        <w:tc>
          <w:tcPr>
            <w:vAlign w:val="center"/>
          </w:tcPr>
          <w:p>
            <w:pPr>
              <w:jc w:val="center"/>
            </w:pPr>
            <w:r>
              <w:rPr>
                <w:color w:val="000000"/>
                <w:sz w:val="24"/>
              </w:rPr>
              <w:t>601933</w:t>
            </w:r>
          </w:p>
        </w:tc>
        <w:tc>
          <w:tcPr>
            <w:vAlign w:val="center"/>
          </w:tcPr>
          <w:p>
            <w:pPr>
              <w:jc w:val="center"/>
            </w:pPr>
            <w:r>
              <w:rPr>
                <w:color w:val="000000"/>
                <w:sz w:val="24"/>
              </w:rPr>
              <w:t>永辉超市</w:t>
            </w:r>
          </w:p>
        </w:tc>
        <w:tc>
          <w:tcPr>
            <w:vAlign w:val="center"/>
          </w:tcPr>
          <w:p>
            <w:pPr>
              <w:jc w:val="right"/>
            </w:pPr>
            <w:r>
              <w:rPr>
                <w:color w:val="000000"/>
                <w:sz w:val="24"/>
              </w:rPr>
              <w:t>592,700</w:t>
            </w:r>
          </w:p>
        </w:tc>
        <w:tc>
          <w:tcPr>
            <w:vAlign w:val="center"/>
          </w:tcPr>
          <w:p>
            <w:pPr>
              <w:jc w:val="right"/>
            </w:pPr>
            <w:r>
              <w:rPr>
                <w:color w:val="000000"/>
                <w:sz w:val="24"/>
              </w:rPr>
              <w:t>5,559,526.00</w:t>
            </w:r>
          </w:p>
        </w:tc>
        <w:tc>
          <w:tcPr>
            <w:vAlign w:val="center"/>
          </w:tcPr>
          <w:p>
            <w:pPr>
              <w:jc w:val="right"/>
            </w:pPr>
            <w:r>
              <w:rPr>
                <w:color w:val="000000"/>
                <w:sz w:val="24"/>
              </w:rPr>
              <w:t>0.58</w:t>
            </w:r>
          </w:p>
        </w:tc>
      </w:tr>
      <w:tr>
        <w:tc>
          <w:tcPr>
            <w:vAlign w:val="center"/>
          </w:tcPr>
          <w:p>
            <w:pPr>
              <w:jc w:val="center"/>
            </w:pPr>
            <w:r>
              <w:rPr>
                <w:color w:val="000000"/>
                <w:sz w:val="24"/>
              </w:rPr>
              <w:t>9</w:t>
            </w:r>
          </w:p>
        </w:tc>
        <w:tc>
          <w:tcPr>
            <w:vAlign w:val="center"/>
          </w:tcPr>
          <w:p>
            <w:pPr>
              <w:jc w:val="center"/>
            </w:pPr>
            <w:r>
              <w:rPr>
                <w:color w:val="000000"/>
                <w:sz w:val="24"/>
              </w:rPr>
              <w:t>300059</w:t>
            </w:r>
          </w:p>
        </w:tc>
        <w:tc>
          <w:tcPr>
            <w:vAlign w:val="center"/>
          </w:tcPr>
          <w:p>
            <w:pPr>
              <w:jc w:val="center"/>
            </w:pPr>
            <w:r>
              <w:rPr>
                <w:color w:val="000000"/>
                <w:sz w:val="24"/>
              </w:rPr>
              <w:t>东方财富</w:t>
            </w:r>
          </w:p>
        </w:tc>
        <w:tc>
          <w:tcPr>
            <w:vAlign w:val="center"/>
          </w:tcPr>
          <w:p>
            <w:pPr>
              <w:jc w:val="right"/>
            </w:pPr>
            <w:r>
              <w:rPr>
                <w:color w:val="000000"/>
                <w:sz w:val="24"/>
              </w:rPr>
              <w:t>253,800</w:t>
            </w:r>
          </w:p>
        </w:tc>
        <w:tc>
          <w:tcPr>
            <w:vAlign w:val="center"/>
          </w:tcPr>
          <w:p>
            <w:pPr>
              <w:jc w:val="right"/>
            </w:pPr>
            <w:r>
              <w:rPr>
                <w:color w:val="000000"/>
                <w:sz w:val="24"/>
              </w:rPr>
              <w:t>5,126,760.00</w:t>
            </w:r>
          </w:p>
        </w:tc>
        <w:tc>
          <w:tcPr>
            <w:vAlign w:val="center"/>
          </w:tcPr>
          <w:p>
            <w:pPr>
              <w:jc w:val="right"/>
            </w:pPr>
            <w:r>
              <w:rPr>
                <w:color w:val="000000"/>
                <w:sz w:val="24"/>
              </w:rPr>
              <w:t>0.54</w:t>
            </w:r>
          </w:p>
        </w:tc>
      </w:tr>
      <w:tr>
        <w:tc>
          <w:tcPr>
            <w:vAlign w:val="center"/>
          </w:tcPr>
          <w:p>
            <w:pPr>
              <w:jc w:val="center"/>
            </w:pPr>
            <w:r>
              <w:rPr>
                <w:color w:val="000000"/>
                <w:sz w:val="24"/>
              </w:rPr>
              <w:t>10</w:t>
            </w:r>
          </w:p>
        </w:tc>
        <w:tc>
          <w:tcPr>
            <w:vAlign w:val="center"/>
          </w:tcPr>
          <w:p>
            <w:pPr>
              <w:jc w:val="center"/>
            </w:pPr>
            <w:r>
              <w:rPr>
                <w:color w:val="000000"/>
                <w:sz w:val="24"/>
              </w:rPr>
              <w:t>601398</w:t>
            </w:r>
          </w:p>
        </w:tc>
        <w:tc>
          <w:tcPr>
            <w:vAlign w:val="center"/>
          </w:tcPr>
          <w:p>
            <w:pPr>
              <w:jc w:val="center"/>
            </w:pPr>
            <w:r>
              <w:rPr>
                <w:color w:val="000000"/>
                <w:sz w:val="24"/>
              </w:rPr>
              <w:t>工商银行</w:t>
            </w:r>
          </w:p>
        </w:tc>
        <w:tc>
          <w:tcPr>
            <w:vAlign w:val="center"/>
          </w:tcPr>
          <w:p>
            <w:pPr>
              <w:jc w:val="right"/>
            </w:pPr>
            <w:r>
              <w:rPr>
                <w:color w:val="000000"/>
                <w:sz w:val="24"/>
              </w:rPr>
              <w:t>1,000,000</w:t>
            </w:r>
          </w:p>
        </w:tc>
        <w:tc>
          <w:tcPr>
            <w:vAlign w:val="center"/>
          </w:tcPr>
          <w:p>
            <w:pPr>
              <w:jc w:val="right"/>
            </w:pPr>
            <w:r>
              <w:rPr>
                <w:color w:val="000000"/>
                <w:sz w:val="24"/>
              </w:rPr>
              <w:t>4,980,000.00</w:t>
            </w:r>
          </w:p>
        </w:tc>
        <w:tc>
          <w:tcPr>
            <w:vAlign w:val="center"/>
          </w:tcPr>
          <w:p>
            <w:pPr>
              <w:jc w:val="right"/>
            </w:pPr>
            <w:r>
              <w:rPr>
                <w:color w:val="000000"/>
                <w:sz w:val="24"/>
              </w:rPr>
              <w:t>0.52</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P="001A5E45" w:rsidR="008220BF" w:rsidRDefault="001A5E45" w:rsidRPr="008220BF">
      <w:pPr>
        <w:autoSpaceDE w:val="0"/>
        <w:autoSpaceDN w:val="0"/>
        <w:adjustRightInd w:val="0"/>
        <w:spacing w:before="29" w:line="288" w:lineRule="auto"/>
        <w:jc w:val="right"/>
        <w:rPr>
          <w:color w:val="000000"/>
          <w:kern w:val="0"/>
          <w:sz w:val="24"/>
        </w:rPr>
      </w:pPr>
      <w:r w:rsidRPr="001A5E45">
        <w:rPr>
          <w:rFonts w:hint="eastAsia"/>
          <w:color w:val="000000"/>
          <w:kern w:val="0"/>
          <w:sz w:val="24"/>
        </w:rPr>
        <w:t/>
      </w:r>
      <w:r w:rsidRPr="001A5E45">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0"/>
        <w:gridCol w:w="3390"/>
        <w:gridCol w:w="2948"/>
        <w:gridCol w:w="1680"/>
      </w:tblGrid>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序号</w:t>
            </w:r>
          </w:p>
        </w:tc>
        <w:tc>
          <w:tcPr>
            <w:tcW w:type="dxa" w:w="3260"/>
            <w:vAlign w:val="center"/>
          </w:tcPr>
          <w:p w:rsidP="007C14DF" w:rsidR="00296E4A" w:rsidRDefault="00296E4A" w:rsidRPr="007F52FA">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type="dxa" w:w="2835"/>
            <w:vAlign w:val="center"/>
          </w:tcPr>
          <w:p w:rsidP="007C14DF" w:rsidR="00296E4A" w:rsidRDefault="00296E4A" w:rsidRPr="007F52FA">
            <w:pPr>
              <w:spacing w:before="29" w:line="288" w:lineRule="auto"/>
              <w:ind w:left="17"/>
              <w:jc w:val="center"/>
              <w:rPr>
                <w:color w:val="000000"/>
                <w:sz w:val="24"/>
              </w:rPr>
            </w:pPr>
            <w:r w:rsidRPr="007F52FA">
              <w:rPr>
                <w:color w:val="000000"/>
                <w:sz w:val="24"/>
              </w:rPr>
              <w:t>公允价值</w:t>
            </w:r>
          </w:p>
        </w:tc>
        <w:tc>
          <w:tcPr>
            <w:tcW w:type="dxa" w:w="1616"/>
            <w:vAlign w:val="center"/>
          </w:tcPr>
          <w:p w:rsidP="007C14DF" w:rsidR="00296E4A" w:rsidRDefault="00296E4A" w:rsidRPr="007F52FA">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1</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国家债券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33,030,507.00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lastRenderedPageBreak/>
              <w:t/>
            </w:r>
            <w:r w:rsidRPr="007F52FA">
              <w:rPr>
                <w:color w:val="000000"/>
                <w:sz w:val="24"/>
              </w:rPr>
              <w:lastRenderedPageBreak/>
              <w:t>3.46</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lastRenderedPageBreak/>
              <w:t>2</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央行票据</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3</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金融债券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34,841,203.20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3.65</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其中：政策性金融债</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34,841,203.20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3.65</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4</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409,453,000.00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42.84</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5</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20,010,000.00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2.09</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lastRenderedPageBreak/>
              <w:t>6</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中期票据</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324,810,000.00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33.98</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t>7</w:t>
            </w:r>
          </w:p>
        </w:tc>
        <w:tc>
          <w:tcPr>
            <w:tcW w:type="dxa" w:w="3260"/>
            <w:vAlign w:val="center"/>
          </w:tcPr>
          <w:p w:rsidP="007F50FB" w:rsidR="00686943" w:rsidRDefault="00686943" w:rsidRPr="007F52FA">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type="dxa" w:w="817"/>
            <w:vAlign w:val="center"/>
          </w:tcPr>
          <w:p w:rsidP="007C14DF" w:rsidR="00514118" w:rsidRDefault="00514118" w:rsidRPr="007F52FA">
            <w:pPr>
              <w:spacing w:before="29" w:line="288" w:lineRule="auto"/>
              <w:ind w:left="17"/>
              <w:jc w:val="center"/>
              <w:rPr>
                <w:color w:val="000000"/>
                <w:sz w:val="24"/>
              </w:rPr>
            </w:pPr>
            <w:r>
              <w:rPr>
                <w:rFonts w:hint="eastAsia"/>
                <w:color w:val="000000"/>
                <w:sz w:val="24"/>
              </w:rPr>
              <w:t>8</w:t>
            </w:r>
          </w:p>
        </w:tc>
        <w:tc>
          <w:tcPr>
            <w:tcW w:type="dxa" w:w="3260"/>
            <w:vAlign w:val="center"/>
          </w:tcPr>
          <w:p w:rsidP="007C14DF" w:rsidR="00514118" w:rsidRDefault="00B279B6" w:rsidRPr="007F52FA">
            <w:pPr>
              <w:spacing w:before="29" w:line="288" w:lineRule="auto"/>
              <w:ind w:left="17"/>
              <w:jc w:val="left"/>
              <w:rPr>
                <w:color w:val="000000"/>
                <w:sz w:val="24"/>
              </w:rPr>
            </w:pPr>
            <w:r w:rsidRPr="00AF0CAB">
              <w:rPr>
                <w:rFonts w:hint="eastAsia"/>
                <w:color w:val="000000"/>
                <w:sz w:val="24"/>
              </w:rPr>
              <w:t>同业存单</w:t>
            </w:r>
          </w:p>
        </w:tc>
        <w:tc>
          <w:tcPr>
            <w:tcW w:type="dxa" w:w="2835"/>
            <w:vAlign w:val="center"/>
          </w:tcPr>
          <w:p w:rsidP="007C14DF" w:rsidR="00514118" w:rsidRDefault="001936D7"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c>
          <w:tcPr>
            <w:tcW w:type="dxa" w:w="1616"/>
            <w:vAlign w:val="center"/>
          </w:tcPr>
          <w:p w:rsidP="007C14DF" w:rsidR="00514118" w:rsidRDefault="00FC6F53"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其他</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合计</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822,144,710.20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86.01</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P="001A5E45" w:rsidR="00D21CE9" w:rsidRDefault="001A5E45" w:rsidRPr="00D21CE9">
      <w:pPr>
        <w:autoSpaceDE w:val="0"/>
        <w:autoSpaceDN w:val="0"/>
        <w:adjustRightInd w:val="0"/>
        <w:spacing w:before="29" w:line="288" w:lineRule="auto"/>
        <w:jc w:val="right"/>
        <w:rPr>
          <w:color w:val="000000"/>
          <w:kern w:val="0"/>
          <w:sz w:val="24"/>
        </w:rPr>
      </w:pPr>
      <w:r w:rsidRPr="001A5E45">
        <w:rPr>
          <w:rFonts w:hint="eastAsia"/>
          <w:color w:val="000000"/>
          <w:kern w:val="0"/>
          <w:sz w:val="24"/>
        </w:rPr>
        <w:lastRenderedPageBreak/>
        <w:t/>
      </w:r>
      <w:r w:rsidRPr="001A5E45">
        <w:rPr>
          <w:rFonts w:hint="eastAsia"/>
          <w:color w:val="000000"/>
          <w:kern w:val="0"/>
          <w:sz w:val="24"/>
        </w:rPr>
        <w:t>金额单位：人民币元</w:t>
      </w:r>
    </w:p>
    <w:tbl>
      <w:tblPr>
        <w:tblStyle w:val="af2"/>
        <w:tblW w:type="dxa" w:w="8868"/>
        <w:jc w:val="center"/>
        <w:tblLayout w:type="fixed"/>
        <w:tblCellMar>
          <w:top w:type="dxa" w:w="57"/>
          <w:bottom w:type="dxa" w:w="57"/>
        </w:tblCellMar>
        <w:tblLook w:firstColumn="1" w:firstRow="1" w:lastColumn="0" w:lastRow="0" w:noHBand="0" w:noVBand="1" w:val="04A0"/>
      </w:tblPr>
      <w:tblGrid>
        <w:gridCol w:w="1075"/>
        <w:gridCol w:w="1533"/>
        <w:gridCol w:w="1533"/>
        <w:gridCol w:w="1394"/>
        <w:gridCol w:w="1944"/>
        <w:gridCol w:w="1389"/>
      </w:tblGrid>
      <w:tr w:rsidR="00685FFC" w:rsidRPr="007F52FA" w:rsidTr="00B236A5">
        <w:trPr>
          <w:jc w:val="center"/>
        </w:trPr>
        <w:tc>
          <w:tcPr>
            <w:tcW w:type="dxa" w:w="109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type="dxa" w:w="1420"/>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type="dxa" w:w="198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type="dxa" w:w="141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101900121</w:t>
            </w:r>
          </w:p>
        </w:tc>
        <w:tc>
          <w:tcPr>
            <w:vAlign w:val="center"/>
          </w:tcPr>
          <w:p>
            <w:pPr>
              <w:jc w:val="center"/>
            </w:pPr>
            <w:r>
              <w:rPr>
                <w:color w:val="000000"/>
                <w:sz w:val="24"/>
              </w:rPr>
              <w:t>19中电信MTN001</w:t>
            </w:r>
          </w:p>
        </w:tc>
        <w:tc>
          <w:tcPr>
            <w:vAlign w:val="center"/>
          </w:tcPr>
          <w:p>
            <w:pPr>
              <w:jc w:val="right"/>
            </w:pPr>
            <w:r>
              <w:rPr>
                <w:color w:val="000000"/>
                <w:sz w:val="24"/>
              </w:rPr>
              <w:t>500,000</w:t>
            </w:r>
          </w:p>
        </w:tc>
        <w:tc>
          <w:tcPr>
            <w:vAlign w:val="center"/>
          </w:tcPr>
          <w:p>
            <w:pPr>
              <w:jc w:val="right"/>
            </w:pPr>
            <w:r>
              <w:rPr>
                <w:color w:val="000000"/>
                <w:sz w:val="24"/>
              </w:rPr>
              <w:t>50,635,000.00</w:t>
            </w:r>
          </w:p>
        </w:tc>
        <w:tc>
          <w:tcPr>
            <w:vAlign w:val="center"/>
          </w:tcPr>
          <w:p>
            <w:pPr>
              <w:jc w:val="right"/>
            </w:pPr>
            <w:r>
              <w:rPr>
                <w:color w:val="000000"/>
                <w:sz w:val="24"/>
              </w:rPr>
              <w:t>5.30</w:t>
            </w:r>
          </w:p>
        </w:tc>
      </w:tr>
      <w:tr>
        <w:tc>
          <w:tcPr>
            <w:vAlign w:val="center"/>
          </w:tcPr>
          <w:p>
            <w:pPr>
              <w:jc w:val="center"/>
            </w:pPr>
            <w:r>
              <w:rPr>
                <w:color w:val="000000"/>
                <w:sz w:val="24"/>
              </w:rPr>
              <w:t>2</w:t>
            </w:r>
          </w:p>
        </w:tc>
        <w:tc>
          <w:tcPr>
            <w:vAlign w:val="center"/>
          </w:tcPr>
          <w:p>
            <w:pPr>
              <w:jc w:val="center"/>
            </w:pPr>
            <w:r>
              <w:rPr>
                <w:color w:val="000000"/>
                <w:sz w:val="24"/>
              </w:rPr>
              <w:t>143746</w:t>
            </w:r>
          </w:p>
        </w:tc>
        <w:tc>
          <w:tcPr>
            <w:vAlign w:val="center"/>
          </w:tcPr>
          <w:p>
            <w:pPr>
              <w:jc w:val="center"/>
            </w:pPr>
            <w:r>
              <w:rPr>
                <w:color w:val="000000"/>
                <w:sz w:val="24"/>
              </w:rPr>
              <w:t>18光明02</w:t>
            </w:r>
          </w:p>
        </w:tc>
        <w:tc>
          <w:tcPr>
            <w:vAlign w:val="center"/>
          </w:tcPr>
          <w:p>
            <w:pPr>
              <w:jc w:val="right"/>
            </w:pPr>
            <w:r>
              <w:rPr>
                <w:color w:val="000000"/>
                <w:sz w:val="24"/>
              </w:rPr>
              <w:t>400,000</w:t>
            </w:r>
          </w:p>
        </w:tc>
        <w:tc>
          <w:tcPr>
            <w:vAlign w:val="center"/>
          </w:tcPr>
          <w:p>
            <w:pPr>
              <w:jc w:val="right"/>
            </w:pPr>
            <w:r>
              <w:rPr>
                <w:color w:val="000000"/>
                <w:sz w:val="24"/>
              </w:rPr>
              <w:t>40,556,000.00</w:t>
            </w:r>
          </w:p>
        </w:tc>
        <w:tc>
          <w:tcPr>
            <w:vAlign w:val="center"/>
          </w:tcPr>
          <w:p>
            <w:pPr>
              <w:jc w:val="right"/>
            </w:pPr>
            <w:r>
              <w:rPr>
                <w:color w:val="000000"/>
                <w:sz w:val="24"/>
              </w:rPr>
              <w:t>4.24</w:t>
            </w:r>
          </w:p>
        </w:tc>
      </w:tr>
      <w:tr>
        <w:tc>
          <w:tcPr>
            <w:vAlign w:val="center"/>
          </w:tcPr>
          <w:p>
            <w:pPr>
              <w:jc w:val="center"/>
            </w:pPr>
            <w:r>
              <w:rPr>
                <w:color w:val="000000"/>
                <w:sz w:val="24"/>
              </w:rPr>
              <w:t>3</w:t>
            </w:r>
          </w:p>
        </w:tc>
        <w:tc>
          <w:tcPr>
            <w:vAlign w:val="center"/>
          </w:tcPr>
          <w:p>
            <w:pPr>
              <w:jc w:val="center"/>
            </w:pPr>
            <w:r>
              <w:rPr>
                <w:color w:val="000000"/>
                <w:sz w:val="24"/>
              </w:rPr>
              <w:t>136827</w:t>
            </w:r>
          </w:p>
        </w:tc>
        <w:tc>
          <w:tcPr>
            <w:vAlign w:val="center"/>
          </w:tcPr>
          <w:p>
            <w:pPr>
              <w:jc w:val="center"/>
            </w:pPr>
            <w:r>
              <w:rPr>
                <w:color w:val="000000"/>
                <w:sz w:val="24"/>
              </w:rPr>
              <w:t>16国网02</w:t>
            </w:r>
          </w:p>
        </w:tc>
        <w:tc>
          <w:tcPr>
            <w:vAlign w:val="center"/>
          </w:tcPr>
          <w:p>
            <w:pPr>
              <w:jc w:val="right"/>
            </w:pPr>
            <w:r>
              <w:rPr>
                <w:color w:val="000000"/>
                <w:sz w:val="24"/>
              </w:rPr>
              <w:t>400,000</w:t>
            </w:r>
          </w:p>
        </w:tc>
        <w:tc>
          <w:tcPr>
            <w:vAlign w:val="center"/>
          </w:tcPr>
          <w:p>
            <w:pPr>
              <w:jc w:val="right"/>
            </w:pPr>
            <w:r>
              <w:rPr>
                <w:color w:val="000000"/>
                <w:sz w:val="24"/>
              </w:rPr>
              <w:t>40,196,000.00</w:t>
            </w:r>
          </w:p>
        </w:tc>
        <w:tc>
          <w:tcPr>
            <w:vAlign w:val="center"/>
          </w:tcPr>
          <w:p>
            <w:pPr>
              <w:jc w:val="right"/>
            </w:pPr>
            <w:r>
              <w:rPr>
                <w:color w:val="000000"/>
                <w:sz w:val="24"/>
              </w:rPr>
              <w:t>4.21</w:t>
            </w:r>
          </w:p>
        </w:tc>
      </w:tr>
      <w:tr>
        <w:tc>
          <w:tcPr>
            <w:vAlign w:val="center"/>
          </w:tcPr>
          <w:p>
            <w:pPr>
              <w:jc w:val="center"/>
            </w:pPr>
            <w:r>
              <w:rPr>
                <w:color w:val="000000"/>
                <w:sz w:val="24"/>
              </w:rPr>
              <w:t>4</w:t>
            </w:r>
          </w:p>
        </w:tc>
        <w:tc>
          <w:tcPr>
            <w:vAlign w:val="center"/>
          </w:tcPr>
          <w:p>
            <w:pPr>
              <w:jc w:val="center"/>
            </w:pPr>
            <w:r>
              <w:rPr>
                <w:color w:val="000000"/>
                <w:sz w:val="24"/>
              </w:rPr>
              <w:t>019627</w:t>
            </w:r>
          </w:p>
        </w:tc>
        <w:tc>
          <w:tcPr>
            <w:vAlign w:val="center"/>
          </w:tcPr>
          <w:p>
            <w:pPr>
              <w:jc w:val="center"/>
            </w:pPr>
            <w:r>
              <w:rPr>
                <w:color w:val="000000"/>
                <w:sz w:val="24"/>
              </w:rPr>
              <w:t>20国债01</w:t>
            </w:r>
          </w:p>
        </w:tc>
        <w:tc>
          <w:tcPr>
            <w:vAlign w:val="center"/>
          </w:tcPr>
          <w:p>
            <w:pPr>
              <w:jc w:val="right"/>
            </w:pPr>
            <w:r>
              <w:rPr>
                <w:color w:val="000000"/>
                <w:sz w:val="24"/>
              </w:rPr>
              <w:t>330,140</w:t>
            </w:r>
          </w:p>
        </w:tc>
        <w:tc>
          <w:tcPr>
            <w:vAlign w:val="center"/>
          </w:tcPr>
          <w:p>
            <w:pPr>
              <w:jc w:val="right"/>
            </w:pPr>
            <w:r>
              <w:rPr>
                <w:color w:val="000000"/>
                <w:sz w:val="24"/>
              </w:rPr>
              <w:t>33,030,507.00</w:t>
            </w:r>
          </w:p>
        </w:tc>
        <w:tc>
          <w:tcPr>
            <w:vAlign w:val="center"/>
          </w:tcPr>
          <w:p>
            <w:pPr>
              <w:jc w:val="right"/>
            </w:pPr>
            <w:r>
              <w:rPr>
                <w:color w:val="000000"/>
                <w:sz w:val="24"/>
              </w:rPr>
              <w:t>3.46</w:t>
            </w:r>
          </w:p>
        </w:tc>
      </w:tr>
      <w:tr>
        <w:tc>
          <w:tcPr>
            <w:vAlign w:val="center"/>
          </w:tcPr>
          <w:p>
            <w:pPr>
              <w:jc w:val="center"/>
            </w:pPr>
            <w:r>
              <w:rPr>
                <w:color w:val="000000"/>
                <w:sz w:val="24"/>
              </w:rPr>
              <w:t>5</w:t>
            </w:r>
          </w:p>
        </w:tc>
        <w:tc>
          <w:tcPr>
            <w:vAlign w:val="center"/>
          </w:tcPr>
          <w:p>
            <w:pPr>
              <w:jc w:val="center"/>
            </w:pPr>
            <w:r>
              <w:rPr>
                <w:color w:val="000000"/>
                <w:sz w:val="24"/>
              </w:rPr>
              <w:t>143807</w:t>
            </w:r>
          </w:p>
        </w:tc>
        <w:tc>
          <w:tcPr>
            <w:vAlign w:val="center"/>
          </w:tcPr>
          <w:p>
            <w:pPr>
              <w:jc w:val="center"/>
            </w:pPr>
            <w:r>
              <w:rPr>
                <w:color w:val="000000"/>
                <w:sz w:val="24"/>
              </w:rPr>
              <w:t>18电投07</w:t>
            </w:r>
          </w:p>
        </w:tc>
        <w:tc>
          <w:tcPr>
            <w:vAlign w:val="center"/>
          </w:tcPr>
          <w:p>
            <w:pPr>
              <w:jc w:val="right"/>
            </w:pPr>
            <w:r>
              <w:rPr>
                <w:color w:val="000000"/>
                <w:sz w:val="24"/>
              </w:rPr>
              <w:t>300,000</w:t>
            </w:r>
          </w:p>
        </w:tc>
        <w:tc>
          <w:tcPr>
            <w:vAlign w:val="center"/>
          </w:tcPr>
          <w:p>
            <w:pPr>
              <w:jc w:val="right"/>
            </w:pPr>
            <w:r>
              <w:rPr>
                <w:color w:val="000000"/>
                <w:sz w:val="24"/>
              </w:rPr>
              <w:t>30,558,000.00</w:t>
            </w:r>
          </w:p>
        </w:tc>
        <w:tc>
          <w:tcPr>
            <w:vAlign w:val="center"/>
          </w:tcPr>
          <w:p>
            <w:pPr>
              <w:jc w:val="right"/>
            </w:pPr>
            <w:r>
              <w:rPr>
                <w:color w:val="000000"/>
                <w:sz w:val="24"/>
              </w:rPr>
              <w:t>3.20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P="007C14DF" w:rsidR="009238DB" w:rsidRDefault="00C260A2" w:rsidRPr="007F52FA">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P="007C14DF" w:rsidR="00680BCE" w:rsidRDefault="00680BCE" w:rsidRPr="007F52FA">
      <w:pPr>
        <w:autoSpaceDE w:val="0"/>
        <w:autoSpaceDN w:val="0"/>
        <w:adjustRightInd w:val="0"/>
        <w:spacing w:before="29" w:line="288" w:lineRule="auto"/>
        <w:ind w:firstLine="120" w:firstLineChars="50"/>
        <w:jc w:val="left"/>
        <w:rPr>
          <w:sz w:val="24"/>
        </w:rPr>
      </w:pPr>
      <w:r w:rsidRPr="007F52FA">
        <w:rPr>
          <w:sz w:val="24"/>
        </w:rPr>
        <w:t>本基金本报告期末未持有贵金属。</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A621E1" w:rsidRPr="007F52FA">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P="007C14DF" w:rsidR="00C260A2" w:rsidRDefault="00C260A2" w:rsidRPr="007F52FA">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P="007C14DF" w:rsidR="001D5CD0" w:rsidRDefault="001D5CD0" w:rsidRPr="007F52FA">
      <w:pPr>
        <w:autoSpaceDE w:val="0"/>
        <w:autoSpaceDN w:val="0"/>
        <w:adjustRightInd w:val="0"/>
        <w:spacing w:before="29" w:line="288" w:lineRule="auto"/>
        <w:jc w:val="left"/>
        <w:rPr>
          <w:rFonts w:eastAsiaTheme="minorEastAsia"/>
          <w:color w:val="000000"/>
          <w:kern w:val="0"/>
          <w:sz w:val="24"/>
        </w:rPr>
      </w:pPr>
    </w:p>
    <w:p w:rsidP="007C14DF" w:rsidR="001D5CD0" w:rsidRDefault="001D5CD0" w:rsidRPr="007F52FA">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P="007C14DF" w:rsidR="001D5CD0" w:rsidRDefault="001D5CD0" w:rsidRPr="007F52FA">
      <w:pPr>
        <w:autoSpaceDE w:val="0"/>
        <w:autoSpaceDN w:val="0"/>
        <w:adjustRightInd w:val="0"/>
        <w:spacing w:before="29" w:line="288" w:lineRule="auto"/>
        <w:jc w:val="left"/>
        <w:rPr>
          <w:sz w:val="24"/>
        </w:rPr>
      </w:pPr>
      <w:r w:rsidRPr="007F52FA">
        <w:rPr>
          <w:sz w:val="24"/>
        </w:rPr>
        <w:t>本基金本报告期末未持有股指期货。</w:t>
      </w:r>
    </w:p>
    <w:p w:rsidP="007C14DF" w:rsidR="001D5CD0" w:rsidRDefault="001D5CD0" w:rsidRPr="007F52FA">
      <w:pPr>
        <w:autoSpaceDE w:val="0"/>
        <w:autoSpaceDN w:val="0"/>
        <w:adjustRightInd w:val="0"/>
        <w:spacing w:before="29" w:line="288" w:lineRule="auto"/>
        <w:jc w:val="left"/>
        <w:rPr>
          <w:b/>
          <w:sz w:val="24"/>
        </w:rPr>
      </w:pPr>
    </w:p>
    <w:p w:rsidP="007C14DF" w:rsidR="00A7062E" w:rsidRDefault="001D5CD0" w:rsidRPr="007F52FA">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P="007C14DF" w:rsidR="00DB56EC" w:rsidRDefault="00DB56EC" w:rsidRPr="007F52FA">
      <w:pPr>
        <w:autoSpaceDE w:val="0"/>
        <w:autoSpaceDN w:val="0"/>
        <w:adjustRightInd w:val="0"/>
        <w:spacing w:before="29" w:line="288" w:lineRule="auto"/>
        <w:jc w:val="left"/>
        <w:rPr>
          <w:rFonts w:eastAsiaTheme="minorEastAsia"/>
          <w:sz w:val="24"/>
        </w:rPr>
      </w:pPr>
    </w:p>
    <w:p w:rsidP="007C14DF" w:rsidR="001D5CD0" w:rsidRDefault="001D5CD0" w:rsidRPr="007F52FA">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P="007C14DF" w:rsidR="001D5CD0" w:rsidRDefault="001D5CD0">
      <w:pPr>
        <w:autoSpaceDE w:val="0"/>
        <w:autoSpaceDN w:val="0"/>
        <w:adjustRightInd w:val="0"/>
        <w:spacing w:before="29" w:line="288" w:lineRule="auto"/>
        <w:rPr>
          <w:kern w:val="0"/>
          <w:sz w:val="24"/>
        </w:rPr>
      </w:pPr>
      <w:bookmarkStart w:id="2" w:name="_GoBack"/>
      <w:r w:rsidRPr="00885AD9">
        <w:rPr>
          <w:b/>
          <w:kern w:val="0"/>
          <w:sz w:val="24"/>
        </w:rPr>
        <w:t>5.11.3</w:t>
      </w:r>
      <w:bookmarkEnd w:id="2"/>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P="006B32A4" w:rsidR="006B32A4" w:rsidRDefault="00C33577" w:rsidRPr="007F52FA">
      <w:pPr>
        <w:autoSpaceDE w:val="0"/>
        <w:autoSpaceDN w:val="0"/>
        <w:adjustRightInd w:val="0"/>
        <w:spacing w:before="29" w:line="288" w:lineRule="auto"/>
        <w:jc w:val="right"/>
        <w:rPr>
          <w:kern w:val="0"/>
          <w:sz w:val="24"/>
        </w:rPr>
      </w:pPr>
      <w:r w:rsidRPr="00C33577">
        <w:rPr>
          <w:rFonts w:hint="eastAsia"/>
          <w:kern w:val="0"/>
          <w:sz w:val="24"/>
        </w:rPr>
        <w:t/>
      </w:r>
      <w:r w:rsidRPr="00C33577">
        <w:rPr>
          <w:rFonts w:hint="eastAsia"/>
          <w:kern w:val="0"/>
          <w:sz w:val="24"/>
        </w:rPr>
        <w:t>金额单位：人民币元</w:t>
      </w:r>
    </w:p>
    <w:tbl>
      <w:tblPr>
        <w:tblStyle w:val="af2"/>
        <w:tblW w:type="dxa" w:w="8868"/>
        <w:jc w:val="center"/>
        <w:tblLook w:firstColumn="1" w:firstRow="1" w:lastColumn="0" w:lastRow="0" w:noHBand="0" w:noVBand="1" w:val="04A0"/>
      </w:tblPr>
      <w:tblGrid>
        <w:gridCol w:w="1260"/>
        <w:gridCol w:w="2706"/>
        <w:gridCol w:w="4902"/>
      </w:tblGrid>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type="dxa" w:w="281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type="dxa" w:w="490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28,951.45</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lastRenderedPageBreak/>
              <w:t>2</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3</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4</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11,477,530.34</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5</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518,954.55</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6</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7</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8</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9</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12,025,436.34</w:t>
            </w:r>
          </w:p>
        </w:tc>
      </w:tr>
    </w:tbl>
    <w:p w:rsidP="007C14DF" w:rsidR="001D5CD0" w:rsidRDefault="001D5CD0" w:rsidRPr="007F52FA">
      <w:pPr>
        <w:autoSpaceDE w:val="0"/>
        <w:autoSpaceDN w:val="0"/>
        <w:adjustRightInd w:val="0"/>
        <w:spacing w:before="29" w:line="288" w:lineRule="auto"/>
        <w:jc w:val="left"/>
        <w:rPr>
          <w:sz w:val="24"/>
        </w:rPr>
      </w:pPr>
    </w:p>
    <w:p w:rsidP="007C14DF" w:rsidR="001D5CD0" w:rsidRDefault="001D5CD0" w:rsidRPr="00143E9C">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P="007C14DF" w:rsidR="001D5CD0" w:rsidRDefault="001D5CD0" w:rsidRPr="00143E9C">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本基金本报告期末前十名股票中不存在流通受限情况。</w:t>
      </w:r>
    </w:p>
    <w:p w:rsidP="007C14DF" w:rsidR="001D5CD0" w:rsidRDefault="001D5CD0" w:rsidRPr="00901A22">
      <w:pPr>
        <w:spacing w:before="29" w:line="288" w:lineRule="auto"/>
        <w:rPr>
          <w:rFonts w:eastAsiaTheme="minorEastAsia"/>
          <w:b/>
          <w:color w:val="000000"/>
          <w:kern w:val="0"/>
          <w:sz w:val="24"/>
        </w:rPr>
      </w:pPr>
      <w:r w:rsidRPr="00901A22">
        <w:rPr>
          <w:rFonts w:eastAsiaTheme="minorEastAsia"/>
          <w:b/>
          <w:color w:val="000000"/>
          <w:kern w:val="0"/>
          <w:sz w:val="24"/>
        </w:rPr>
        <w:t/>
      </w: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P="00A0678E" w:rsidR="001D5CD0" w:rsidRDefault="001D5CD0" w:rsidRPr="007F52FA">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P="007C14DF" w:rsidR="00EB27DE" w:rsidRDefault="00EB27DE" w:rsidRPr="007F52FA">
      <w:pPr>
        <w:spacing w:before="29" w:line="288" w:lineRule="auto"/>
        <w:rPr>
          <w:rFonts w:eastAsiaTheme="minorEastAsia"/>
          <w:color w:val="000000"/>
          <w:sz w:val="24"/>
        </w:rPr>
      </w:pPr>
    </w:p>
    <w:p w:rsidP="000A2988" w:rsidR="009238DB" w:rsidRDefault="00C51B4E" w:rsidRPr="007F52FA">
      <w:pPr>
        <w:pStyle w:val="1"/>
        <w:spacing w:after="312" w:afterLines="100" w:before="312" w:beforeLines="100" w:line="288" w:lineRule="auto"/>
        <w:jc w:val="center"/>
        <w:rPr>
          <w:rFonts w:eastAsiaTheme="minorEastAsia"/>
          <w:color w:val="000000"/>
          <w:kern w:val="0"/>
          <w:sz w:val="24"/>
          <w:szCs w:val="24"/>
        </w:rPr>
      </w:pPr>
      <w:r w:rsidRPr="00C51B4E">
        <w:rPr>
          <w:rFonts w:eastAsiaTheme="minorEastAsia"/>
          <w:color w:themeColor="text1" w:val="000000"/>
          <w:kern w:val="0"/>
          <w:sz w:val="21"/>
          <w:szCs w:val="21"/>
        </w:rPr>
        <w:t>§6</w:t>
      </w:r>
      <w:r w:rsidRPr="00C51B4E">
        <w:rPr>
          <w:rFonts w:eastAsiaTheme="minorEastAsia" w:hint="eastAsia"/>
          <w:color w:themeColor="text1" w:val="000000"/>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P="007C14DF" w:rsidR="009238DB" w:rsidRDefault="009238DB" w:rsidRPr="007F52FA">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type="dxa" w:w="8868"/>
        <w:jc w:val="center"/>
        <w:tblLayout w:type="fixed"/>
        <w:tblLook w:firstColumn="0" w:firstRow="0" w:lastColumn="0" w:lastRow="0" w:noHBand="0" w:noVBand="0" w:val="0000"/>
      </w:tblPr>
      <w:tblGrid>
        <w:gridCol w:w="4006"/>
        <w:gridCol w:w="2431"/>
        <w:gridCol w:w="2431"/>
      </w:tblGrid>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交银优择回报灵活配置混合A</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交银优择回报灵活配置混合C</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702,280,255.02</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6,956,899.93</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240,104,569.36</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52,492,183.39</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196,240,870.01</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5,074,725.70</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896AC6"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
            </w:r>
            <w:r w:rsidR="0042785F" w:rsidRPr="007F52FA">
              <w:rPr>
                <w:rFonts w:eastAsiaTheme="minorEastAsia"/>
                <w:color w:val="000000"/>
                <w:sz w:val="24"/>
              </w:rPr>
              <w:lastRenderedPageBreak/>
              <w:t>746,143,954.37</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004D614E" w:rsidRPr="007F52FA">
              <w:rPr>
                <w:rFonts w:eastAsiaTheme="minorEastAsia"/>
                <w:color w:val="000000"/>
                <w:sz w:val="24"/>
              </w:rPr>
              <w:t/>
            </w:r>
            <w:r w:rsidR="004D614E" w:rsidRPr="007F52FA">
              <w:rPr>
                <w:rFonts w:eastAsiaTheme="minorEastAsia"/>
                <w:color w:val="000000"/>
                <w:sz w:val="24"/>
              </w:rPr>
              <w:lastRenderedPageBreak/>
              <w:t/>
            </w:r>
            <w:r w:rsidR="0042785F" w:rsidRPr="007F52FA">
              <w:rPr>
                <w:rFonts w:eastAsiaTheme="minorEastAsia"/>
                <w:color w:val="000000"/>
                <w:sz w:val="24"/>
              </w:rPr>
              <w:t>54,374,357.62</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注：1、如果本报告期间发生转换入、红利再投业务，则总申购份额中包含该业务；     </w:t>
      </w:r>
    </w:p>
    <w:p w:rsidP="007C14DF" w:rsidR="00FB3C94" w:rsidRDefault="00FB3C94"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 xml:space="preserve">    2、如果本报告期间发生转换出业务，则总赎回份额中包含该业务。</w:t>
      </w:r>
    </w:p>
    <w:p w:rsidP="007C14DF" w:rsidR="00426568" w:rsidRDefault="00426568">
      <w:pPr>
        <w:autoSpaceDE w:val="0"/>
        <w:autoSpaceDN w:val="0"/>
        <w:adjustRightInd w:val="0"/>
        <w:spacing w:before="29" w:line="288" w:lineRule="auto"/>
        <w:jc w:val="left"/>
        <w:rPr>
          <w:rFonts w:eastAsiaTheme="minorEastAsia"/>
          <w:color w:val="000000"/>
          <w:sz w:val="24"/>
        </w:rPr>
      </w:pPr>
    </w:p>
    <w:p w:rsidP="000A2988" w:rsidR="000673DA" w:rsidRDefault="00C51B4E" w:rsidRPr="000673DA">
      <w:pPr>
        <w:pStyle w:val="1"/>
        <w:tabs>
          <w:tab w:pos="4156" w:val="center"/>
          <w:tab w:pos="8312" w:val="right"/>
        </w:tabs>
        <w:spacing w:after="312" w:afterLines="100" w:before="312" w:beforeLines="100" w:line="288" w:lineRule="auto"/>
        <w:jc w:val="center"/>
        <w:rPr>
          <w:sz w:val="24"/>
          <w:szCs w:val="24"/>
        </w:rPr>
      </w:pPr>
      <w:r>
        <w:rPr>
          <w:color w:val="000000"/>
          <w:kern w:val="0"/>
          <w:sz w:val="24"/>
          <w:szCs w:val="24"/>
        </w:rPr>
        <w:t>§</w:t>
      </w:r>
      <w:r>
        <w:rPr>
          <w:rFonts w:hint="eastAsia"/>
          <w:color w:val="000000"/>
          <w:kern w:val="0"/>
          <w:sz w:val="24"/>
          <w:szCs w:val="24"/>
        </w:rPr>
        <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P="007C14DF" w:rsidR="000673DA" w:rsidRDefault="000673DA" w:rsidRPr="000673DA">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P="007C14DF" w:rsidR="008A3BCC" w:rsidRDefault="00AE55CC" w:rsidRPr="00AE55CC">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P="007C14DF" w:rsidR="008A3BCC" w:rsidRDefault="008A3BCC">
      <w:pPr>
        <w:autoSpaceDE w:val="0"/>
        <w:autoSpaceDN w:val="0"/>
        <w:adjustRightInd w:val="0"/>
        <w:spacing w:before="29" w:line="288" w:lineRule="auto"/>
        <w:jc w:val="left"/>
        <w:rPr>
          <w:color w:val="000000"/>
          <w:sz w:val="24"/>
        </w:rPr>
      </w:pPr>
    </w:p>
    <w:p w:rsidP="00646AEE" w:rsidR="008A3BCC" w:rsidRDefault="000673DA" w:rsidRPr="008A3BCC">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P="007C14DF" w:rsidR="00285618" w:rsidRDefault="00285618"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P="007C14DF" w:rsidR="00F2646E" w:rsidRDefault="00F2646E" w:rsidRPr="007F52FA">
      <w:pPr>
        <w:autoSpaceDE w:val="0"/>
        <w:autoSpaceDN w:val="0"/>
        <w:adjustRightInd w:val="0"/>
        <w:spacing w:before="29" w:line="288" w:lineRule="auto"/>
        <w:jc w:val="left"/>
        <w:rPr>
          <w:rFonts w:eastAsiaTheme="minorEastAsia"/>
          <w:color w:val="000000"/>
          <w:sz w:val="24"/>
        </w:rPr>
      </w:pPr>
    </w:p>
    <w:p w:rsidP="000A2988" w:rsidR="00ED0E09" w:rsidRDefault="00ED0E09">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§8 </w:t>
      </w:r>
      <w:r w:rsidR="00F139D5">
        <w:rPr>
          <w:rFonts w:eastAsiaTheme="minorEastAsia"/>
          <w:color w:themeColor="text1" w:val="000000"/>
          <w:kern w:val="0"/>
          <w:sz w:val="21"/>
          <w:szCs w:val="21"/>
        </w:rPr>
        <w:t xml:space="preserve"> </w:t>
      </w:r>
      <w:r>
        <w:rPr>
          <w:rFonts w:eastAsiaTheme="minorEastAsia" w:hint="eastAsia"/>
          <w:color w:themeColor="text1" w:val="000000"/>
          <w:kern w:val="0"/>
          <w:sz w:val="21"/>
          <w:szCs w:val="21"/>
        </w:rPr>
        <w:t>影响投资者决策的其他重要信息</w:t>
      </w:r>
    </w:p>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ED0E09" w:rsidTr="00ED0E09">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type="dxa" w:w="993"/>
            <w:vMerge/>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2020/4/1-2020/6/30</w:t>
            </w:r>
          </w:p>
        </w:tc>
        <w:tc>
          <w:tcPr>
            <w:vAlign w:val="center"/>
          </w:tcPr>
          <w:p>
            <w:pPr>
              <w:jc w:val="center"/>
            </w:pPr>
            <w:r>
              <w:rPr>
                <w:rFonts w:ascii="宋体" w:hAnsi="宋体" w:hint="eastAsia"/>
                <w:color w:val="000000"/>
                <w:kern w:val="0"/>
                <w:szCs w:val="21"/>
              </w:rPr>
              <w:t>500,044,000.00</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500,044,000.00</w:t>
            </w:r>
          </w:p>
        </w:tc>
        <w:tc>
          <w:tcPr>
            <w:vAlign w:val="center"/>
          </w:tcPr>
          <w:p>
            <w:pPr>
              <w:jc w:val="center"/>
            </w:pPr>
            <w:r>
              <w:rPr>
                <w:rFonts w:ascii="宋体" w:hAnsi="宋体" w:hint="eastAsia"/>
                <w:color w:val="000000"/>
                <w:kern w:val="0"/>
                <w:szCs w:val="21"/>
              </w:rPr>
              <w:t>62.47%</w:t>
            </w:r>
          </w:p>
        </w:tc>
      </w:tr>
      <w:tr>
        <w:tc>
          <w:tcPr>
            <w:vMerge/>
          </w:tcPr>
          <w:p/>
        </w:tc>
        <w:tc>
          <w:tcPr>
            <w:vAlign w:val="center"/>
          </w:tcPr>
          <w:p>
            <w:pPr>
              <w:jc w:val="center"/>
            </w:pPr>
            <w:r>
              <w:rPr>
                <w:rFonts w:ascii="宋体" w:hAnsi="宋体" w:hint="eastAsia"/>
                <w:color w:val="000000"/>
                <w:kern w:val="0"/>
                <w:szCs w:val="21"/>
              </w:rPr>
              <w:t>2</w:t>
            </w:r>
          </w:p>
        </w:tc>
        <w:tc>
          <w:tcPr>
            <w:vAlign w:val="center"/>
          </w:tcPr>
          <w:p>
            <w:pPr>
              <w:jc w:val="center"/>
            </w:pPr>
            <w:r>
              <w:rPr>
                <w:rFonts w:ascii="宋体" w:hAnsi="宋体" w:hint="eastAsia"/>
                <w:color w:val="000000"/>
                <w:kern w:val="0"/>
                <w:szCs w:val="21"/>
              </w:rPr>
              <w:t>2020/4/1-2020/6/30</w:t>
            </w:r>
          </w:p>
        </w:tc>
        <w:tc>
          <w:tcPr>
            <w:vAlign w:val="center"/>
          </w:tcPr>
          <w:p>
            <w:pPr>
              <w:jc w:val="center"/>
            </w:pPr>
            <w:r>
              <w:rPr>
                <w:rFonts w:ascii="宋体" w:hAnsi="宋体" w:hint="eastAsia"/>
                <w:color w:val="000000"/>
                <w:kern w:val="0"/>
                <w:szCs w:val="21"/>
              </w:rPr>
              <w:t>193,609,874.15</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193,609,874.15</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0A2988" w:rsidR="00175E3A" w:rsidRDefault="009238DB" w:rsidRPr="007032A6">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P="007C14DF" w:rsidR="00FB3C94" w:rsidRDefault="00A14399"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480" w:firstLineChars="200"/>
        <w:rPr>
          <w:rFonts w:eastAsiaTheme="minorEastAsia"/>
          <w:color w:val="000000"/>
          <w:sz w:val="24"/>
        </w:rPr>
      </w:pPr>
      <w:r>
        <w:rPr>
          <w:rFonts w:eastAsiaTheme="minorEastAsia"/>
          <w:color w:val="000000"/>
          <w:sz w:val="24"/>
        </w:rPr>
        <w:t xml:space="preserve">1、中国证监会准予交银施罗德优择回报灵活配置混合型证券投资基金募集注册的文件； </w:t>
      </w:r>
    </w:p>
    <w:p>
      <w:pPr>
        <w:spacing w:before="29" w:line="288" w:lineRule="auto"/>
        <w:ind w:firstLine="480" w:firstLineChars="200"/>
        <w:rPr>
          <w:rFonts w:eastAsiaTheme="minorEastAsia"/>
          <w:color w:val="000000"/>
          <w:sz w:val="24"/>
        </w:rPr>
      </w:pPr>
      <w:r>
        <w:rPr>
          <w:rFonts w:eastAsiaTheme="minorEastAsia"/>
          <w:color w:val="000000"/>
          <w:sz w:val="24"/>
        </w:rPr>
        <w:t xml:space="preserve">2、《交银施罗德优择回报灵活配置混合型证券投资基金基金合同》； </w:t>
      </w:r>
    </w:p>
    <w:p>
      <w:pPr>
        <w:spacing w:before="29" w:line="288" w:lineRule="auto"/>
        <w:ind w:firstLine="480" w:firstLineChars="200"/>
        <w:rPr>
          <w:rFonts w:eastAsiaTheme="minorEastAsia"/>
          <w:color w:val="000000"/>
          <w:sz w:val="24"/>
        </w:rPr>
      </w:pPr>
      <w:r>
        <w:rPr>
          <w:rFonts w:eastAsiaTheme="minorEastAsia"/>
          <w:color w:val="000000"/>
          <w:sz w:val="24"/>
        </w:rPr>
        <w:t xml:space="preserve">3、《交银施罗德优择回报灵活配置混合型证券投资基金招募说明书》； </w:t>
      </w:r>
    </w:p>
    <w:p>
      <w:pPr>
        <w:spacing w:before="29" w:line="288" w:lineRule="auto"/>
        <w:ind w:firstLine="480" w:firstLineChars="200"/>
        <w:rPr>
          <w:rFonts w:eastAsiaTheme="minorEastAsia"/>
          <w:color w:val="000000"/>
          <w:sz w:val="24"/>
        </w:rPr>
      </w:pPr>
      <w:r>
        <w:rPr>
          <w:rFonts w:eastAsiaTheme="minorEastAsia"/>
          <w:color w:val="000000"/>
          <w:sz w:val="24"/>
        </w:rPr>
        <w:t xml:space="preserve">4、《交银施罗德优择回报灵活配置混合型证券投资基金托管协议》；  </w:t>
      </w:r>
    </w:p>
    <w:p>
      <w:pPr>
        <w:spacing w:before="29" w:line="288" w:lineRule="auto"/>
        <w:ind w:firstLine="480" w:firstLineChars="200"/>
        <w:rPr>
          <w:rFonts w:eastAsiaTheme="minorEastAsia"/>
          <w:color w:val="000000"/>
          <w:sz w:val="24"/>
        </w:rPr>
      </w:pPr>
      <w:r>
        <w:rPr>
          <w:rFonts w:eastAsiaTheme="minorEastAsia"/>
          <w:color w:val="000000"/>
          <w:sz w:val="24"/>
        </w:rPr>
        <w:t xml:space="preserve">5、关于申请募集注册交银施罗德优择回报灵活配置混合型证券投资基金的法律意见书； </w:t>
      </w:r>
    </w:p>
    <w:p>
      <w:pPr>
        <w:spacing w:before="29" w:line="288" w:lineRule="auto"/>
        <w:ind w:firstLine="480" w:firstLineChars="200"/>
        <w:rPr>
          <w:rFonts w:eastAsiaTheme="minorEastAsia"/>
          <w:color w:val="000000"/>
          <w:sz w:val="24"/>
        </w:rPr>
      </w:pPr>
      <w:r>
        <w:rPr>
          <w:rFonts w:eastAsiaTheme="minorEastAsia"/>
          <w:color w:val="000000"/>
          <w:sz w:val="24"/>
        </w:rPr>
        <w:t xml:space="preserve">6、基金管理人业务资格批件、营业执照； </w:t>
      </w:r>
    </w:p>
    <w:p>
      <w:pPr>
        <w:spacing w:before="29" w:line="288" w:lineRule="auto"/>
        <w:ind w:firstLine="480" w:firstLineChars="200"/>
        <w:rPr>
          <w:rFonts w:eastAsiaTheme="minorEastAsia"/>
          <w:color w:val="000000"/>
          <w:sz w:val="24"/>
        </w:rPr>
      </w:pPr>
      <w:r>
        <w:rPr>
          <w:rFonts w:eastAsiaTheme="minorEastAsia"/>
          <w:color w:val="000000"/>
          <w:sz w:val="24"/>
        </w:rPr>
        <w:t xml:space="preserve">7、基金托管人业务资格批件、营业执照； </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8、报告期内交银施罗德优择回报灵活配置混合型证券投资基金在指定报刊上各项公告的原稿。</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9.2</w:t>
      </w:r>
      <w:r w:rsidR="00FB3C94" w:rsidRPr="007F52FA">
        <w:rPr>
          <w:rFonts w:eastAsiaTheme="minorEastAsia"/>
          <w:b/>
          <w:bCs/>
          <w:color w:val="000000"/>
          <w:kern w:val="0"/>
          <w:sz w:val="24"/>
        </w:rPr>
        <w:t>存放地点</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备查文件存放于基金管理人的办公场所。</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pPr>
        <w:spacing w:before="29" w:line="288" w:lineRule="auto"/>
        <w:ind w:firstLine="480" w:firstLineChars="20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7C14DF" w:rsidR="009238DB"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P="007C14DF" w:rsidR="004D36DF" w:rsidRDefault="004D36DF" w:rsidRPr="007F52FA">
      <w:pPr>
        <w:spacing w:before="29" w:line="288" w:lineRule="auto"/>
        <w:ind w:firstLine="480" w:firstLineChars="200"/>
        <w:rPr>
          <w:rFonts w:eastAsiaTheme="minorEastAsia"/>
          <w:color w:val="000000"/>
          <w:sz w:val="24"/>
        </w:rPr>
      </w:pPr>
    </w:p>
    <w:sectPr w:rsidR="004D36DF" w:rsidRPr="007F52FA" w:rsidSect="007A5233">
      <w:footerReference r:id="rId16" w:type="even"/>
      <w:pgSz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F7094A" w:rsidR="007F50FB" w:rsidRDefault="007F50FB" w:rsidRPr="001D0DB0">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885AD9">
      <w:rPr>
        <w:noProof/>
        <w:kern w:val="0"/>
        <w:szCs w:val="21"/>
      </w:rPr>
      <w:t>19</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885AD9">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F50FB" w:rsidRDefault="0042114A">
    <w:pPr>
      <w:pStyle w:val="a6"/>
      <w:framePr w:hAnchor="margin" w:vAnchor="text" w:wrap="around"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685AD1" w:rsidRDefault="00685AD1">
      <w:r>
        <w:separator/>
      </w:r>
    </w:p>
  </w:footnote>
  <w:footnote w:id="0" w:type="continuationSeparator">
    <w:p w:rsidR="00685AD1" w:rsidRDefault="00685AD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D3445F" w:rsidR="007F50FB" w:rsidRDefault="00D3445F" w:rsidRPr="00D3445F">
    <w:pPr>
      <w:spacing w:before="29" w:line="288" w:lineRule="auto"/>
      <w:jc w:val="right"/>
      <w:rPr>
        <w:rFonts w:eastAsiaTheme="minorEastAsia"/>
        <w:sz w:val="24"/>
      </w:rPr>
    </w:pPr>
    <w:r w:rsidRPr="00D3445F">
      <w:rPr>
        <w:rFonts w:eastAsiaTheme="minorEastAsia"/>
        <w:sz w:val="24"/>
      </w:rPr>
      <w:t>交银施罗德优择回报灵活配置混合型证券投资基金2020年第2季度报告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2A93165E"/>
    <w:multiLevelType w:val="hybridMultilevel"/>
    <w:tmpl w:val="8F54F77E"/>
    <w:lvl w:ilvl="0" w:tplc="8996D53A">
      <w:start w:val="1"/>
      <w:numFmt w:val="japaneseCounting"/>
      <w:lvlText w:val="（%1）"/>
      <w:lvlJc w:val="left"/>
      <w:pPr>
        <w:tabs>
          <w:tab w:pos="1200" w:val="num"/>
        </w:tabs>
        <w:ind w:hanging="720" w:left="1200"/>
      </w:pPr>
      <w:rPr>
        <w:rFonts w:hAnsi="宋体" w:hint="default"/>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32C43FA3"/>
    <w:multiLevelType w:val="hybridMultilevel"/>
    <w:tmpl w:val="2658615A"/>
    <w:lvl w:ilvl="0" w:tplc="04090001">
      <w:start w:val="1"/>
      <w:numFmt w:val="bullet"/>
      <w:lvlText w:val=""/>
      <w:lvlJc w:val="left"/>
      <w:pPr>
        <w:tabs>
          <w:tab w:pos="420" w:val="num"/>
        </w:tabs>
        <w:ind w:hanging="420" w:left="420"/>
      </w:pPr>
      <w:rPr>
        <w:rFonts w:ascii="Wingdings" w:hAnsi="Wingdings" w:hint="default"/>
      </w:rPr>
    </w:lvl>
    <w:lvl w:ilvl="1" w:tentative="1" w:tplc="04090003">
      <w:start w:val="1"/>
      <w:numFmt w:val="bullet"/>
      <w:lvlText w:val=""/>
      <w:lvlJc w:val="left"/>
      <w:pPr>
        <w:tabs>
          <w:tab w:pos="840" w:val="num"/>
        </w:tabs>
        <w:ind w:hanging="420" w:left="840"/>
      </w:pPr>
      <w:rPr>
        <w:rFonts w:ascii="Wingdings" w:hAnsi="Wingdings" w:hint="default"/>
      </w:rPr>
    </w:lvl>
    <w:lvl w:ilvl="2" w:tentative="1" w:tplc="04090005">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3">
      <w:start w:val="1"/>
      <w:numFmt w:val="bullet"/>
      <w:lvlText w:val=""/>
      <w:lvlJc w:val="left"/>
      <w:pPr>
        <w:tabs>
          <w:tab w:pos="2100" w:val="num"/>
        </w:tabs>
        <w:ind w:hanging="420" w:left="2100"/>
      </w:pPr>
      <w:rPr>
        <w:rFonts w:ascii="Wingdings" w:hAnsi="Wingdings" w:hint="default"/>
      </w:rPr>
    </w:lvl>
    <w:lvl w:ilvl="5" w:tentative="1" w:tplc="04090005">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3">
      <w:start w:val="1"/>
      <w:numFmt w:val="bullet"/>
      <w:lvlText w:val=""/>
      <w:lvlJc w:val="left"/>
      <w:pPr>
        <w:tabs>
          <w:tab w:pos="3360" w:val="num"/>
        </w:tabs>
        <w:ind w:hanging="420" w:left="3360"/>
      </w:pPr>
      <w:rPr>
        <w:rFonts w:ascii="Wingdings" w:hAnsi="Wingdings" w:hint="default"/>
      </w:rPr>
    </w:lvl>
    <w:lvl w:ilvl="8" w:tentative="1" w:tplc="04090005">
      <w:start w:val="1"/>
      <w:numFmt w:val="bullet"/>
      <w:lvlText w:val=""/>
      <w:lvlJc w:val="left"/>
      <w:pPr>
        <w:tabs>
          <w:tab w:pos="3780" w:val="num"/>
        </w:tabs>
        <w:ind w:hanging="420" w:left="3780"/>
      </w:pPr>
      <w:rPr>
        <w:rFonts w:ascii="Wingdings" w:hAnsi="Wingdings" w:hint="default"/>
      </w:rPr>
    </w:lvl>
  </w:abstractNum>
  <w:abstractNum w15:restartNumberingAfterBreak="0" w:abstractNumId="3">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6A4828"/>
    <w:pPr>
      <w:widowControl w:val="0"/>
      <w:jc w:val="both"/>
    </w:pPr>
    <w:rPr>
      <w:kern w:val="2"/>
      <w:sz w:val="21"/>
      <w:szCs w:val="24"/>
    </w:rPr>
  </w:style>
  <w:style w:styleId="1" w:type="paragraph">
    <w:name w:val="heading 1"/>
    <w:basedOn w:val="a"/>
    <w:next w:val="a"/>
    <w:link w:val="1Char"/>
    <w:uiPriority w:val="99"/>
    <w:qFormat/>
    <w:rsid w:val="00180952"/>
    <w:pPr>
      <w:keepNext/>
      <w:keepLines/>
      <w:spacing w:after="330" w:before="340" w:line="578" w:lineRule="auto"/>
      <w:outlineLvl w:val="0"/>
    </w:pPr>
    <w:rPr>
      <w:b/>
      <w:bCs/>
      <w:kern w:val="44"/>
      <w:sz w:val="44"/>
      <w:szCs w:val="44"/>
    </w:rPr>
  </w:style>
  <w:style w:styleId="2" w:type="paragraph">
    <w:name w:val="heading 2"/>
    <w:basedOn w:val="a"/>
    <w:next w:val="a0"/>
    <w:qFormat/>
    <w:rsid w:val="006A4828"/>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rsid w:val="006A4828"/>
    <w:pPr>
      <w:ind w:firstLine="420" w:firstLineChars="200"/>
    </w:pPr>
  </w:style>
  <w:style w:styleId="a4" w:type="paragraph">
    <w:name w:val="Body Text Indent"/>
    <w:basedOn w:val="a"/>
    <w:rsid w:val="006A4828"/>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uiPriority w:val="99"/>
    <w:rsid w:val="006A4828"/>
    <w:rPr>
      <w:rFonts w:ascii="宋体" w:hAnsi="Courier New"/>
      <w:szCs w:val="21"/>
    </w:rPr>
  </w:style>
  <w:style w:styleId="20" w:type="paragraph">
    <w:name w:val="Body Text Indent 2"/>
    <w:basedOn w:val="a"/>
    <w:rsid w:val="006A4828"/>
    <w:pPr>
      <w:spacing w:line="560" w:lineRule="exact"/>
      <w:ind w:firstLine="480" w:firstLineChars="200"/>
    </w:pPr>
    <w:rPr>
      <w:rFonts w:ascii="宋体" w:hAnsi="宋体"/>
      <w:color w:val="FF0000"/>
      <w:sz w:val="24"/>
    </w:rPr>
  </w:style>
  <w:style w:styleId="a6" w:type="paragraph">
    <w:name w:val="footer"/>
    <w:basedOn w:val="a"/>
    <w:rsid w:val="006A4828"/>
    <w:pPr>
      <w:tabs>
        <w:tab w:pos="4153" w:val="center"/>
        <w:tab w:pos="8306" w:val="right"/>
      </w:tabs>
      <w:snapToGrid w:val="0"/>
      <w:jc w:val="left"/>
    </w:pPr>
    <w:rPr>
      <w:sz w:val="18"/>
      <w:szCs w:val="18"/>
    </w:rPr>
  </w:style>
  <w:style w:styleId="a7" w:type="character">
    <w:name w:val="page number"/>
    <w:basedOn w:val="a1"/>
    <w:rsid w:val="006A4828"/>
  </w:style>
  <w:style w:styleId="a8" w:type="character">
    <w:name w:val="Hyperlink"/>
    <w:basedOn w:val="a1"/>
    <w:rsid w:val="006A4828"/>
    <w:rPr>
      <w:color w:val="0000FF"/>
      <w:u w:val="single"/>
    </w:rPr>
  </w:style>
  <w:style w:styleId="3" w:type="paragraph">
    <w:name w:val="Body Text Indent 3"/>
    <w:basedOn w:val="a"/>
    <w:rsid w:val="006A4828"/>
    <w:pPr>
      <w:spacing w:line="560" w:lineRule="exact"/>
      <w:ind w:firstLine="420" w:firstLineChars="200"/>
    </w:pPr>
    <w:rPr>
      <w:rFonts w:ascii="Arial" w:cs="Arial" w:hAnsi="Arial"/>
      <w:color w:val="FF0000"/>
    </w:rPr>
  </w:style>
  <w:style w:styleId="a9" w:type="paragraph">
    <w:name w:val="header"/>
    <w:basedOn w:val="a"/>
    <w:link w:val="Char0"/>
    <w:uiPriority w:val="99"/>
    <w:rsid w:val="006A4828"/>
    <w:pPr>
      <w:pBdr>
        <w:bottom w:color="auto" w:space="1" w:sz="6" w:val="single"/>
      </w:pBdr>
      <w:tabs>
        <w:tab w:pos="4153" w:val="center"/>
        <w:tab w:pos="8306" w:val="right"/>
      </w:tabs>
      <w:snapToGrid w:val="0"/>
      <w:jc w:val="center"/>
    </w:pPr>
    <w:rPr>
      <w:sz w:val="18"/>
      <w:szCs w:val="18"/>
    </w:rPr>
  </w:style>
  <w:style w:customStyle="1" w:styleId="10" w:type="character">
    <w:name w:val="已访问的超链接1"/>
    <w:basedOn w:val="a1"/>
    <w:rsid w:val="006A4828"/>
    <w:rPr>
      <w:color w:val="800080"/>
      <w:u w:val="single"/>
    </w:rPr>
  </w:style>
  <w:style w:styleId="aa" w:type="paragraph">
    <w:name w:val="List"/>
    <w:basedOn w:val="ab"/>
    <w:rsid w:val="006A4828"/>
    <w:pPr>
      <w:spacing w:after="220" w:line="220" w:lineRule="atLeast"/>
      <w:ind w:hanging="360" w:left="1440"/>
    </w:pPr>
    <w:rPr>
      <w:szCs w:val="20"/>
    </w:rPr>
  </w:style>
  <w:style w:styleId="ab" w:type="paragraph">
    <w:name w:val="Body Text"/>
    <w:basedOn w:val="a"/>
    <w:rsid w:val="006A4828"/>
    <w:pPr>
      <w:spacing w:after="120"/>
    </w:pPr>
  </w:style>
  <w:style w:styleId="ac" w:type="paragraph">
    <w:name w:val="Date"/>
    <w:basedOn w:val="a"/>
    <w:next w:val="a"/>
    <w:link w:val="Char1"/>
    <w:rsid w:val="006A4828"/>
    <w:rPr>
      <w:sz w:val="24"/>
      <w:szCs w:val="20"/>
    </w:rPr>
  </w:style>
  <w:style w:customStyle="1" w:styleId="c1" w:type="character">
    <w:name w:val="c1"/>
    <w:basedOn w:val="a1"/>
    <w:rsid w:val="006A4828"/>
    <w:rPr>
      <w:color w:val="000000"/>
      <w:sz w:val="18"/>
      <w:szCs w:val="18"/>
    </w:rPr>
  </w:style>
  <w:style w:styleId="11" w:type="paragraph">
    <w:name w:val="index 1"/>
    <w:basedOn w:val="a"/>
    <w:next w:val="a"/>
    <w:autoRedefine/>
    <w:semiHidden/>
    <w:rsid w:val="006A4828"/>
    <w:pPr>
      <w:jc w:val="right"/>
    </w:pPr>
    <w:rPr>
      <w:color w:val="008000"/>
    </w:rPr>
  </w:style>
  <w:style w:customStyle="1" w:styleId="font5" w:type="paragraph">
    <w:name w:val="font5"/>
    <w:basedOn w:val="a"/>
    <w:rsid w:val="006A4828"/>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6A4828"/>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d" w:type="paragraph">
    <w:name w:val="Balloon Text"/>
    <w:basedOn w:val="a"/>
    <w:semiHidden/>
    <w:rsid w:val="006A4828"/>
    <w:rPr>
      <w:sz w:val="18"/>
      <w:szCs w:val="18"/>
    </w:rPr>
  </w:style>
  <w:style w:styleId="ae" w:type="character">
    <w:name w:val="annotation reference"/>
    <w:basedOn w:val="a1"/>
    <w:uiPriority w:val="99"/>
    <w:semiHidden/>
    <w:rsid w:val="006A4828"/>
    <w:rPr>
      <w:sz w:val="21"/>
      <w:szCs w:val="21"/>
    </w:rPr>
  </w:style>
  <w:style w:styleId="af" w:type="paragraph">
    <w:name w:val="annotation text"/>
    <w:basedOn w:val="a"/>
    <w:link w:val="Char2"/>
    <w:uiPriority w:val="99"/>
    <w:semiHidden/>
    <w:rsid w:val="006A4828"/>
    <w:pPr>
      <w:jc w:val="left"/>
    </w:pPr>
  </w:style>
  <w:style w:styleId="af0" w:type="paragraph">
    <w:name w:val="annotation subject"/>
    <w:basedOn w:val="af"/>
    <w:next w:val="af"/>
    <w:semiHidden/>
    <w:rsid w:val="006A4828"/>
    <w:rPr>
      <w:b/>
      <w:bCs/>
    </w:rPr>
  </w:style>
  <w:style w:customStyle="1" w:styleId="Char3" w:type="paragraph">
    <w:name w:val="Char"/>
    <w:basedOn w:val="a"/>
    <w:rsid w:val="006A4828"/>
  </w:style>
  <w:style w:styleId="af1" w:type="paragraph">
    <w:name w:val="Document Map"/>
    <w:basedOn w:val="a"/>
    <w:semiHidden/>
    <w:rsid w:val="000A549A"/>
    <w:pPr>
      <w:shd w:color="auto" w:fill="000080" w:val="clear"/>
    </w:pPr>
  </w:style>
  <w:style w:styleId="af2" w:type="table">
    <w:name w:val="Table Grid"/>
    <w:basedOn w:val="a2"/>
    <w:qFormat/>
    <w:rsid w:val="009A31AF"/>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3" w:type="paragraph">
    <w:name w:val="footnote text"/>
    <w:basedOn w:val="a"/>
    <w:link w:val="Char4"/>
    <w:rsid w:val="000B251E"/>
    <w:pPr>
      <w:snapToGrid w:val="0"/>
      <w:jc w:val="left"/>
    </w:pPr>
    <w:rPr>
      <w:sz w:val="18"/>
      <w:szCs w:val="18"/>
    </w:rPr>
  </w:style>
  <w:style w:styleId="af4" w:type="character">
    <w:name w:val="footnote reference"/>
    <w:basedOn w:val="a1"/>
    <w:rsid w:val="000B251E"/>
    <w:rPr>
      <w:vertAlign w:val="superscript"/>
    </w:rPr>
  </w:style>
  <w:style w:styleId="af5" w:type="paragraph">
    <w:name w:val="Normal (Web)"/>
    <w:basedOn w:val="a"/>
    <w:rsid w:val="00B25807"/>
    <w:pPr>
      <w:widowControl/>
      <w:spacing w:after="100" w:afterAutospacing="1" w:before="100" w:beforeAutospacing="1"/>
      <w:jc w:val="left"/>
    </w:pPr>
    <w:rPr>
      <w:rFonts w:ascii="宋体" w:hAnsi="宋体"/>
      <w:kern w:val="0"/>
      <w:sz w:val="24"/>
    </w:rPr>
  </w:style>
  <w:style w:customStyle="1" w:styleId="Char5" w:type="paragraph">
    <w:name w:val="Char"/>
    <w:basedOn w:val="a"/>
    <w:rsid w:val="00D97213"/>
  </w:style>
  <w:style w:customStyle="1" w:styleId="5" w:type="numbering">
    <w:name w:val="样式5"/>
    <w:rsid w:val="00952A72"/>
    <w:pPr>
      <w:numPr>
        <w:numId w:val="8"/>
      </w:numPr>
    </w:pPr>
  </w:style>
  <w:style w:customStyle="1" w:styleId="t1" w:type="character">
    <w:name w:val="t1"/>
    <w:basedOn w:val="a1"/>
    <w:rsid w:val="002D2A00"/>
    <w:rPr>
      <w:color w:val="990000"/>
    </w:rPr>
  </w:style>
  <w:style w:customStyle="1" w:styleId="Char" w:type="character">
    <w:name w:val="纯文本 Char"/>
    <w:basedOn w:val="a1"/>
    <w:link w:val="a5"/>
    <w:uiPriority w:val="99"/>
    <w:rsid w:val="009A045B"/>
    <w:rPr>
      <w:rFonts w:ascii="宋体" w:hAnsi="Courier New"/>
      <w:kern w:val="2"/>
      <w:sz w:val="21"/>
      <w:szCs w:val="21"/>
    </w:rPr>
  </w:style>
  <w:style w:customStyle="1" w:styleId="Char4" w:type="character">
    <w:name w:val="脚注文本 Char"/>
    <w:basedOn w:val="a1"/>
    <w:link w:val="af3"/>
    <w:rsid w:val="00CB481C"/>
    <w:rPr>
      <w:kern w:val="2"/>
      <w:sz w:val="18"/>
      <w:szCs w:val="18"/>
    </w:rPr>
  </w:style>
  <w:style w:customStyle="1" w:styleId="Default" w:type="paragraph">
    <w:name w:val="Default"/>
    <w:rsid w:val="00CB481C"/>
    <w:pPr>
      <w:widowControl w:val="0"/>
      <w:autoSpaceDE w:val="0"/>
      <w:autoSpaceDN w:val="0"/>
      <w:adjustRightInd w:val="0"/>
    </w:pPr>
    <w:rPr>
      <w:rFonts w:ascii="FangSong" w:cs="FangSong" w:hAnsi="FangSong"/>
      <w:color w:val="000000"/>
      <w:sz w:val="24"/>
      <w:szCs w:val="24"/>
    </w:rPr>
  </w:style>
  <w:style w:customStyle="1" w:styleId="Char0" w:type="character">
    <w:name w:val="页眉 Char"/>
    <w:basedOn w:val="a1"/>
    <w:link w:val="a9"/>
    <w:uiPriority w:val="99"/>
    <w:rsid w:val="001207F2"/>
    <w:rPr>
      <w:kern w:val="2"/>
      <w:sz w:val="18"/>
      <w:szCs w:val="18"/>
    </w:rPr>
  </w:style>
  <w:style w:customStyle="1" w:styleId="1Char" w:type="character">
    <w:name w:val="标题 1 Char"/>
    <w:basedOn w:val="a1"/>
    <w:link w:val="1"/>
    <w:uiPriority w:val="99"/>
    <w:rsid w:val="00180952"/>
    <w:rPr>
      <w:b/>
      <w:bCs/>
      <w:kern w:val="44"/>
      <w:sz w:val="44"/>
      <w:szCs w:val="44"/>
    </w:rPr>
  </w:style>
  <w:style w:customStyle="1" w:styleId="Char1" w:type="character">
    <w:name w:val="日期 Char"/>
    <w:basedOn w:val="a1"/>
    <w:link w:val="ac"/>
    <w:rsid w:val="00D66685"/>
    <w:rPr>
      <w:kern w:val="2"/>
      <w:sz w:val="24"/>
    </w:rPr>
  </w:style>
  <w:style w:styleId="af6" w:type="character">
    <w:name w:val="Strong"/>
    <w:basedOn w:val="a1"/>
    <w:uiPriority w:val="22"/>
    <w:qFormat/>
    <w:rsid w:val="00C02900"/>
    <w:rPr>
      <w:b/>
      <w:bCs/>
    </w:rPr>
  </w:style>
  <w:style w:customStyle="1" w:styleId="Char2" w:type="character">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2FB8-C167-4963-8B27-9929FDC0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254</TotalTime>
  <Pages>27</Pages>
  <Words>4295</Words>
  <Characters>24488</Characters>
  <Application>Microsoft Office Word</Application>
  <DocSecurity>0</DocSecurity>
  <Lines>204</Lines>
  <Paragraphs>57</Paragraphs>
  <ScaleCrop>false</ScaleCrop>
  <Company>TRT. Ltd. Co.</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业务系统</cp:lastModifiedBy>
  <cp:lastPrinted>2007-07-19T00:46:00Z</cp:lastPrinted>
  <dcterms:modified xsi:type="dcterms:W3CDTF">2020-03-05T08:23:00Z</dcterms:modified>
  <cp:revision>404</cp:revision>
</cp:coreProperties>
</file>