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3F" w:rsidRPr="000E4C40" w:rsidRDefault="00902E3F" w:rsidP="00281564">
      <w:pPr>
        <w:autoSpaceDE w:val="0"/>
        <w:autoSpaceDN w:val="0"/>
        <w:adjustRightInd w:val="0"/>
        <w:spacing w:before="29" w:line="288" w:lineRule="auto"/>
        <w:jc w:val="left"/>
        <w:rPr>
          <w:color w:val="000000"/>
          <w:kern w:val="0"/>
          <w:sz w:val="24"/>
        </w:rPr>
      </w:pPr>
    </w:p>
    <w:p w:rsidR="002B45A4" w:rsidRPr="000E4C40" w:rsidRDefault="002B45A4" w:rsidP="00281564">
      <w:pPr>
        <w:autoSpaceDE w:val="0"/>
        <w:autoSpaceDN w:val="0"/>
        <w:adjustRightInd w:val="0"/>
        <w:spacing w:before="29" w:line="288" w:lineRule="auto"/>
        <w:jc w:val="left"/>
        <w:rPr>
          <w:color w:val="000000"/>
          <w:kern w:val="0"/>
          <w:sz w:val="24"/>
        </w:rPr>
      </w:pPr>
    </w:p>
    <w:p w:rsidR="00575970" w:rsidRPr="000E4C40" w:rsidRDefault="00575970" w:rsidP="00281564">
      <w:pPr>
        <w:autoSpaceDE w:val="0"/>
        <w:autoSpaceDN w:val="0"/>
        <w:adjustRightInd w:val="0"/>
        <w:spacing w:before="29" w:line="288" w:lineRule="auto"/>
        <w:jc w:val="left"/>
        <w:rPr>
          <w:color w:val="000000"/>
          <w:kern w:val="0"/>
          <w:sz w:val="24"/>
        </w:rPr>
      </w:pPr>
    </w:p>
    <w:p w:rsidR="00B60E27" w:rsidRPr="000E4C40" w:rsidRDefault="00B60E27" w:rsidP="00281564">
      <w:pPr>
        <w:autoSpaceDE w:val="0"/>
        <w:autoSpaceDN w:val="0"/>
        <w:adjustRightInd w:val="0"/>
        <w:spacing w:before="29" w:line="288" w:lineRule="auto"/>
        <w:jc w:val="left"/>
        <w:rPr>
          <w:color w:val="000000"/>
          <w:kern w:val="0"/>
          <w:sz w:val="24"/>
        </w:rPr>
      </w:pPr>
    </w:p>
    <w:p w:rsidR="00B60E27" w:rsidRPr="001E1B20" w:rsidRDefault="00B60E27" w:rsidP="00281564">
      <w:pPr>
        <w:spacing w:before="29" w:line="288" w:lineRule="auto"/>
        <w:jc w:val="center"/>
        <w:rPr>
          <w:b/>
          <w:sz w:val="36"/>
          <w:szCs w:val="36"/>
        </w:rPr>
      </w:pPr>
      <w:r w:rsidRPr="001E1B20">
        <w:rPr>
          <w:b/>
          <w:sz w:val="36"/>
          <w:szCs w:val="36"/>
        </w:rPr>
        <w:t>交银施罗德理财</w:t>
      </w:r>
      <w:r w:rsidRPr="001E1B20">
        <w:rPr>
          <w:b/>
          <w:sz w:val="36"/>
          <w:szCs w:val="36"/>
        </w:rPr>
        <w:t>21</w:t>
      </w:r>
      <w:r w:rsidRPr="001E1B20">
        <w:rPr>
          <w:b/>
          <w:sz w:val="36"/>
          <w:szCs w:val="36"/>
        </w:rPr>
        <w:t>天债券型证券投资基金</w:t>
      </w:r>
    </w:p>
    <w:p w:rsidR="00B60E27" w:rsidRPr="001E1B20" w:rsidRDefault="00B60E27" w:rsidP="00281564">
      <w:pPr>
        <w:spacing w:before="29" w:line="288" w:lineRule="auto"/>
        <w:jc w:val="center"/>
        <w:rPr>
          <w:b/>
          <w:sz w:val="36"/>
          <w:szCs w:val="36"/>
        </w:rPr>
      </w:pPr>
      <w:r w:rsidRPr="001E1B20">
        <w:rPr>
          <w:b/>
          <w:sz w:val="36"/>
          <w:szCs w:val="36"/>
        </w:rPr>
        <w:t>2020</w:t>
      </w:r>
      <w:r w:rsidRPr="001E1B20">
        <w:rPr>
          <w:b/>
          <w:sz w:val="36"/>
          <w:szCs w:val="36"/>
        </w:rPr>
        <w:t>年第</w:t>
      </w:r>
      <w:r w:rsidRPr="001E1B20">
        <w:rPr>
          <w:b/>
          <w:sz w:val="36"/>
          <w:szCs w:val="36"/>
        </w:rPr>
        <w:t>2</w:t>
      </w:r>
      <w:r w:rsidRPr="001E1B20">
        <w:rPr>
          <w:b/>
          <w:sz w:val="36"/>
          <w:szCs w:val="36"/>
        </w:rPr>
        <w:t>季度报告</w:t>
      </w:r>
    </w:p>
    <w:p w:rsidR="002B45A4" w:rsidRPr="001E1B20" w:rsidRDefault="00D87D00" w:rsidP="00281564">
      <w:pPr>
        <w:spacing w:before="29" w:line="288" w:lineRule="auto"/>
        <w:jc w:val="center"/>
        <w:rPr>
          <w:b/>
          <w:sz w:val="36"/>
          <w:szCs w:val="36"/>
        </w:rPr>
      </w:pPr>
      <w:r w:rsidRPr="001E1B20">
        <w:rPr>
          <w:b/>
          <w:sz w:val="36"/>
          <w:szCs w:val="36"/>
        </w:rPr>
        <w:t>2020</w:t>
      </w:r>
      <w:r w:rsidRPr="001E1B20">
        <w:rPr>
          <w:b/>
          <w:sz w:val="36"/>
          <w:szCs w:val="36"/>
        </w:rPr>
        <w:t>年</w:t>
      </w:r>
      <w:r w:rsidRPr="001E1B20">
        <w:rPr>
          <w:b/>
          <w:sz w:val="36"/>
          <w:szCs w:val="36"/>
        </w:rPr>
        <w:t>6</w:t>
      </w:r>
      <w:r w:rsidRPr="001E1B20">
        <w:rPr>
          <w:b/>
          <w:sz w:val="36"/>
          <w:szCs w:val="36"/>
        </w:rPr>
        <w:t>月</w:t>
      </w:r>
      <w:r w:rsidRPr="001E1B20">
        <w:rPr>
          <w:b/>
          <w:sz w:val="36"/>
          <w:szCs w:val="36"/>
        </w:rPr>
        <w:t>30</w:t>
      </w:r>
      <w:r w:rsidRPr="001E1B20">
        <w:rPr>
          <w:b/>
          <w:sz w:val="36"/>
          <w:szCs w:val="36"/>
        </w:rPr>
        <w:t>日</w:t>
      </w: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jc w:val="center"/>
        <w:rPr>
          <w:b/>
          <w:color w:val="000000"/>
          <w:sz w:val="24"/>
        </w:rPr>
      </w:pPr>
    </w:p>
    <w:p w:rsidR="002B45A4" w:rsidRPr="000E4C40" w:rsidRDefault="002B45A4" w:rsidP="00281564">
      <w:pPr>
        <w:spacing w:before="29" w:line="288" w:lineRule="auto"/>
        <w:rPr>
          <w:color w:val="000000"/>
          <w:sz w:val="24"/>
        </w:rPr>
      </w:pPr>
    </w:p>
    <w:p w:rsidR="00585084" w:rsidRPr="001E1B20" w:rsidRDefault="00F77131" w:rsidP="00281564">
      <w:pPr>
        <w:spacing w:before="29" w:line="288" w:lineRule="auto"/>
        <w:ind w:firstLineChars="900" w:firstLine="2168"/>
        <w:rPr>
          <w:b/>
          <w:color w:val="000000"/>
          <w:sz w:val="24"/>
        </w:rPr>
      </w:pPr>
      <w:r w:rsidRPr="001E1B20">
        <w:rPr>
          <w:rFonts w:hAnsi="宋体"/>
          <w:b/>
          <w:color w:val="000000"/>
          <w:sz w:val="24"/>
        </w:rPr>
        <w:t>基金管理人：</w:t>
      </w:r>
      <w:r w:rsidRPr="001E1B20">
        <w:rPr>
          <w:b/>
          <w:color w:val="000000"/>
          <w:sz w:val="24"/>
        </w:rPr>
        <w:t>交银施罗德基金管理有限公司</w:t>
      </w:r>
    </w:p>
    <w:p w:rsidR="00585084" w:rsidRPr="001E1B20" w:rsidRDefault="00F77131" w:rsidP="00281564">
      <w:pPr>
        <w:spacing w:before="29" w:line="288" w:lineRule="auto"/>
        <w:ind w:firstLineChars="900" w:firstLine="2168"/>
        <w:rPr>
          <w:b/>
          <w:color w:val="000000"/>
          <w:sz w:val="24"/>
        </w:rPr>
      </w:pPr>
      <w:r w:rsidRPr="001E1B20">
        <w:rPr>
          <w:rFonts w:hAnsi="宋体"/>
          <w:b/>
          <w:color w:val="000000"/>
          <w:sz w:val="24"/>
        </w:rPr>
        <w:t>基金托管人：</w:t>
      </w:r>
      <w:r w:rsidRPr="001E1B20">
        <w:rPr>
          <w:b/>
          <w:color w:val="000000"/>
          <w:sz w:val="24"/>
        </w:rPr>
        <w:t>中国农业银行股份有限公司</w:t>
      </w:r>
    </w:p>
    <w:p w:rsidR="00902E3F" w:rsidRPr="001E1B20" w:rsidRDefault="00F77131" w:rsidP="00281564">
      <w:pPr>
        <w:spacing w:before="29" w:line="288" w:lineRule="auto"/>
        <w:ind w:firstLineChars="900" w:firstLine="2168"/>
        <w:rPr>
          <w:b/>
          <w:color w:val="000000"/>
          <w:sz w:val="24"/>
        </w:rPr>
        <w:sectPr w:rsidR="00902E3F" w:rsidRPr="001E1B20" w:rsidSect="00841EB4">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noEndnote/>
          <w:titlePg/>
          <w:docGrid w:linePitch="286"/>
        </w:sectPr>
      </w:pPr>
      <w:r w:rsidRPr="001E1B20">
        <w:rPr>
          <w:rFonts w:hAnsi="宋体"/>
          <w:b/>
          <w:color w:val="000000"/>
          <w:sz w:val="24"/>
        </w:rPr>
        <w:t>报告送出日期：</w:t>
      </w:r>
      <w:r w:rsidR="00EF56FA" w:rsidRPr="001E1B20">
        <w:rPr>
          <w:b/>
          <w:color w:val="000000"/>
          <w:sz w:val="24"/>
        </w:rPr>
        <w:t>二〇二〇年七月二十一日</w:t>
      </w:r>
    </w:p>
    <w:p w:rsidR="00902E3F" w:rsidRPr="000E4C40" w:rsidRDefault="00902E3F" w:rsidP="00841EB4">
      <w:pPr>
        <w:pStyle w:val="1"/>
        <w:spacing w:beforeLines="100" w:before="312" w:afterLines="100" w:after="312"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rsidR="00226301" w:rsidRDefault="00EA0F91">
      <w:pPr>
        <w:adjustRightInd w:val="0"/>
        <w:spacing w:before="29" w:line="288"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226301" w:rsidRDefault="00EA0F91">
      <w:pPr>
        <w:adjustRightInd w:val="0"/>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2020</w:t>
      </w:r>
      <w:r>
        <w:rPr>
          <w:color w:val="000000"/>
          <w:sz w:val="24"/>
        </w:rPr>
        <w:t>年</w:t>
      </w:r>
      <w:r>
        <w:rPr>
          <w:color w:val="000000"/>
          <w:sz w:val="24"/>
        </w:rPr>
        <w:t>7</w:t>
      </w:r>
      <w:r>
        <w:rPr>
          <w:color w:val="000000"/>
          <w:sz w:val="24"/>
        </w:rPr>
        <w:t>月</w:t>
      </w:r>
      <w:r>
        <w:rPr>
          <w:color w:val="000000"/>
          <w:sz w:val="24"/>
        </w:rPr>
        <w:t>20</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226301" w:rsidRDefault="00EA0F91">
      <w:pPr>
        <w:adjustRightInd w:val="0"/>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226301" w:rsidRDefault="00EA0F91">
      <w:pPr>
        <w:adjustRightInd w:val="0"/>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226301" w:rsidRDefault="00EA0F91">
      <w:pPr>
        <w:adjustRightInd w:val="0"/>
        <w:spacing w:before="29" w:line="288" w:lineRule="auto"/>
        <w:ind w:firstLineChars="200" w:firstLine="480"/>
        <w:rPr>
          <w:color w:val="000000"/>
          <w:sz w:val="24"/>
        </w:rPr>
      </w:pPr>
      <w:r>
        <w:rPr>
          <w:color w:val="000000"/>
          <w:sz w:val="24"/>
        </w:rPr>
        <w:t>本报告中财务资料未经审计。</w:t>
      </w:r>
    </w:p>
    <w:p w:rsidR="00186667" w:rsidRPr="000E4C40" w:rsidRDefault="00A805BC" w:rsidP="00281564">
      <w:pPr>
        <w:adjustRightInd w:val="0"/>
        <w:spacing w:before="29" w:line="288" w:lineRule="auto"/>
        <w:ind w:firstLineChars="200" w:firstLine="480"/>
        <w:rPr>
          <w:color w:val="000000"/>
          <w:sz w:val="24"/>
        </w:rPr>
      </w:pPr>
      <w:r w:rsidRPr="000E4C40">
        <w:rPr>
          <w:color w:val="000000"/>
          <w:sz w:val="24"/>
        </w:rPr>
        <w:t>本报告期自</w:t>
      </w:r>
      <w:r w:rsidRPr="000E4C40">
        <w:rPr>
          <w:color w:val="000000"/>
          <w:sz w:val="24"/>
        </w:rPr>
        <w:t>2020</w:t>
      </w:r>
      <w:r w:rsidRPr="000E4C40">
        <w:rPr>
          <w:color w:val="000000"/>
          <w:sz w:val="24"/>
        </w:rPr>
        <w:t>年</w:t>
      </w:r>
      <w:r w:rsidRPr="000E4C40">
        <w:rPr>
          <w:color w:val="000000"/>
          <w:sz w:val="24"/>
        </w:rPr>
        <w:t>4</w:t>
      </w:r>
      <w:r w:rsidRPr="000E4C40">
        <w:rPr>
          <w:color w:val="000000"/>
          <w:sz w:val="24"/>
        </w:rPr>
        <w:t>月</w:t>
      </w:r>
      <w:r w:rsidRPr="000E4C40">
        <w:rPr>
          <w:color w:val="000000"/>
          <w:sz w:val="24"/>
        </w:rPr>
        <w:t>1</w:t>
      </w:r>
      <w:r w:rsidRPr="000E4C40">
        <w:rPr>
          <w:color w:val="000000"/>
          <w:sz w:val="24"/>
        </w:rPr>
        <w:t>日起至</w:t>
      </w:r>
      <w:r w:rsidRPr="000E4C40">
        <w:rPr>
          <w:color w:val="000000"/>
          <w:sz w:val="24"/>
        </w:rPr>
        <w:t>6</w:t>
      </w:r>
      <w:r w:rsidRPr="000E4C40">
        <w:rPr>
          <w:color w:val="000000"/>
          <w:sz w:val="24"/>
        </w:rPr>
        <w:t>月</w:t>
      </w:r>
      <w:r w:rsidRPr="000E4C40">
        <w:rPr>
          <w:color w:val="000000"/>
          <w:sz w:val="24"/>
        </w:rPr>
        <w:t>30</w:t>
      </w:r>
      <w:r w:rsidRPr="000E4C40">
        <w:rPr>
          <w:color w:val="000000"/>
          <w:sz w:val="24"/>
        </w:rPr>
        <w:t>日止。</w:t>
      </w:r>
    </w:p>
    <w:p w:rsidR="00DF2D90" w:rsidRPr="000E4C40" w:rsidRDefault="00DF2D90" w:rsidP="00281564">
      <w:pPr>
        <w:adjustRightInd w:val="0"/>
        <w:spacing w:before="29" w:line="288" w:lineRule="auto"/>
        <w:ind w:firstLineChars="200" w:firstLine="480"/>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2923"/>
      </w:tblGrid>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kern w:val="0"/>
                <w:sz w:val="24"/>
              </w:rPr>
            </w:pPr>
            <w:r w:rsidRPr="000E4C40">
              <w:rPr>
                <w:rFonts w:hAnsi="宋体"/>
                <w:kern w:val="0"/>
                <w:sz w:val="24"/>
              </w:rPr>
              <w:t>基金简称</w:t>
            </w:r>
          </w:p>
        </w:tc>
        <w:tc>
          <w:tcPr>
            <w:tcW w:w="5845" w:type="dxa"/>
            <w:gridSpan w:val="2"/>
            <w:vAlign w:val="center"/>
          </w:tcPr>
          <w:p w:rsidR="00A805BC" w:rsidRPr="000E4C40" w:rsidRDefault="00A805BC" w:rsidP="00281564">
            <w:pPr>
              <w:adjustRightInd w:val="0"/>
              <w:spacing w:before="29" w:line="288" w:lineRule="auto"/>
              <w:ind w:left="17"/>
              <w:jc w:val="left"/>
              <w:rPr>
                <w:color w:val="000000"/>
                <w:kern w:val="0"/>
                <w:sz w:val="24"/>
              </w:rPr>
            </w:pPr>
            <w:r w:rsidRPr="000E4C40">
              <w:rPr>
                <w:color w:val="000000"/>
                <w:kern w:val="0"/>
                <w:sz w:val="24"/>
              </w:rPr>
              <w:t>交银理财</w:t>
            </w:r>
            <w:r w:rsidRPr="000E4C40">
              <w:rPr>
                <w:color w:val="000000"/>
                <w:kern w:val="0"/>
                <w:sz w:val="24"/>
              </w:rPr>
              <w:t>21</w:t>
            </w:r>
            <w:r w:rsidRPr="000E4C40">
              <w:rPr>
                <w:color w:val="000000"/>
                <w:kern w:val="0"/>
                <w:sz w:val="24"/>
              </w:rPr>
              <w:t>天债券</w:t>
            </w:r>
          </w:p>
        </w:tc>
      </w:tr>
      <w:tr w:rsidR="00D06255" w:rsidRPr="000E4C40" w:rsidTr="00EA4C82">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06255" w:rsidRPr="000E4C40" w:rsidRDefault="00D06255" w:rsidP="00281564">
            <w:pPr>
              <w:adjustRightInd w:val="0"/>
              <w:spacing w:before="29" w:line="288" w:lineRule="auto"/>
              <w:ind w:left="17"/>
              <w:jc w:val="left"/>
              <w:rPr>
                <w:kern w:val="0"/>
                <w:sz w:val="24"/>
              </w:rPr>
            </w:pPr>
            <w:r w:rsidRPr="000E4C40">
              <w:rPr>
                <w:rFonts w:hAnsi="宋体"/>
                <w:kern w:val="0"/>
                <w:sz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06255" w:rsidRPr="000E4C40" w:rsidRDefault="00D06255" w:rsidP="00281564">
            <w:pPr>
              <w:adjustRightInd w:val="0"/>
              <w:spacing w:before="29" w:line="288" w:lineRule="auto"/>
              <w:ind w:left="17"/>
              <w:jc w:val="left"/>
              <w:rPr>
                <w:color w:val="000000"/>
                <w:kern w:val="0"/>
                <w:sz w:val="24"/>
              </w:rPr>
            </w:pPr>
            <w:r w:rsidRPr="000E4C40">
              <w:rPr>
                <w:color w:val="000000"/>
                <w:kern w:val="0"/>
                <w:sz w:val="24"/>
              </w:rPr>
              <w:t>519716</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基金运作方式</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契约型开放式</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基金合同生效日</w:t>
            </w:r>
          </w:p>
        </w:tc>
        <w:tc>
          <w:tcPr>
            <w:tcW w:w="5845" w:type="dxa"/>
            <w:gridSpan w:val="2"/>
            <w:vAlign w:val="center"/>
          </w:tcPr>
          <w:p w:rsidR="00A805BC" w:rsidRPr="000E4C40" w:rsidRDefault="002507FE" w:rsidP="00281564">
            <w:pPr>
              <w:adjustRightInd w:val="0"/>
              <w:spacing w:before="29" w:line="288" w:lineRule="auto"/>
              <w:ind w:left="17"/>
              <w:jc w:val="left"/>
              <w:rPr>
                <w:color w:val="000000"/>
                <w:sz w:val="24"/>
              </w:rPr>
            </w:pPr>
            <w:r w:rsidRPr="000E4C40">
              <w:rPr>
                <w:color w:val="000000"/>
                <w:kern w:val="0"/>
                <w:sz w:val="24"/>
              </w:rPr>
              <w:t>2012</w:t>
            </w:r>
            <w:r w:rsidRPr="000E4C40">
              <w:rPr>
                <w:color w:val="000000"/>
                <w:kern w:val="0"/>
                <w:sz w:val="24"/>
              </w:rPr>
              <w:t>年</w:t>
            </w:r>
            <w:r w:rsidRPr="000E4C40">
              <w:rPr>
                <w:color w:val="000000"/>
                <w:kern w:val="0"/>
                <w:sz w:val="24"/>
              </w:rPr>
              <w:t>11</w:t>
            </w:r>
            <w:r w:rsidRPr="000E4C40">
              <w:rPr>
                <w:color w:val="000000"/>
                <w:kern w:val="0"/>
                <w:sz w:val="24"/>
              </w:rPr>
              <w:t>月</w:t>
            </w:r>
            <w:r w:rsidRPr="000E4C40">
              <w:rPr>
                <w:color w:val="000000"/>
                <w:kern w:val="0"/>
                <w:sz w:val="24"/>
              </w:rPr>
              <w:t>5</w:t>
            </w:r>
            <w:r w:rsidRPr="000E4C40">
              <w:rPr>
                <w:color w:val="000000"/>
                <w:kern w:val="0"/>
                <w:sz w:val="24"/>
              </w:rPr>
              <w:t>日</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报告期末基金份额总额</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7,560,723,891.91</w:t>
            </w:r>
            <w:r w:rsidR="00C2005E" w:rsidRPr="000E4C40">
              <w:rPr>
                <w:rFonts w:hAnsi="宋体"/>
                <w:color w:val="000000"/>
                <w:kern w:val="0"/>
                <w:sz w:val="24"/>
              </w:rPr>
              <w:t>份</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投资目标</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本基金在追求本金安全、保持资产流动性的基础上，努力追求绝对收益，为基金份额持有人谋求资产的稳定增值。</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投资策略</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业绩比较基准</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七天通知存款税后利率</w:t>
            </w:r>
          </w:p>
        </w:tc>
      </w:tr>
      <w:tr w:rsidR="00A01505" w:rsidRPr="000E4C40" w:rsidTr="00EA4C82">
        <w:trPr>
          <w:jc w:val="center"/>
        </w:trPr>
        <w:tc>
          <w:tcPr>
            <w:tcW w:w="3023" w:type="dxa"/>
            <w:vAlign w:val="center"/>
          </w:tcPr>
          <w:p w:rsidR="00A01505" w:rsidRPr="000E4C40" w:rsidRDefault="00A01505" w:rsidP="00281564">
            <w:pPr>
              <w:adjustRightInd w:val="0"/>
              <w:spacing w:before="29" w:line="288" w:lineRule="auto"/>
              <w:ind w:left="17"/>
              <w:jc w:val="left"/>
              <w:rPr>
                <w:kern w:val="0"/>
                <w:sz w:val="24"/>
              </w:rPr>
            </w:pPr>
            <w:r w:rsidRPr="000E4C40">
              <w:rPr>
                <w:rFonts w:hAnsi="宋体"/>
                <w:kern w:val="0"/>
                <w:sz w:val="24"/>
              </w:rPr>
              <w:t>风险收益特征</w:t>
            </w:r>
          </w:p>
        </w:tc>
        <w:tc>
          <w:tcPr>
            <w:tcW w:w="5845" w:type="dxa"/>
            <w:gridSpan w:val="2"/>
            <w:vAlign w:val="center"/>
          </w:tcPr>
          <w:p w:rsidR="00A01505" w:rsidRPr="000E4C40" w:rsidRDefault="00A01505" w:rsidP="00281564">
            <w:pPr>
              <w:adjustRightInd w:val="0"/>
              <w:spacing w:before="29" w:line="288" w:lineRule="auto"/>
              <w:ind w:left="17"/>
              <w:jc w:val="left"/>
              <w:rPr>
                <w:color w:val="000000"/>
                <w:kern w:val="0"/>
                <w:sz w:val="24"/>
              </w:rPr>
            </w:pPr>
            <w:r w:rsidRPr="000E4C40">
              <w:rPr>
                <w:color w:val="000000"/>
                <w:kern w:val="0"/>
                <w:sz w:val="24"/>
              </w:rPr>
              <w:t>本基金属于债券型证券投资基金，长期风险收益水平低于股票型基金、混合型基金，高于货币市场型证券</w:t>
            </w:r>
            <w:r w:rsidRPr="000E4C40">
              <w:rPr>
                <w:color w:val="000000"/>
                <w:kern w:val="0"/>
                <w:sz w:val="24"/>
              </w:rPr>
              <w:lastRenderedPageBreak/>
              <w:t>投资基金。</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lastRenderedPageBreak/>
              <w:t>基金管理人</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交银施罗德基金管理有限公司</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sz w:val="24"/>
              </w:rPr>
            </w:pPr>
            <w:r w:rsidRPr="000E4C40">
              <w:rPr>
                <w:rFonts w:hAnsi="宋体"/>
                <w:kern w:val="0"/>
                <w:sz w:val="24"/>
              </w:rPr>
              <w:t>基金托管人</w:t>
            </w:r>
          </w:p>
        </w:tc>
        <w:tc>
          <w:tcPr>
            <w:tcW w:w="5845" w:type="dxa"/>
            <w:gridSpan w:val="2"/>
            <w:vAlign w:val="center"/>
          </w:tcPr>
          <w:p w:rsidR="00A805BC" w:rsidRPr="000E4C40" w:rsidRDefault="00A805BC" w:rsidP="00281564">
            <w:pPr>
              <w:adjustRightInd w:val="0"/>
              <w:spacing w:before="29" w:line="288" w:lineRule="auto"/>
              <w:ind w:left="17"/>
              <w:jc w:val="left"/>
              <w:rPr>
                <w:color w:val="000000"/>
                <w:sz w:val="24"/>
              </w:rPr>
            </w:pPr>
            <w:r w:rsidRPr="000E4C40">
              <w:rPr>
                <w:color w:val="000000"/>
                <w:kern w:val="0"/>
                <w:sz w:val="24"/>
              </w:rPr>
              <w:t>中国农业银行股份有限公司</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kern w:val="0"/>
                <w:sz w:val="24"/>
              </w:rPr>
            </w:pPr>
            <w:r w:rsidRPr="000E4C40">
              <w:rPr>
                <w:rFonts w:hAnsi="宋体"/>
                <w:color w:val="000000"/>
                <w:sz w:val="24"/>
              </w:rPr>
              <w:t>下属两级基金的基金简称</w:t>
            </w:r>
          </w:p>
        </w:tc>
        <w:tc>
          <w:tcPr>
            <w:tcW w:w="2922" w:type="dxa"/>
            <w:vAlign w:val="center"/>
          </w:tcPr>
          <w:p w:rsidR="00A805BC" w:rsidRPr="000E4C40" w:rsidRDefault="00A805BC" w:rsidP="00281564">
            <w:pPr>
              <w:spacing w:before="29" w:line="288" w:lineRule="auto"/>
              <w:jc w:val="left"/>
              <w:rPr>
                <w:sz w:val="24"/>
              </w:rPr>
            </w:pPr>
            <w:r w:rsidRPr="000E4C40">
              <w:rPr>
                <w:sz w:val="24"/>
              </w:rPr>
              <w:t>交银理财</w:t>
            </w:r>
            <w:r w:rsidRPr="000E4C40">
              <w:rPr>
                <w:sz w:val="24"/>
              </w:rPr>
              <w:t>21</w:t>
            </w:r>
            <w:r w:rsidRPr="000E4C40">
              <w:rPr>
                <w:sz w:val="24"/>
              </w:rPr>
              <w:t>天债券</w:t>
            </w:r>
            <w:r w:rsidRPr="000E4C40">
              <w:rPr>
                <w:sz w:val="24"/>
              </w:rPr>
              <w:t>A</w:t>
            </w:r>
          </w:p>
        </w:tc>
        <w:tc>
          <w:tcPr>
            <w:tcW w:w="2923" w:type="dxa"/>
            <w:vAlign w:val="center"/>
          </w:tcPr>
          <w:p w:rsidR="00A805BC" w:rsidRPr="000E4C40" w:rsidRDefault="00A805BC" w:rsidP="00281564">
            <w:pPr>
              <w:spacing w:before="29" w:line="288" w:lineRule="auto"/>
              <w:jc w:val="left"/>
              <w:rPr>
                <w:sz w:val="24"/>
              </w:rPr>
            </w:pPr>
            <w:r w:rsidRPr="000E4C40">
              <w:rPr>
                <w:sz w:val="24"/>
              </w:rPr>
              <w:t>交银理财</w:t>
            </w:r>
            <w:r w:rsidRPr="000E4C40">
              <w:rPr>
                <w:sz w:val="24"/>
              </w:rPr>
              <w:t>21</w:t>
            </w:r>
            <w:r w:rsidRPr="000E4C40">
              <w:rPr>
                <w:sz w:val="24"/>
              </w:rPr>
              <w:t>天债券</w:t>
            </w:r>
            <w:r w:rsidRPr="000E4C40">
              <w:rPr>
                <w:sz w:val="24"/>
              </w:rPr>
              <w:t>B</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w="2922" w:type="dxa"/>
            <w:vAlign w:val="center"/>
          </w:tcPr>
          <w:p w:rsidR="00A805BC" w:rsidRPr="000E4C40" w:rsidRDefault="00A805BC" w:rsidP="00281564">
            <w:pPr>
              <w:spacing w:before="29" w:line="288" w:lineRule="auto"/>
              <w:jc w:val="left"/>
              <w:rPr>
                <w:sz w:val="24"/>
              </w:rPr>
            </w:pPr>
            <w:r w:rsidRPr="000E4C40">
              <w:rPr>
                <w:sz w:val="24"/>
              </w:rPr>
              <w:t>519716</w:t>
            </w:r>
          </w:p>
        </w:tc>
        <w:tc>
          <w:tcPr>
            <w:tcW w:w="2923" w:type="dxa"/>
            <w:vAlign w:val="center"/>
          </w:tcPr>
          <w:p w:rsidR="00A805BC" w:rsidRPr="000E4C40" w:rsidRDefault="00A805BC" w:rsidP="00281564">
            <w:pPr>
              <w:spacing w:before="29" w:line="288" w:lineRule="auto"/>
              <w:jc w:val="left"/>
              <w:rPr>
                <w:sz w:val="24"/>
              </w:rPr>
            </w:pPr>
            <w:r w:rsidRPr="000E4C40">
              <w:rPr>
                <w:sz w:val="24"/>
              </w:rPr>
              <w:t>519717</w:t>
            </w:r>
          </w:p>
        </w:tc>
      </w:tr>
      <w:tr w:rsidR="00A805BC" w:rsidRPr="000E4C40" w:rsidTr="00EA4C82">
        <w:trPr>
          <w:jc w:val="center"/>
        </w:trPr>
        <w:tc>
          <w:tcPr>
            <w:tcW w:w="3023" w:type="dxa"/>
            <w:vAlign w:val="center"/>
          </w:tcPr>
          <w:p w:rsidR="00A805BC" w:rsidRPr="000E4C40" w:rsidRDefault="00A805BC" w:rsidP="00281564">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w="2922" w:type="dxa"/>
            <w:vAlign w:val="center"/>
          </w:tcPr>
          <w:p w:rsidR="00A805BC" w:rsidRPr="000E4C40" w:rsidRDefault="00A805BC" w:rsidP="00281564">
            <w:pPr>
              <w:spacing w:before="29" w:line="288" w:lineRule="auto"/>
              <w:jc w:val="left"/>
              <w:rPr>
                <w:sz w:val="24"/>
              </w:rPr>
            </w:pPr>
            <w:r w:rsidRPr="000E4C40">
              <w:rPr>
                <w:sz w:val="24"/>
              </w:rPr>
              <w:t>7,631,554.59</w:t>
            </w:r>
            <w:r w:rsidR="00764CF7" w:rsidRPr="000E4C40">
              <w:rPr>
                <w:rFonts w:hAnsi="宋体"/>
                <w:sz w:val="24"/>
              </w:rPr>
              <w:t>份</w:t>
            </w:r>
          </w:p>
        </w:tc>
        <w:tc>
          <w:tcPr>
            <w:tcW w:w="2923" w:type="dxa"/>
            <w:vAlign w:val="center"/>
          </w:tcPr>
          <w:p w:rsidR="00A805BC" w:rsidRPr="000E4C40" w:rsidRDefault="00A805BC" w:rsidP="00281564">
            <w:pPr>
              <w:spacing w:before="29" w:line="288" w:lineRule="auto"/>
              <w:jc w:val="left"/>
              <w:rPr>
                <w:sz w:val="24"/>
              </w:rPr>
            </w:pPr>
            <w:r w:rsidRPr="000E4C40">
              <w:rPr>
                <w:sz w:val="24"/>
              </w:rPr>
              <w:t>7,553,092,337.32</w:t>
            </w:r>
            <w:r w:rsidR="004A6E66" w:rsidRPr="000E4C40">
              <w:rPr>
                <w:rFonts w:hAnsi="宋体"/>
                <w:sz w:val="24"/>
              </w:rPr>
              <w:t>份</w:t>
            </w:r>
          </w:p>
        </w:tc>
      </w:tr>
    </w:tbl>
    <w:p w:rsidR="00DF2D90" w:rsidRPr="000E4C40" w:rsidRDefault="00DF2D90" w:rsidP="00281564">
      <w:pPr>
        <w:autoSpaceDE w:val="0"/>
        <w:autoSpaceDN w:val="0"/>
        <w:adjustRightInd w:val="0"/>
        <w:spacing w:before="29" w:line="288" w:lineRule="auto"/>
        <w:jc w:val="left"/>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R="00902E3F" w:rsidRPr="000E4C40" w:rsidRDefault="00902E3F" w:rsidP="00281564">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F31380" w:rsidRPr="000E4C40" w:rsidTr="00AD2F16">
        <w:trPr>
          <w:jc w:val="center"/>
        </w:trPr>
        <w:tc>
          <w:tcPr>
            <w:tcW w:w="3402" w:type="dxa"/>
            <w:vMerge w:val="restart"/>
            <w:vAlign w:val="center"/>
          </w:tcPr>
          <w:p w:rsidR="00F31380" w:rsidRPr="000E4C40" w:rsidRDefault="00F31380" w:rsidP="00281564">
            <w:pPr>
              <w:adjustRightInd w:val="0"/>
              <w:spacing w:before="29" w:line="288" w:lineRule="auto"/>
              <w:ind w:left="17"/>
              <w:jc w:val="center"/>
              <w:rPr>
                <w:kern w:val="0"/>
                <w:sz w:val="24"/>
              </w:rPr>
            </w:pPr>
            <w:r w:rsidRPr="000E4C40">
              <w:rPr>
                <w:rFonts w:hAnsi="宋体"/>
                <w:kern w:val="0"/>
                <w:sz w:val="24"/>
              </w:rPr>
              <w:t>主要财务指标</w:t>
            </w:r>
          </w:p>
        </w:tc>
        <w:tc>
          <w:tcPr>
            <w:tcW w:w="4962" w:type="dxa"/>
            <w:gridSpan w:val="2"/>
            <w:vAlign w:val="center"/>
          </w:tcPr>
          <w:p w:rsidR="00F31380" w:rsidRPr="000E4C40" w:rsidRDefault="00F31380" w:rsidP="00281564">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(2020</w:t>
            </w:r>
            <w:r w:rsidRPr="000E4C40">
              <w:rPr>
                <w:color w:val="000000"/>
                <w:sz w:val="24"/>
              </w:rPr>
              <w:t>年</w:t>
            </w:r>
            <w:r w:rsidRPr="000E4C40">
              <w:rPr>
                <w:color w:val="000000"/>
                <w:sz w:val="24"/>
              </w:rPr>
              <w:t>4</w:t>
            </w:r>
            <w:r w:rsidRPr="000E4C40">
              <w:rPr>
                <w:color w:val="000000"/>
                <w:sz w:val="24"/>
              </w:rPr>
              <w:t>月</w:t>
            </w:r>
            <w:r w:rsidRPr="000E4C40">
              <w:rPr>
                <w:color w:val="000000"/>
                <w:sz w:val="24"/>
              </w:rPr>
              <w:t>1</w:t>
            </w:r>
            <w:r w:rsidRPr="000E4C40">
              <w:rPr>
                <w:color w:val="000000"/>
                <w:sz w:val="24"/>
              </w:rPr>
              <w:t>日</w:t>
            </w:r>
            <w:r w:rsidRPr="000E4C40">
              <w:rPr>
                <w:color w:val="000000"/>
                <w:sz w:val="24"/>
              </w:rPr>
              <w:t>-2020</w:t>
            </w:r>
            <w:r w:rsidRPr="000E4C40">
              <w:rPr>
                <w:color w:val="000000"/>
                <w:sz w:val="24"/>
              </w:rPr>
              <w:t>年</w:t>
            </w:r>
            <w:r w:rsidRPr="000E4C40">
              <w:rPr>
                <w:color w:val="000000"/>
                <w:sz w:val="24"/>
              </w:rPr>
              <w:t>6</w:t>
            </w:r>
            <w:r w:rsidRPr="000E4C40">
              <w:rPr>
                <w:color w:val="000000"/>
                <w:sz w:val="24"/>
              </w:rPr>
              <w:t>月</w:t>
            </w:r>
            <w:r w:rsidRPr="000E4C40">
              <w:rPr>
                <w:color w:val="000000"/>
                <w:sz w:val="24"/>
              </w:rPr>
              <w:t>30</w:t>
            </w:r>
            <w:r w:rsidRPr="000E4C40">
              <w:rPr>
                <w:color w:val="000000"/>
                <w:sz w:val="24"/>
              </w:rPr>
              <w:t>日</w:t>
            </w:r>
            <w:r w:rsidRPr="000E4C40">
              <w:rPr>
                <w:color w:val="000000"/>
                <w:sz w:val="24"/>
              </w:rPr>
              <w:t>)</w:t>
            </w:r>
          </w:p>
        </w:tc>
      </w:tr>
      <w:tr w:rsidR="00F31380" w:rsidRPr="000E4C40" w:rsidTr="00AD2F16">
        <w:trPr>
          <w:jc w:val="center"/>
        </w:trPr>
        <w:tc>
          <w:tcPr>
            <w:tcW w:w="3402" w:type="dxa"/>
            <w:vMerge/>
            <w:vAlign w:val="center"/>
          </w:tcPr>
          <w:p w:rsidR="00F31380" w:rsidRPr="000E4C40" w:rsidRDefault="00F31380" w:rsidP="00281564">
            <w:pPr>
              <w:adjustRightInd w:val="0"/>
              <w:spacing w:before="29" w:line="288" w:lineRule="auto"/>
              <w:ind w:left="17"/>
              <w:jc w:val="center"/>
              <w:rPr>
                <w:kern w:val="0"/>
                <w:sz w:val="24"/>
              </w:rPr>
            </w:pPr>
          </w:p>
        </w:tc>
        <w:tc>
          <w:tcPr>
            <w:tcW w:w="2481" w:type="dxa"/>
            <w:vAlign w:val="center"/>
          </w:tcPr>
          <w:p w:rsidR="00F31380" w:rsidRPr="000E4C40" w:rsidRDefault="00F31380" w:rsidP="00281564">
            <w:pPr>
              <w:adjustRightInd w:val="0"/>
              <w:spacing w:before="29" w:line="288" w:lineRule="auto"/>
              <w:ind w:left="17"/>
              <w:jc w:val="center"/>
              <w:rPr>
                <w:color w:val="000000"/>
                <w:sz w:val="24"/>
              </w:rPr>
            </w:pPr>
            <w:r w:rsidRPr="000E4C40">
              <w:rPr>
                <w:sz w:val="24"/>
              </w:rPr>
              <w:t>交银理财</w:t>
            </w:r>
            <w:r w:rsidRPr="000E4C40">
              <w:rPr>
                <w:sz w:val="24"/>
              </w:rPr>
              <w:t>21</w:t>
            </w:r>
            <w:r w:rsidRPr="000E4C40">
              <w:rPr>
                <w:sz w:val="24"/>
              </w:rPr>
              <w:t>天债券</w:t>
            </w:r>
            <w:r w:rsidRPr="000E4C40">
              <w:rPr>
                <w:sz w:val="24"/>
              </w:rPr>
              <w:t>A</w:t>
            </w:r>
          </w:p>
        </w:tc>
        <w:tc>
          <w:tcPr>
            <w:tcW w:w="2481" w:type="dxa"/>
            <w:vAlign w:val="center"/>
          </w:tcPr>
          <w:p w:rsidR="00F31380" w:rsidRPr="000E4C40" w:rsidRDefault="00F31380" w:rsidP="00281564">
            <w:pPr>
              <w:adjustRightInd w:val="0"/>
              <w:spacing w:before="29" w:line="288" w:lineRule="auto"/>
              <w:ind w:left="17"/>
              <w:jc w:val="center"/>
              <w:rPr>
                <w:color w:val="000000"/>
                <w:sz w:val="24"/>
              </w:rPr>
            </w:pPr>
            <w:r w:rsidRPr="000E4C40">
              <w:rPr>
                <w:sz w:val="24"/>
              </w:rPr>
              <w:t>交银理财</w:t>
            </w:r>
            <w:r w:rsidRPr="000E4C40">
              <w:rPr>
                <w:sz w:val="24"/>
              </w:rPr>
              <w:t>21</w:t>
            </w:r>
            <w:r w:rsidRPr="000E4C40">
              <w:rPr>
                <w:sz w:val="24"/>
              </w:rPr>
              <w:t>天债券</w:t>
            </w:r>
            <w:r w:rsidRPr="000E4C40">
              <w:rPr>
                <w:sz w:val="24"/>
              </w:rPr>
              <w:t>B</w:t>
            </w:r>
          </w:p>
        </w:tc>
      </w:tr>
      <w:tr w:rsidR="00E8309D" w:rsidRPr="000E4C40" w:rsidTr="00AD2F16">
        <w:trPr>
          <w:trHeight w:val="840"/>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34,841.83</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71,373,890.81</w:t>
            </w:r>
          </w:p>
        </w:tc>
      </w:tr>
      <w:tr w:rsidR="00E8309D" w:rsidRPr="000E4C40" w:rsidTr="00AD2F16">
        <w:trPr>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34,841.83</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71,373,890.81</w:t>
            </w:r>
          </w:p>
        </w:tc>
      </w:tr>
      <w:tr w:rsidR="00E8309D" w:rsidRPr="000E4C40" w:rsidTr="00AD2F16">
        <w:trPr>
          <w:jc w:val="center"/>
        </w:trPr>
        <w:tc>
          <w:tcPr>
            <w:tcW w:w="3402" w:type="dxa"/>
            <w:vAlign w:val="center"/>
          </w:tcPr>
          <w:p w:rsidR="00E8309D" w:rsidRPr="000E4C40" w:rsidRDefault="0012707C" w:rsidP="00281564">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7,631,554.59</w:t>
            </w:r>
          </w:p>
        </w:tc>
        <w:tc>
          <w:tcPr>
            <w:tcW w:w="2481" w:type="dxa"/>
            <w:vAlign w:val="center"/>
          </w:tcPr>
          <w:p w:rsidR="00E8309D" w:rsidRPr="000E4C40" w:rsidRDefault="00E8309D" w:rsidP="00281564">
            <w:pPr>
              <w:adjustRightInd w:val="0"/>
              <w:spacing w:before="29" w:line="288" w:lineRule="auto"/>
              <w:ind w:left="17"/>
              <w:jc w:val="right"/>
              <w:rPr>
                <w:color w:val="000000"/>
                <w:sz w:val="24"/>
              </w:rPr>
            </w:pPr>
            <w:r w:rsidRPr="000E4C40">
              <w:rPr>
                <w:color w:val="000000"/>
                <w:sz w:val="24"/>
              </w:rPr>
              <w:t>7,553,092,337.32</w:t>
            </w:r>
          </w:p>
        </w:tc>
      </w:tr>
    </w:tbl>
    <w:p w:rsidR="00226301" w:rsidRDefault="00EA0F91">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、自</w:t>
      </w:r>
      <w:r>
        <w:rPr>
          <w:color w:val="000000"/>
          <w:sz w:val="24"/>
        </w:rPr>
        <w:t>2013</w:t>
      </w:r>
      <w:r>
        <w:rPr>
          <w:color w:val="000000"/>
          <w:sz w:val="24"/>
        </w:rPr>
        <w:t>年</w:t>
      </w:r>
      <w:r>
        <w:rPr>
          <w:color w:val="000000"/>
          <w:sz w:val="24"/>
        </w:rPr>
        <w:t>1</w:t>
      </w:r>
      <w:r>
        <w:rPr>
          <w:color w:val="000000"/>
          <w:sz w:val="24"/>
        </w:rPr>
        <w:t>月</w:t>
      </w:r>
      <w:r>
        <w:rPr>
          <w:color w:val="000000"/>
          <w:sz w:val="24"/>
        </w:rPr>
        <w:t>9</w:t>
      </w:r>
      <w:r>
        <w:rPr>
          <w:color w:val="000000"/>
          <w:sz w:val="24"/>
        </w:rPr>
        <w:t>日起，本基金实行销售服务费分类收费方式，分设两类基金份额：</w:t>
      </w:r>
      <w:r>
        <w:rPr>
          <w:color w:val="000000"/>
          <w:sz w:val="24"/>
        </w:rPr>
        <w:t>A</w:t>
      </w:r>
      <w:r>
        <w:rPr>
          <w:color w:val="000000"/>
          <w:sz w:val="24"/>
        </w:rPr>
        <w:t>类基金份额和</w:t>
      </w:r>
      <w:r>
        <w:rPr>
          <w:color w:val="000000"/>
          <w:sz w:val="24"/>
        </w:rPr>
        <w:t>B</w:t>
      </w:r>
      <w:r>
        <w:rPr>
          <w:color w:val="000000"/>
          <w:sz w:val="24"/>
        </w:rPr>
        <w:t>类基金份额。</w:t>
      </w:r>
      <w:r>
        <w:rPr>
          <w:color w:val="000000"/>
          <w:sz w:val="24"/>
        </w:rPr>
        <w:t>A</w:t>
      </w:r>
      <w:r>
        <w:rPr>
          <w:color w:val="000000"/>
          <w:sz w:val="24"/>
        </w:rPr>
        <w:t>类基金份额与</w:t>
      </w:r>
      <w:r>
        <w:rPr>
          <w:color w:val="000000"/>
          <w:sz w:val="24"/>
        </w:rPr>
        <w:t>B</w:t>
      </w:r>
      <w:r>
        <w:rPr>
          <w:color w:val="000000"/>
          <w:sz w:val="24"/>
        </w:rPr>
        <w:t>类基金份额的管理费、托管费相同，</w:t>
      </w:r>
      <w:r>
        <w:rPr>
          <w:color w:val="000000"/>
          <w:sz w:val="24"/>
        </w:rPr>
        <w:t>A</w:t>
      </w:r>
      <w:r>
        <w:rPr>
          <w:color w:val="000000"/>
          <w:sz w:val="24"/>
        </w:rPr>
        <w:t>类基金份额按照</w:t>
      </w:r>
      <w:r>
        <w:rPr>
          <w:color w:val="000000"/>
          <w:sz w:val="24"/>
        </w:rPr>
        <w:t>0.30%</w:t>
      </w:r>
      <w:r>
        <w:rPr>
          <w:color w:val="000000"/>
          <w:sz w:val="24"/>
        </w:rPr>
        <w:t>的年费率计提销售服务费，</w:t>
      </w:r>
      <w:r>
        <w:rPr>
          <w:color w:val="000000"/>
          <w:sz w:val="24"/>
        </w:rPr>
        <w:t>B</w:t>
      </w:r>
      <w:r>
        <w:rPr>
          <w:color w:val="000000"/>
          <w:sz w:val="24"/>
        </w:rPr>
        <w:t>类基金份额按照</w:t>
      </w:r>
      <w:r>
        <w:rPr>
          <w:color w:val="000000"/>
          <w:sz w:val="24"/>
        </w:rPr>
        <w:t>0.01%</w:t>
      </w:r>
      <w:r>
        <w:rPr>
          <w:color w:val="000000"/>
          <w:sz w:val="24"/>
        </w:rPr>
        <w:t>的年费率计提销售服务费。在计算主要财务指标时，</w:t>
      </w:r>
      <w:r>
        <w:rPr>
          <w:color w:val="000000"/>
          <w:sz w:val="24"/>
        </w:rPr>
        <w:t>A</w:t>
      </w:r>
      <w:r>
        <w:rPr>
          <w:color w:val="000000"/>
          <w:sz w:val="24"/>
        </w:rPr>
        <w:t>类基金份额与分类前基金连续计算，</w:t>
      </w:r>
      <w:r>
        <w:rPr>
          <w:color w:val="000000"/>
          <w:sz w:val="24"/>
        </w:rPr>
        <w:t>B</w:t>
      </w:r>
      <w:r>
        <w:rPr>
          <w:color w:val="000000"/>
          <w:sz w:val="24"/>
        </w:rPr>
        <w:t>类基金份额按新设基金计算；</w:t>
      </w:r>
    </w:p>
    <w:p w:rsidR="00893021" w:rsidRPr="000E4C40" w:rsidRDefault="00893021"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3.2.1 </w:t>
      </w:r>
      <w:r w:rsidRPr="000E4C40">
        <w:rPr>
          <w:rFonts w:hAnsi="宋体"/>
          <w:b/>
          <w:color w:val="000000"/>
          <w:kern w:val="0"/>
          <w:sz w:val="24"/>
        </w:rPr>
        <w:t>本报告期基金份额净值收益率及其与同期业绩比较基准收益率的比较</w:t>
      </w:r>
    </w:p>
    <w:p w:rsidR="00DA1983" w:rsidRPr="000E4C40" w:rsidRDefault="00186667" w:rsidP="00281564">
      <w:pPr>
        <w:pStyle w:val="20"/>
        <w:spacing w:before="29" w:line="288" w:lineRule="auto"/>
        <w:ind w:firstLineChars="0" w:firstLine="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834F7F" w:rsidRPr="000E4C40">
        <w:rPr>
          <w:rFonts w:ascii="Times New Roman" w:hAnsi="Times New Roman"/>
          <w:b/>
          <w:color w:val="auto"/>
        </w:rPr>
        <w:t>交银理财</w:t>
      </w:r>
      <w:r w:rsidR="00834F7F" w:rsidRPr="000E4C40">
        <w:rPr>
          <w:rFonts w:ascii="Times New Roman" w:hAnsi="Times New Roman"/>
          <w:b/>
          <w:color w:val="auto"/>
        </w:rPr>
        <w:t>21</w:t>
      </w:r>
      <w:r w:rsidR="00834F7F" w:rsidRPr="000E4C40">
        <w:rPr>
          <w:rFonts w:ascii="Times New Roman" w:hAnsi="Times New Roman"/>
          <w:b/>
          <w:color w:val="auto"/>
        </w:rPr>
        <w:t>天债券</w:t>
      </w:r>
      <w:r w:rsidR="00834F7F" w:rsidRPr="000E4C40">
        <w:rPr>
          <w:rFonts w:ascii="Times New Roman" w:hAnsi="Times New Roman"/>
          <w:b/>
          <w:color w:val="auto"/>
        </w:rPr>
        <w:t>A</w:t>
      </w:r>
      <w:r w:rsidR="00834F7F" w:rsidRPr="000E4C40">
        <w:rPr>
          <w:rFonts w:ascii="Times New Roman"/>
          <w:b/>
          <w:color w:val="auto"/>
        </w:rPr>
        <w:t>：</w:t>
      </w:r>
    </w:p>
    <w:tbl>
      <w:tblPr>
        <w:tblStyle w:val="aa"/>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8B23BD" w:rsidRPr="000E4C40" w:rsidTr="0071688D">
        <w:trPr>
          <w:jc w:val="center"/>
        </w:trPr>
        <w:tc>
          <w:tcPr>
            <w:tcW w:w="1328"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阶段</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w:t>
            </w:r>
            <w:r w:rsidRPr="000E4C40">
              <w:rPr>
                <w:rFonts w:ascii="Times New Roman"/>
                <w:color w:val="000000"/>
                <w:szCs w:val="24"/>
              </w:rPr>
              <w:lastRenderedPageBreak/>
              <w:t>率</w:t>
            </w:r>
            <w:r w:rsidRPr="000E4C40">
              <w:rPr>
                <w:color w:val="000000"/>
                <w:szCs w:val="24"/>
              </w:rPr>
              <w:t>①</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lastRenderedPageBreak/>
              <w:t>净值收益</w:t>
            </w:r>
            <w:r w:rsidRPr="000E4C40">
              <w:rPr>
                <w:rFonts w:ascii="Times New Roman"/>
                <w:color w:val="000000"/>
                <w:szCs w:val="24"/>
              </w:rPr>
              <w:lastRenderedPageBreak/>
              <w:t>率标准差</w:t>
            </w:r>
            <w:r w:rsidRPr="000E4C40">
              <w:rPr>
                <w:color w:val="000000"/>
                <w:szCs w:val="24"/>
              </w:rPr>
              <w:t>②</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lastRenderedPageBreak/>
              <w:t>业绩比较</w:t>
            </w:r>
            <w:r w:rsidRPr="000E4C40">
              <w:rPr>
                <w:rFonts w:ascii="Times New Roman"/>
                <w:color w:val="000000"/>
                <w:szCs w:val="24"/>
              </w:rPr>
              <w:lastRenderedPageBreak/>
              <w:t>基准收益率</w:t>
            </w:r>
            <w:r w:rsidRPr="000E4C40">
              <w:rPr>
                <w:color w:val="000000"/>
                <w:szCs w:val="24"/>
              </w:rPr>
              <w:t>③</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lastRenderedPageBreak/>
              <w:t>业绩比较</w:t>
            </w:r>
            <w:r w:rsidRPr="000E4C40">
              <w:rPr>
                <w:rFonts w:ascii="Times New Roman"/>
                <w:color w:val="000000"/>
                <w:szCs w:val="24"/>
              </w:rPr>
              <w:lastRenderedPageBreak/>
              <w:t>基准收益率标准差</w:t>
            </w:r>
            <w:r w:rsidRPr="000E4C40">
              <w:rPr>
                <w:color w:val="000000"/>
                <w:szCs w:val="24"/>
              </w:rPr>
              <w:t>④</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lastRenderedPageBreak/>
              <w:t>①</w:t>
            </w:r>
            <w:r w:rsidR="00A575D2" w:rsidRPr="000E4C40">
              <w:rPr>
                <w:rFonts w:ascii="Times New Roman"/>
                <w:color w:val="000000"/>
              </w:rPr>
              <w:t>－</w:t>
            </w:r>
            <w:r w:rsidRPr="000E4C40">
              <w:rPr>
                <w:color w:val="000000"/>
                <w:szCs w:val="24"/>
              </w:rPr>
              <w:t>③</w:t>
            </w:r>
          </w:p>
        </w:tc>
        <w:tc>
          <w:tcPr>
            <w:tcW w:w="1329" w:type="dxa"/>
            <w:vAlign w:val="center"/>
          </w:tcPr>
          <w:p w:rsidR="008B23BD" w:rsidRPr="000E4C40" w:rsidRDefault="008B23BD"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rsidR="00226301">
        <w:trPr>
          <w:jc w:val="center"/>
        </w:trPr>
        <w:tc>
          <w:tcPr>
            <w:tcW w:w="1266" w:type="dxa"/>
            <w:vAlign w:val="center"/>
          </w:tcPr>
          <w:p w:rsidR="00226301" w:rsidRDefault="00EA0F91">
            <w:pPr>
              <w:jc w:val="left"/>
            </w:pPr>
            <w:r>
              <w:rPr>
                <w:color w:val="000000"/>
              </w:rPr>
              <w:t>过去三个月</w:t>
            </w:r>
          </w:p>
        </w:tc>
        <w:tc>
          <w:tcPr>
            <w:tcW w:w="1267" w:type="dxa"/>
            <w:vAlign w:val="center"/>
          </w:tcPr>
          <w:p w:rsidR="00226301" w:rsidRDefault="00EA0F91">
            <w:pPr>
              <w:jc w:val="center"/>
            </w:pPr>
            <w:r>
              <w:rPr>
                <w:color w:val="000000"/>
              </w:rPr>
              <w:t>0.4381%</w:t>
            </w:r>
          </w:p>
        </w:tc>
        <w:tc>
          <w:tcPr>
            <w:tcW w:w="1267" w:type="dxa"/>
            <w:vAlign w:val="center"/>
          </w:tcPr>
          <w:p w:rsidR="00226301" w:rsidRDefault="00EA0F91">
            <w:pPr>
              <w:jc w:val="center"/>
            </w:pPr>
            <w:r>
              <w:rPr>
                <w:color w:val="000000"/>
              </w:rPr>
              <w:t>0.0012%</w:t>
            </w:r>
          </w:p>
        </w:tc>
        <w:tc>
          <w:tcPr>
            <w:tcW w:w="1267" w:type="dxa"/>
            <w:vAlign w:val="center"/>
          </w:tcPr>
          <w:p w:rsidR="00226301" w:rsidRDefault="00EA0F91">
            <w:pPr>
              <w:jc w:val="center"/>
            </w:pPr>
            <w:r>
              <w:rPr>
                <w:color w:val="000000"/>
              </w:rPr>
              <w:t>0.3366%</w:t>
            </w:r>
          </w:p>
        </w:tc>
        <w:tc>
          <w:tcPr>
            <w:tcW w:w="1267" w:type="dxa"/>
            <w:vAlign w:val="center"/>
          </w:tcPr>
          <w:p w:rsidR="00226301" w:rsidRDefault="00EA0F91">
            <w:pPr>
              <w:jc w:val="center"/>
            </w:pPr>
            <w:r>
              <w:rPr>
                <w:color w:val="000000"/>
              </w:rPr>
              <w:t>0.0000%</w:t>
            </w:r>
          </w:p>
        </w:tc>
        <w:tc>
          <w:tcPr>
            <w:tcW w:w="1267" w:type="dxa"/>
            <w:vAlign w:val="center"/>
          </w:tcPr>
          <w:p w:rsidR="00226301" w:rsidRDefault="00EA0F91">
            <w:pPr>
              <w:jc w:val="center"/>
            </w:pPr>
            <w:r>
              <w:rPr>
                <w:color w:val="000000"/>
              </w:rPr>
              <w:t>0.1015%</w:t>
            </w:r>
          </w:p>
        </w:tc>
        <w:tc>
          <w:tcPr>
            <w:tcW w:w="1267" w:type="dxa"/>
            <w:vAlign w:val="center"/>
          </w:tcPr>
          <w:p w:rsidR="00226301" w:rsidRDefault="00EA0F91">
            <w:pPr>
              <w:jc w:val="center"/>
            </w:pPr>
            <w:r>
              <w:rPr>
                <w:color w:val="000000"/>
              </w:rPr>
              <w:t>0.0012%</w:t>
            </w:r>
          </w:p>
        </w:tc>
      </w:tr>
      <w:tr w:rsidR="00226301">
        <w:trPr>
          <w:jc w:val="center"/>
        </w:trPr>
        <w:tc>
          <w:tcPr>
            <w:tcW w:w="1266" w:type="dxa"/>
            <w:vAlign w:val="center"/>
          </w:tcPr>
          <w:p w:rsidR="00226301" w:rsidRDefault="00EA0F91">
            <w:pPr>
              <w:jc w:val="left"/>
            </w:pPr>
            <w:r>
              <w:rPr>
                <w:color w:val="000000"/>
              </w:rPr>
              <w:t>过去六个月</w:t>
            </w:r>
          </w:p>
        </w:tc>
        <w:tc>
          <w:tcPr>
            <w:tcW w:w="1267" w:type="dxa"/>
            <w:vAlign w:val="center"/>
          </w:tcPr>
          <w:p w:rsidR="00226301" w:rsidRDefault="00EA0F91">
            <w:pPr>
              <w:jc w:val="center"/>
            </w:pPr>
            <w:r>
              <w:rPr>
                <w:color w:val="000000"/>
              </w:rPr>
              <w:t>1.0739%</w:t>
            </w:r>
          </w:p>
        </w:tc>
        <w:tc>
          <w:tcPr>
            <w:tcW w:w="1267" w:type="dxa"/>
            <w:vAlign w:val="center"/>
          </w:tcPr>
          <w:p w:rsidR="00226301" w:rsidRDefault="00EA0F91">
            <w:pPr>
              <w:jc w:val="center"/>
            </w:pPr>
            <w:r>
              <w:rPr>
                <w:color w:val="000000"/>
              </w:rPr>
              <w:t>0.0015%</w:t>
            </w:r>
          </w:p>
        </w:tc>
        <w:tc>
          <w:tcPr>
            <w:tcW w:w="1267" w:type="dxa"/>
            <w:vAlign w:val="center"/>
          </w:tcPr>
          <w:p w:rsidR="00226301" w:rsidRDefault="00EA0F91">
            <w:pPr>
              <w:jc w:val="center"/>
            </w:pPr>
            <w:r>
              <w:rPr>
                <w:color w:val="000000"/>
              </w:rPr>
              <w:t>0.6732%</w:t>
            </w:r>
          </w:p>
        </w:tc>
        <w:tc>
          <w:tcPr>
            <w:tcW w:w="1267" w:type="dxa"/>
            <w:vAlign w:val="center"/>
          </w:tcPr>
          <w:p w:rsidR="00226301" w:rsidRDefault="00EA0F91">
            <w:pPr>
              <w:jc w:val="center"/>
            </w:pPr>
            <w:r>
              <w:rPr>
                <w:color w:val="000000"/>
              </w:rPr>
              <w:t>0.0000%</w:t>
            </w:r>
          </w:p>
        </w:tc>
        <w:tc>
          <w:tcPr>
            <w:tcW w:w="1267" w:type="dxa"/>
            <w:vAlign w:val="center"/>
          </w:tcPr>
          <w:p w:rsidR="00226301" w:rsidRDefault="00EA0F91">
            <w:pPr>
              <w:jc w:val="center"/>
            </w:pPr>
            <w:r>
              <w:rPr>
                <w:color w:val="000000"/>
              </w:rPr>
              <w:t>0.4007%</w:t>
            </w:r>
          </w:p>
        </w:tc>
        <w:tc>
          <w:tcPr>
            <w:tcW w:w="1267" w:type="dxa"/>
            <w:vAlign w:val="center"/>
          </w:tcPr>
          <w:p w:rsidR="00226301" w:rsidRDefault="00EA0F91">
            <w:pPr>
              <w:jc w:val="center"/>
            </w:pPr>
            <w:r>
              <w:rPr>
                <w:color w:val="000000"/>
              </w:rPr>
              <w:t>0.0015%</w:t>
            </w:r>
          </w:p>
        </w:tc>
      </w:tr>
      <w:tr w:rsidR="00226301">
        <w:trPr>
          <w:jc w:val="center"/>
        </w:trPr>
        <w:tc>
          <w:tcPr>
            <w:tcW w:w="1266" w:type="dxa"/>
            <w:vAlign w:val="center"/>
          </w:tcPr>
          <w:p w:rsidR="00226301" w:rsidRDefault="00EA0F91">
            <w:pPr>
              <w:jc w:val="left"/>
            </w:pPr>
            <w:r>
              <w:rPr>
                <w:color w:val="000000"/>
              </w:rPr>
              <w:t>过去一年</w:t>
            </w:r>
          </w:p>
        </w:tc>
        <w:tc>
          <w:tcPr>
            <w:tcW w:w="1267" w:type="dxa"/>
            <w:vAlign w:val="center"/>
          </w:tcPr>
          <w:p w:rsidR="00226301" w:rsidRDefault="00EA0F91">
            <w:pPr>
              <w:jc w:val="center"/>
            </w:pPr>
            <w:r>
              <w:rPr>
                <w:color w:val="000000"/>
              </w:rPr>
              <w:t>2.4333%</w:t>
            </w:r>
          </w:p>
        </w:tc>
        <w:tc>
          <w:tcPr>
            <w:tcW w:w="1267" w:type="dxa"/>
            <w:vAlign w:val="center"/>
          </w:tcPr>
          <w:p w:rsidR="00226301" w:rsidRDefault="00EA0F91">
            <w:pPr>
              <w:jc w:val="center"/>
            </w:pPr>
            <w:r>
              <w:rPr>
                <w:color w:val="000000"/>
              </w:rPr>
              <w:t>0.0019%</w:t>
            </w:r>
          </w:p>
        </w:tc>
        <w:tc>
          <w:tcPr>
            <w:tcW w:w="1267" w:type="dxa"/>
            <w:vAlign w:val="center"/>
          </w:tcPr>
          <w:p w:rsidR="00226301" w:rsidRDefault="00EA0F91">
            <w:pPr>
              <w:jc w:val="center"/>
            </w:pPr>
            <w:r>
              <w:rPr>
                <w:color w:val="000000"/>
              </w:rPr>
              <w:t>1.3537%</w:t>
            </w:r>
          </w:p>
        </w:tc>
        <w:tc>
          <w:tcPr>
            <w:tcW w:w="1267" w:type="dxa"/>
            <w:vAlign w:val="center"/>
          </w:tcPr>
          <w:p w:rsidR="00226301" w:rsidRDefault="00EA0F91">
            <w:pPr>
              <w:jc w:val="center"/>
            </w:pPr>
            <w:r>
              <w:rPr>
                <w:color w:val="000000"/>
              </w:rPr>
              <w:t>0.0000%</w:t>
            </w:r>
          </w:p>
        </w:tc>
        <w:tc>
          <w:tcPr>
            <w:tcW w:w="1267" w:type="dxa"/>
            <w:vAlign w:val="center"/>
          </w:tcPr>
          <w:p w:rsidR="00226301" w:rsidRDefault="00EA0F91">
            <w:pPr>
              <w:jc w:val="center"/>
            </w:pPr>
            <w:r>
              <w:rPr>
                <w:color w:val="000000"/>
              </w:rPr>
              <w:t>1.0796%</w:t>
            </w:r>
          </w:p>
        </w:tc>
        <w:tc>
          <w:tcPr>
            <w:tcW w:w="1267" w:type="dxa"/>
            <w:vAlign w:val="center"/>
          </w:tcPr>
          <w:p w:rsidR="00226301" w:rsidRDefault="00EA0F91">
            <w:pPr>
              <w:jc w:val="center"/>
            </w:pPr>
            <w:r>
              <w:rPr>
                <w:color w:val="000000"/>
              </w:rPr>
              <w:t>0.0019%</w:t>
            </w:r>
          </w:p>
        </w:tc>
      </w:tr>
      <w:tr w:rsidR="00226301">
        <w:trPr>
          <w:jc w:val="center"/>
        </w:trPr>
        <w:tc>
          <w:tcPr>
            <w:tcW w:w="1266" w:type="dxa"/>
            <w:vAlign w:val="center"/>
          </w:tcPr>
          <w:p w:rsidR="00226301" w:rsidRDefault="00EA0F91">
            <w:pPr>
              <w:jc w:val="left"/>
            </w:pPr>
            <w:r>
              <w:rPr>
                <w:color w:val="000000"/>
              </w:rPr>
              <w:t>过去三年</w:t>
            </w:r>
          </w:p>
        </w:tc>
        <w:tc>
          <w:tcPr>
            <w:tcW w:w="1267" w:type="dxa"/>
            <w:vAlign w:val="center"/>
          </w:tcPr>
          <w:p w:rsidR="00226301" w:rsidRDefault="00EA0F91">
            <w:pPr>
              <w:jc w:val="center"/>
            </w:pPr>
            <w:r>
              <w:rPr>
                <w:color w:val="000000"/>
              </w:rPr>
              <w:t>10.1569%</w:t>
            </w:r>
          </w:p>
        </w:tc>
        <w:tc>
          <w:tcPr>
            <w:tcW w:w="1267" w:type="dxa"/>
            <w:vAlign w:val="center"/>
          </w:tcPr>
          <w:p w:rsidR="00226301" w:rsidRDefault="00EA0F91">
            <w:pPr>
              <w:jc w:val="center"/>
            </w:pPr>
            <w:r>
              <w:rPr>
                <w:color w:val="000000"/>
              </w:rPr>
              <w:t>0.0026%</w:t>
            </w:r>
          </w:p>
        </w:tc>
        <w:tc>
          <w:tcPr>
            <w:tcW w:w="1267" w:type="dxa"/>
            <w:vAlign w:val="center"/>
          </w:tcPr>
          <w:p w:rsidR="00226301" w:rsidRDefault="00EA0F91">
            <w:pPr>
              <w:jc w:val="center"/>
            </w:pPr>
            <w:r>
              <w:rPr>
                <w:color w:val="000000"/>
              </w:rPr>
              <w:t>4.0537%</w:t>
            </w:r>
          </w:p>
        </w:tc>
        <w:tc>
          <w:tcPr>
            <w:tcW w:w="1267" w:type="dxa"/>
            <w:vAlign w:val="center"/>
          </w:tcPr>
          <w:p w:rsidR="00226301" w:rsidRDefault="00EA0F91">
            <w:pPr>
              <w:jc w:val="center"/>
            </w:pPr>
            <w:r>
              <w:rPr>
                <w:color w:val="000000"/>
              </w:rPr>
              <w:t>0.0000%</w:t>
            </w:r>
          </w:p>
        </w:tc>
        <w:tc>
          <w:tcPr>
            <w:tcW w:w="1267" w:type="dxa"/>
            <w:vAlign w:val="center"/>
          </w:tcPr>
          <w:p w:rsidR="00226301" w:rsidRDefault="00EA0F91">
            <w:pPr>
              <w:jc w:val="center"/>
            </w:pPr>
            <w:r>
              <w:rPr>
                <w:color w:val="000000"/>
              </w:rPr>
              <w:t>6.1032%</w:t>
            </w:r>
          </w:p>
        </w:tc>
        <w:tc>
          <w:tcPr>
            <w:tcW w:w="1267" w:type="dxa"/>
            <w:vAlign w:val="center"/>
          </w:tcPr>
          <w:p w:rsidR="00226301" w:rsidRDefault="00EA0F91">
            <w:pPr>
              <w:jc w:val="center"/>
            </w:pPr>
            <w:r>
              <w:rPr>
                <w:color w:val="000000"/>
              </w:rPr>
              <w:t>0.0026%</w:t>
            </w:r>
          </w:p>
        </w:tc>
      </w:tr>
      <w:tr w:rsidR="00226301">
        <w:trPr>
          <w:jc w:val="center"/>
        </w:trPr>
        <w:tc>
          <w:tcPr>
            <w:tcW w:w="1266" w:type="dxa"/>
            <w:vAlign w:val="center"/>
          </w:tcPr>
          <w:p w:rsidR="00226301" w:rsidRDefault="00EA0F91">
            <w:pPr>
              <w:jc w:val="left"/>
            </w:pPr>
            <w:r>
              <w:rPr>
                <w:color w:val="000000"/>
              </w:rPr>
              <w:t>过去五年</w:t>
            </w:r>
          </w:p>
        </w:tc>
        <w:tc>
          <w:tcPr>
            <w:tcW w:w="1267" w:type="dxa"/>
            <w:vAlign w:val="center"/>
          </w:tcPr>
          <w:p w:rsidR="00226301" w:rsidRDefault="00EA0F91">
            <w:pPr>
              <w:jc w:val="center"/>
            </w:pPr>
            <w:r>
              <w:rPr>
                <w:color w:val="000000"/>
              </w:rPr>
              <w:t>16.7853%</w:t>
            </w:r>
          </w:p>
        </w:tc>
        <w:tc>
          <w:tcPr>
            <w:tcW w:w="1267" w:type="dxa"/>
            <w:vAlign w:val="center"/>
          </w:tcPr>
          <w:p w:rsidR="00226301" w:rsidRDefault="00EA0F91">
            <w:pPr>
              <w:jc w:val="center"/>
            </w:pPr>
            <w:r>
              <w:rPr>
                <w:color w:val="000000"/>
              </w:rPr>
              <w:t>0.0087%</w:t>
            </w:r>
          </w:p>
        </w:tc>
        <w:tc>
          <w:tcPr>
            <w:tcW w:w="1267" w:type="dxa"/>
            <w:vAlign w:val="center"/>
          </w:tcPr>
          <w:p w:rsidR="00226301" w:rsidRDefault="00EA0F91">
            <w:pPr>
              <w:jc w:val="center"/>
            </w:pPr>
            <w:r>
              <w:rPr>
                <w:color w:val="000000"/>
              </w:rPr>
              <w:t>6.7574%</w:t>
            </w:r>
          </w:p>
        </w:tc>
        <w:tc>
          <w:tcPr>
            <w:tcW w:w="1267" w:type="dxa"/>
            <w:vAlign w:val="center"/>
          </w:tcPr>
          <w:p w:rsidR="00226301" w:rsidRDefault="00EA0F91">
            <w:pPr>
              <w:jc w:val="center"/>
            </w:pPr>
            <w:r>
              <w:rPr>
                <w:color w:val="000000"/>
              </w:rPr>
              <w:t>0.0000%</w:t>
            </w:r>
          </w:p>
        </w:tc>
        <w:tc>
          <w:tcPr>
            <w:tcW w:w="1267" w:type="dxa"/>
            <w:vAlign w:val="center"/>
          </w:tcPr>
          <w:p w:rsidR="00226301" w:rsidRDefault="00EA0F91">
            <w:pPr>
              <w:jc w:val="center"/>
            </w:pPr>
            <w:r>
              <w:rPr>
                <w:color w:val="000000"/>
              </w:rPr>
              <w:t>10.0279%</w:t>
            </w:r>
          </w:p>
        </w:tc>
        <w:tc>
          <w:tcPr>
            <w:tcW w:w="1267" w:type="dxa"/>
            <w:vAlign w:val="center"/>
          </w:tcPr>
          <w:p w:rsidR="00226301" w:rsidRDefault="00EA0F91">
            <w:pPr>
              <w:jc w:val="center"/>
            </w:pPr>
            <w:r>
              <w:rPr>
                <w:color w:val="000000"/>
              </w:rPr>
              <w:t>0.0087%</w:t>
            </w:r>
          </w:p>
        </w:tc>
      </w:tr>
      <w:tr w:rsidR="00226301">
        <w:trPr>
          <w:jc w:val="center"/>
        </w:trPr>
        <w:tc>
          <w:tcPr>
            <w:tcW w:w="1266" w:type="dxa"/>
            <w:vAlign w:val="center"/>
          </w:tcPr>
          <w:p w:rsidR="00226301" w:rsidRDefault="00EA0F91">
            <w:pPr>
              <w:jc w:val="left"/>
            </w:pPr>
            <w:r>
              <w:rPr>
                <w:color w:val="000000"/>
              </w:rPr>
              <w:t>自基金合同生效起至今</w:t>
            </w:r>
          </w:p>
        </w:tc>
        <w:tc>
          <w:tcPr>
            <w:tcW w:w="1267" w:type="dxa"/>
            <w:vAlign w:val="center"/>
          </w:tcPr>
          <w:p w:rsidR="00226301" w:rsidRDefault="00EA0F91">
            <w:pPr>
              <w:jc w:val="center"/>
            </w:pPr>
            <w:r>
              <w:rPr>
                <w:color w:val="000000"/>
              </w:rPr>
              <w:t>30.9237%</w:t>
            </w:r>
          </w:p>
        </w:tc>
        <w:tc>
          <w:tcPr>
            <w:tcW w:w="1267" w:type="dxa"/>
            <w:vAlign w:val="center"/>
          </w:tcPr>
          <w:p w:rsidR="00226301" w:rsidRDefault="00EA0F91">
            <w:pPr>
              <w:jc w:val="center"/>
            </w:pPr>
            <w:r>
              <w:rPr>
                <w:color w:val="000000"/>
              </w:rPr>
              <w:t>0.0136%</w:t>
            </w:r>
          </w:p>
        </w:tc>
        <w:tc>
          <w:tcPr>
            <w:tcW w:w="1267" w:type="dxa"/>
            <w:vAlign w:val="center"/>
          </w:tcPr>
          <w:p w:rsidR="00226301" w:rsidRDefault="00EA0F91">
            <w:pPr>
              <w:jc w:val="center"/>
            </w:pPr>
            <w:r>
              <w:rPr>
                <w:color w:val="000000"/>
              </w:rPr>
              <w:t>10.3377%</w:t>
            </w:r>
          </w:p>
        </w:tc>
        <w:tc>
          <w:tcPr>
            <w:tcW w:w="1267" w:type="dxa"/>
            <w:vAlign w:val="center"/>
          </w:tcPr>
          <w:p w:rsidR="00226301" w:rsidRDefault="00EA0F91">
            <w:pPr>
              <w:jc w:val="center"/>
            </w:pPr>
            <w:r>
              <w:rPr>
                <w:color w:val="000000"/>
              </w:rPr>
              <w:t>0.0000%</w:t>
            </w:r>
          </w:p>
        </w:tc>
        <w:tc>
          <w:tcPr>
            <w:tcW w:w="1267" w:type="dxa"/>
            <w:vAlign w:val="center"/>
          </w:tcPr>
          <w:p w:rsidR="00226301" w:rsidRDefault="00EA0F91">
            <w:pPr>
              <w:jc w:val="center"/>
            </w:pPr>
            <w:r>
              <w:rPr>
                <w:color w:val="000000"/>
              </w:rPr>
              <w:t>20.5860%</w:t>
            </w:r>
          </w:p>
        </w:tc>
        <w:tc>
          <w:tcPr>
            <w:tcW w:w="1267" w:type="dxa"/>
            <w:vAlign w:val="center"/>
          </w:tcPr>
          <w:p w:rsidR="00226301" w:rsidRDefault="00EA0F91">
            <w:pPr>
              <w:jc w:val="center"/>
            </w:pPr>
            <w:r>
              <w:rPr>
                <w:color w:val="000000"/>
              </w:rPr>
              <w:t>0.0136%</w:t>
            </w:r>
          </w:p>
        </w:tc>
      </w:tr>
    </w:tbl>
    <w:p w:rsidR="00226301" w:rsidRDefault="00EA0F91">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、本表净值收益率数据所取的基金运作周期为基金合同生效日为起始日的运作周期。</w:t>
      </w:r>
    </w:p>
    <w:p w:rsidR="00A50D92" w:rsidRPr="000E4C40" w:rsidRDefault="00A50D92"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、本基金每日计算当日收益并分配，并在运作期期末集中支付。</w:t>
      </w:r>
    </w:p>
    <w:p w:rsidR="00186667" w:rsidRPr="000E4C40" w:rsidRDefault="00186667" w:rsidP="00281564">
      <w:pPr>
        <w:tabs>
          <w:tab w:val="left" w:pos="1800"/>
        </w:tabs>
        <w:adjustRightInd w:val="0"/>
        <w:spacing w:before="29" w:line="288" w:lineRule="auto"/>
        <w:rPr>
          <w:sz w:val="24"/>
        </w:rPr>
      </w:pPr>
    </w:p>
    <w:p w:rsidR="00186667" w:rsidRPr="000E4C40" w:rsidRDefault="00186667" w:rsidP="00281564">
      <w:pPr>
        <w:pStyle w:val="20"/>
        <w:spacing w:before="29" w:line="288" w:lineRule="auto"/>
        <w:ind w:firstLineChars="0" w:firstLine="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交银理财</w:t>
      </w:r>
      <w:r w:rsidR="000B2044" w:rsidRPr="000E4C40">
        <w:rPr>
          <w:rFonts w:ascii="Times New Roman" w:hAnsi="Times New Roman"/>
          <w:b/>
          <w:color w:val="000000"/>
        </w:rPr>
        <w:t>21</w:t>
      </w:r>
      <w:r w:rsidR="000B2044" w:rsidRPr="000E4C40">
        <w:rPr>
          <w:rFonts w:ascii="Times New Roman" w:hAnsi="Times New Roman"/>
          <w:b/>
          <w:color w:val="000000"/>
        </w:rPr>
        <w:t>天债券</w:t>
      </w:r>
      <w:r w:rsidR="000B2044" w:rsidRPr="000E4C40">
        <w:rPr>
          <w:rFonts w:ascii="Times New Roman" w:hAnsi="Times New Roman"/>
          <w:b/>
          <w:color w:val="000000"/>
        </w:rPr>
        <w:t>B</w:t>
      </w:r>
      <w:r w:rsidR="000B2044" w:rsidRPr="000E4C40">
        <w:rPr>
          <w:rFonts w:ascii="Times New Roman"/>
          <w:b/>
          <w:color w:val="auto"/>
        </w:rPr>
        <w:t>：</w:t>
      </w:r>
    </w:p>
    <w:tbl>
      <w:tblPr>
        <w:tblStyle w:val="aa"/>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113777" w:rsidRPr="000E4C40" w:rsidTr="00064E6F">
        <w:trPr>
          <w:jc w:val="center"/>
        </w:trPr>
        <w:tc>
          <w:tcPr>
            <w:tcW w:w="1328"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阶段</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w="1329" w:type="dxa"/>
            <w:vAlign w:val="center"/>
          </w:tcPr>
          <w:p w:rsidR="00113777" w:rsidRPr="000E4C40" w:rsidRDefault="00113777" w:rsidP="00281564">
            <w:pPr>
              <w:pStyle w:val="ab"/>
              <w:adjustRightInd w:val="0"/>
              <w:snapToGrid w:val="0"/>
              <w:spacing w:before="29" w:beforeAutospacing="0" w:after="0" w:after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rsidR="00226301">
        <w:trPr>
          <w:jc w:val="center"/>
        </w:trPr>
        <w:tc>
          <w:tcPr>
            <w:tcW w:w="1266" w:type="dxa"/>
            <w:vAlign w:val="center"/>
          </w:tcPr>
          <w:p w:rsidR="00226301" w:rsidRDefault="00EA0F91">
            <w:pPr>
              <w:jc w:val="left"/>
            </w:pPr>
            <w:r>
              <w:rPr>
                <w:color w:val="000000"/>
              </w:rPr>
              <w:t>过去三个月</w:t>
            </w:r>
          </w:p>
        </w:tc>
        <w:tc>
          <w:tcPr>
            <w:tcW w:w="1267" w:type="dxa"/>
            <w:vAlign w:val="center"/>
          </w:tcPr>
          <w:p w:rsidR="00226301" w:rsidRDefault="00EA0F91">
            <w:pPr>
              <w:jc w:val="center"/>
            </w:pPr>
            <w:r>
              <w:rPr>
                <w:color w:val="000000"/>
              </w:rPr>
              <w:t>0.5105%</w:t>
            </w:r>
          </w:p>
        </w:tc>
        <w:tc>
          <w:tcPr>
            <w:tcW w:w="1267" w:type="dxa"/>
            <w:vAlign w:val="center"/>
          </w:tcPr>
          <w:p w:rsidR="00226301" w:rsidRDefault="00EA0F91">
            <w:pPr>
              <w:jc w:val="center"/>
            </w:pPr>
            <w:r>
              <w:rPr>
                <w:color w:val="000000"/>
              </w:rPr>
              <w:t>0.0012%</w:t>
            </w:r>
          </w:p>
        </w:tc>
        <w:tc>
          <w:tcPr>
            <w:tcW w:w="1267" w:type="dxa"/>
            <w:vAlign w:val="center"/>
          </w:tcPr>
          <w:p w:rsidR="00226301" w:rsidRDefault="00EA0F91">
            <w:pPr>
              <w:jc w:val="center"/>
            </w:pPr>
            <w:r>
              <w:rPr>
                <w:color w:val="000000"/>
              </w:rPr>
              <w:t>0.3366%</w:t>
            </w:r>
          </w:p>
        </w:tc>
        <w:tc>
          <w:tcPr>
            <w:tcW w:w="1267" w:type="dxa"/>
            <w:vAlign w:val="center"/>
          </w:tcPr>
          <w:p w:rsidR="00226301" w:rsidRDefault="00EA0F91">
            <w:pPr>
              <w:jc w:val="center"/>
            </w:pPr>
            <w:r>
              <w:rPr>
                <w:color w:val="000000"/>
              </w:rPr>
              <w:t>0.0000%</w:t>
            </w:r>
          </w:p>
        </w:tc>
        <w:tc>
          <w:tcPr>
            <w:tcW w:w="1267" w:type="dxa"/>
            <w:vAlign w:val="center"/>
          </w:tcPr>
          <w:p w:rsidR="00226301" w:rsidRDefault="00EA0F91">
            <w:pPr>
              <w:jc w:val="center"/>
            </w:pPr>
            <w:r>
              <w:rPr>
                <w:color w:val="000000"/>
              </w:rPr>
              <w:t>0.1739%</w:t>
            </w:r>
          </w:p>
        </w:tc>
        <w:tc>
          <w:tcPr>
            <w:tcW w:w="1267" w:type="dxa"/>
            <w:vAlign w:val="center"/>
          </w:tcPr>
          <w:p w:rsidR="00226301" w:rsidRDefault="00EA0F91">
            <w:pPr>
              <w:jc w:val="center"/>
            </w:pPr>
            <w:r>
              <w:rPr>
                <w:color w:val="000000"/>
              </w:rPr>
              <w:t>0.0012%</w:t>
            </w:r>
          </w:p>
        </w:tc>
      </w:tr>
      <w:tr w:rsidR="00226301">
        <w:trPr>
          <w:jc w:val="center"/>
        </w:trPr>
        <w:tc>
          <w:tcPr>
            <w:tcW w:w="1266" w:type="dxa"/>
            <w:vAlign w:val="center"/>
          </w:tcPr>
          <w:p w:rsidR="00226301" w:rsidRDefault="00EA0F91">
            <w:pPr>
              <w:jc w:val="left"/>
            </w:pPr>
            <w:r>
              <w:rPr>
                <w:color w:val="000000"/>
              </w:rPr>
              <w:t>过去六个月</w:t>
            </w:r>
          </w:p>
        </w:tc>
        <w:tc>
          <w:tcPr>
            <w:tcW w:w="1267" w:type="dxa"/>
            <w:vAlign w:val="center"/>
          </w:tcPr>
          <w:p w:rsidR="00226301" w:rsidRDefault="00EA0F91">
            <w:pPr>
              <w:jc w:val="center"/>
            </w:pPr>
            <w:r>
              <w:rPr>
                <w:color w:val="000000"/>
              </w:rPr>
              <w:t>1.2196%</w:t>
            </w:r>
          </w:p>
        </w:tc>
        <w:tc>
          <w:tcPr>
            <w:tcW w:w="1267" w:type="dxa"/>
            <w:vAlign w:val="center"/>
          </w:tcPr>
          <w:p w:rsidR="00226301" w:rsidRDefault="00EA0F91">
            <w:pPr>
              <w:jc w:val="center"/>
            </w:pPr>
            <w:r>
              <w:rPr>
                <w:color w:val="000000"/>
              </w:rPr>
              <w:t>0.0015%</w:t>
            </w:r>
          </w:p>
        </w:tc>
        <w:tc>
          <w:tcPr>
            <w:tcW w:w="1267" w:type="dxa"/>
            <w:vAlign w:val="center"/>
          </w:tcPr>
          <w:p w:rsidR="00226301" w:rsidRDefault="00EA0F91">
            <w:pPr>
              <w:jc w:val="center"/>
            </w:pPr>
            <w:r>
              <w:rPr>
                <w:color w:val="000000"/>
              </w:rPr>
              <w:t>0.6732%</w:t>
            </w:r>
          </w:p>
        </w:tc>
        <w:tc>
          <w:tcPr>
            <w:tcW w:w="1267" w:type="dxa"/>
            <w:vAlign w:val="center"/>
          </w:tcPr>
          <w:p w:rsidR="00226301" w:rsidRDefault="00EA0F91">
            <w:pPr>
              <w:jc w:val="center"/>
            </w:pPr>
            <w:r>
              <w:rPr>
                <w:color w:val="000000"/>
              </w:rPr>
              <w:t>0.0000%</w:t>
            </w:r>
          </w:p>
        </w:tc>
        <w:tc>
          <w:tcPr>
            <w:tcW w:w="1267" w:type="dxa"/>
            <w:vAlign w:val="center"/>
          </w:tcPr>
          <w:p w:rsidR="00226301" w:rsidRDefault="00EA0F91">
            <w:pPr>
              <w:jc w:val="center"/>
            </w:pPr>
            <w:r>
              <w:rPr>
                <w:color w:val="000000"/>
              </w:rPr>
              <w:t>0.5464%</w:t>
            </w:r>
          </w:p>
        </w:tc>
        <w:tc>
          <w:tcPr>
            <w:tcW w:w="1267" w:type="dxa"/>
            <w:vAlign w:val="center"/>
          </w:tcPr>
          <w:p w:rsidR="00226301" w:rsidRDefault="00EA0F91">
            <w:pPr>
              <w:jc w:val="center"/>
            </w:pPr>
            <w:r>
              <w:rPr>
                <w:color w:val="000000"/>
              </w:rPr>
              <w:t>0.0015%</w:t>
            </w:r>
          </w:p>
        </w:tc>
      </w:tr>
      <w:tr w:rsidR="00226301">
        <w:trPr>
          <w:jc w:val="center"/>
        </w:trPr>
        <w:tc>
          <w:tcPr>
            <w:tcW w:w="1266" w:type="dxa"/>
            <w:vAlign w:val="center"/>
          </w:tcPr>
          <w:p w:rsidR="00226301" w:rsidRDefault="00EA0F91">
            <w:pPr>
              <w:jc w:val="left"/>
            </w:pPr>
            <w:r>
              <w:rPr>
                <w:color w:val="000000"/>
              </w:rPr>
              <w:t>过去一年</w:t>
            </w:r>
          </w:p>
        </w:tc>
        <w:tc>
          <w:tcPr>
            <w:tcW w:w="1267" w:type="dxa"/>
            <w:vAlign w:val="center"/>
          </w:tcPr>
          <w:p w:rsidR="00226301" w:rsidRDefault="00EA0F91">
            <w:pPr>
              <w:jc w:val="center"/>
            </w:pPr>
            <w:r>
              <w:rPr>
                <w:color w:val="000000"/>
              </w:rPr>
              <w:t>2.7309%</w:t>
            </w:r>
          </w:p>
        </w:tc>
        <w:tc>
          <w:tcPr>
            <w:tcW w:w="1267" w:type="dxa"/>
            <w:vAlign w:val="center"/>
          </w:tcPr>
          <w:p w:rsidR="00226301" w:rsidRDefault="00EA0F91">
            <w:pPr>
              <w:jc w:val="center"/>
            </w:pPr>
            <w:r>
              <w:rPr>
                <w:color w:val="000000"/>
              </w:rPr>
              <w:t>0.0019%</w:t>
            </w:r>
          </w:p>
        </w:tc>
        <w:tc>
          <w:tcPr>
            <w:tcW w:w="1267" w:type="dxa"/>
            <w:vAlign w:val="center"/>
          </w:tcPr>
          <w:p w:rsidR="00226301" w:rsidRDefault="00EA0F91">
            <w:pPr>
              <w:jc w:val="center"/>
            </w:pPr>
            <w:r>
              <w:rPr>
                <w:color w:val="000000"/>
              </w:rPr>
              <w:t>1.3537%</w:t>
            </w:r>
          </w:p>
        </w:tc>
        <w:tc>
          <w:tcPr>
            <w:tcW w:w="1267" w:type="dxa"/>
            <w:vAlign w:val="center"/>
          </w:tcPr>
          <w:p w:rsidR="00226301" w:rsidRDefault="00EA0F91">
            <w:pPr>
              <w:jc w:val="center"/>
            </w:pPr>
            <w:r>
              <w:rPr>
                <w:color w:val="000000"/>
              </w:rPr>
              <w:t>0.0000%</w:t>
            </w:r>
          </w:p>
        </w:tc>
        <w:tc>
          <w:tcPr>
            <w:tcW w:w="1267" w:type="dxa"/>
            <w:vAlign w:val="center"/>
          </w:tcPr>
          <w:p w:rsidR="00226301" w:rsidRDefault="00EA0F91">
            <w:pPr>
              <w:jc w:val="center"/>
            </w:pPr>
            <w:r>
              <w:rPr>
                <w:color w:val="000000"/>
              </w:rPr>
              <w:t>1.3772%</w:t>
            </w:r>
          </w:p>
        </w:tc>
        <w:tc>
          <w:tcPr>
            <w:tcW w:w="1267" w:type="dxa"/>
            <w:vAlign w:val="center"/>
          </w:tcPr>
          <w:p w:rsidR="00226301" w:rsidRDefault="00EA0F91">
            <w:pPr>
              <w:jc w:val="center"/>
            </w:pPr>
            <w:r>
              <w:rPr>
                <w:color w:val="000000"/>
              </w:rPr>
              <w:t>0.0019%</w:t>
            </w:r>
          </w:p>
        </w:tc>
      </w:tr>
      <w:tr w:rsidR="00226301">
        <w:trPr>
          <w:jc w:val="center"/>
        </w:trPr>
        <w:tc>
          <w:tcPr>
            <w:tcW w:w="1266" w:type="dxa"/>
            <w:vAlign w:val="center"/>
          </w:tcPr>
          <w:p w:rsidR="00226301" w:rsidRDefault="00EA0F91">
            <w:pPr>
              <w:jc w:val="left"/>
            </w:pPr>
            <w:r>
              <w:rPr>
                <w:color w:val="000000"/>
              </w:rPr>
              <w:t>过去三年</w:t>
            </w:r>
          </w:p>
        </w:tc>
        <w:tc>
          <w:tcPr>
            <w:tcW w:w="1267" w:type="dxa"/>
            <w:vAlign w:val="center"/>
          </w:tcPr>
          <w:p w:rsidR="00226301" w:rsidRDefault="00EA0F91">
            <w:pPr>
              <w:jc w:val="center"/>
            </w:pPr>
            <w:r>
              <w:rPr>
                <w:color w:val="000000"/>
              </w:rPr>
              <w:t>11.1176%</w:t>
            </w:r>
          </w:p>
        </w:tc>
        <w:tc>
          <w:tcPr>
            <w:tcW w:w="1267" w:type="dxa"/>
            <w:vAlign w:val="center"/>
          </w:tcPr>
          <w:p w:rsidR="00226301" w:rsidRDefault="00EA0F91">
            <w:pPr>
              <w:jc w:val="center"/>
            </w:pPr>
            <w:r>
              <w:rPr>
                <w:color w:val="000000"/>
              </w:rPr>
              <w:t>0.0026%</w:t>
            </w:r>
          </w:p>
        </w:tc>
        <w:tc>
          <w:tcPr>
            <w:tcW w:w="1267" w:type="dxa"/>
            <w:vAlign w:val="center"/>
          </w:tcPr>
          <w:p w:rsidR="00226301" w:rsidRDefault="00EA0F91">
            <w:pPr>
              <w:jc w:val="center"/>
            </w:pPr>
            <w:r>
              <w:rPr>
                <w:color w:val="000000"/>
              </w:rPr>
              <w:t>4.0537%</w:t>
            </w:r>
          </w:p>
        </w:tc>
        <w:tc>
          <w:tcPr>
            <w:tcW w:w="1267" w:type="dxa"/>
            <w:vAlign w:val="center"/>
          </w:tcPr>
          <w:p w:rsidR="00226301" w:rsidRDefault="00EA0F91">
            <w:pPr>
              <w:jc w:val="center"/>
            </w:pPr>
            <w:r>
              <w:rPr>
                <w:color w:val="000000"/>
              </w:rPr>
              <w:t>0.0000%</w:t>
            </w:r>
          </w:p>
        </w:tc>
        <w:tc>
          <w:tcPr>
            <w:tcW w:w="1267" w:type="dxa"/>
            <w:vAlign w:val="center"/>
          </w:tcPr>
          <w:p w:rsidR="00226301" w:rsidRDefault="00EA0F91">
            <w:pPr>
              <w:jc w:val="center"/>
            </w:pPr>
            <w:r>
              <w:rPr>
                <w:color w:val="000000"/>
              </w:rPr>
              <w:t>7.0639%</w:t>
            </w:r>
          </w:p>
        </w:tc>
        <w:tc>
          <w:tcPr>
            <w:tcW w:w="1267" w:type="dxa"/>
            <w:vAlign w:val="center"/>
          </w:tcPr>
          <w:p w:rsidR="00226301" w:rsidRDefault="00EA0F91">
            <w:pPr>
              <w:jc w:val="center"/>
            </w:pPr>
            <w:r>
              <w:rPr>
                <w:color w:val="000000"/>
              </w:rPr>
              <w:t>0.0026%</w:t>
            </w:r>
          </w:p>
        </w:tc>
      </w:tr>
      <w:tr w:rsidR="00226301">
        <w:trPr>
          <w:jc w:val="center"/>
        </w:trPr>
        <w:tc>
          <w:tcPr>
            <w:tcW w:w="1266" w:type="dxa"/>
            <w:vAlign w:val="center"/>
          </w:tcPr>
          <w:p w:rsidR="00226301" w:rsidRDefault="00EA0F91">
            <w:pPr>
              <w:jc w:val="left"/>
            </w:pPr>
            <w:r>
              <w:rPr>
                <w:color w:val="000000"/>
              </w:rPr>
              <w:t>过去五年</w:t>
            </w:r>
          </w:p>
        </w:tc>
        <w:tc>
          <w:tcPr>
            <w:tcW w:w="1267" w:type="dxa"/>
            <w:vAlign w:val="center"/>
          </w:tcPr>
          <w:p w:rsidR="00226301" w:rsidRDefault="00EA0F91">
            <w:pPr>
              <w:jc w:val="center"/>
            </w:pPr>
            <w:r>
              <w:rPr>
                <w:color w:val="000000"/>
              </w:rPr>
              <w:t>17.7951%</w:t>
            </w:r>
          </w:p>
        </w:tc>
        <w:tc>
          <w:tcPr>
            <w:tcW w:w="1267" w:type="dxa"/>
            <w:vAlign w:val="center"/>
          </w:tcPr>
          <w:p w:rsidR="00226301" w:rsidRDefault="00EA0F91">
            <w:pPr>
              <w:jc w:val="center"/>
            </w:pPr>
            <w:r>
              <w:rPr>
                <w:color w:val="000000"/>
              </w:rPr>
              <w:t>0.0055%</w:t>
            </w:r>
          </w:p>
        </w:tc>
        <w:tc>
          <w:tcPr>
            <w:tcW w:w="1267" w:type="dxa"/>
            <w:vAlign w:val="center"/>
          </w:tcPr>
          <w:p w:rsidR="00226301" w:rsidRDefault="00EA0F91">
            <w:pPr>
              <w:jc w:val="center"/>
            </w:pPr>
            <w:r>
              <w:rPr>
                <w:color w:val="000000"/>
              </w:rPr>
              <w:t>6.7574%</w:t>
            </w:r>
          </w:p>
        </w:tc>
        <w:tc>
          <w:tcPr>
            <w:tcW w:w="1267" w:type="dxa"/>
            <w:vAlign w:val="center"/>
          </w:tcPr>
          <w:p w:rsidR="00226301" w:rsidRDefault="00EA0F91">
            <w:pPr>
              <w:jc w:val="center"/>
            </w:pPr>
            <w:r>
              <w:rPr>
                <w:color w:val="000000"/>
              </w:rPr>
              <w:t>0.0000%</w:t>
            </w:r>
          </w:p>
        </w:tc>
        <w:tc>
          <w:tcPr>
            <w:tcW w:w="1267" w:type="dxa"/>
            <w:vAlign w:val="center"/>
          </w:tcPr>
          <w:p w:rsidR="00226301" w:rsidRDefault="00EA0F91">
            <w:pPr>
              <w:jc w:val="center"/>
            </w:pPr>
            <w:r>
              <w:rPr>
                <w:color w:val="000000"/>
              </w:rPr>
              <w:t>11.0377%</w:t>
            </w:r>
          </w:p>
        </w:tc>
        <w:tc>
          <w:tcPr>
            <w:tcW w:w="1267" w:type="dxa"/>
            <w:vAlign w:val="center"/>
          </w:tcPr>
          <w:p w:rsidR="00226301" w:rsidRDefault="00EA0F91">
            <w:pPr>
              <w:jc w:val="center"/>
            </w:pPr>
            <w:r>
              <w:rPr>
                <w:color w:val="000000"/>
              </w:rPr>
              <w:t>0.0055%</w:t>
            </w:r>
          </w:p>
        </w:tc>
      </w:tr>
      <w:tr w:rsidR="00226301">
        <w:trPr>
          <w:jc w:val="center"/>
        </w:trPr>
        <w:tc>
          <w:tcPr>
            <w:tcW w:w="1266" w:type="dxa"/>
            <w:vAlign w:val="center"/>
          </w:tcPr>
          <w:p w:rsidR="00226301" w:rsidRDefault="00EA0F91">
            <w:pPr>
              <w:jc w:val="left"/>
            </w:pPr>
            <w:r>
              <w:rPr>
                <w:color w:val="000000"/>
              </w:rPr>
              <w:t>自基金合同生效起至今</w:t>
            </w:r>
          </w:p>
        </w:tc>
        <w:tc>
          <w:tcPr>
            <w:tcW w:w="1267" w:type="dxa"/>
            <w:vAlign w:val="center"/>
          </w:tcPr>
          <w:p w:rsidR="00226301" w:rsidRDefault="00EA0F91">
            <w:pPr>
              <w:jc w:val="center"/>
            </w:pPr>
            <w:r>
              <w:rPr>
                <w:color w:val="000000"/>
              </w:rPr>
              <w:t>30.2134%</w:t>
            </w:r>
          </w:p>
        </w:tc>
        <w:tc>
          <w:tcPr>
            <w:tcW w:w="1267" w:type="dxa"/>
            <w:vAlign w:val="center"/>
          </w:tcPr>
          <w:p w:rsidR="00226301" w:rsidRDefault="00EA0F91">
            <w:pPr>
              <w:jc w:val="center"/>
            </w:pPr>
            <w:r>
              <w:rPr>
                <w:color w:val="000000"/>
              </w:rPr>
              <w:t>0.0075%</w:t>
            </w:r>
          </w:p>
        </w:tc>
        <w:tc>
          <w:tcPr>
            <w:tcW w:w="1267" w:type="dxa"/>
            <w:vAlign w:val="center"/>
          </w:tcPr>
          <w:p w:rsidR="00226301" w:rsidRDefault="00EA0F91">
            <w:pPr>
              <w:jc w:val="center"/>
            </w:pPr>
            <w:r>
              <w:rPr>
                <w:color w:val="000000"/>
              </w:rPr>
              <w:t>10.0973%</w:t>
            </w:r>
          </w:p>
        </w:tc>
        <w:tc>
          <w:tcPr>
            <w:tcW w:w="1267" w:type="dxa"/>
            <w:vAlign w:val="center"/>
          </w:tcPr>
          <w:p w:rsidR="00226301" w:rsidRDefault="00EA0F91">
            <w:pPr>
              <w:jc w:val="center"/>
            </w:pPr>
            <w:r>
              <w:rPr>
                <w:color w:val="000000"/>
              </w:rPr>
              <w:t>0.0000%</w:t>
            </w:r>
          </w:p>
        </w:tc>
        <w:tc>
          <w:tcPr>
            <w:tcW w:w="1267" w:type="dxa"/>
            <w:vAlign w:val="center"/>
          </w:tcPr>
          <w:p w:rsidR="00226301" w:rsidRDefault="00EA0F91">
            <w:pPr>
              <w:jc w:val="center"/>
            </w:pPr>
            <w:r>
              <w:rPr>
                <w:color w:val="000000"/>
              </w:rPr>
              <w:t>20.1161%</w:t>
            </w:r>
          </w:p>
        </w:tc>
        <w:tc>
          <w:tcPr>
            <w:tcW w:w="1267" w:type="dxa"/>
            <w:vAlign w:val="center"/>
          </w:tcPr>
          <w:p w:rsidR="00226301" w:rsidRDefault="00EA0F91">
            <w:pPr>
              <w:jc w:val="center"/>
            </w:pPr>
            <w:r>
              <w:rPr>
                <w:color w:val="000000"/>
              </w:rPr>
              <w:t>0.0075%</w:t>
            </w:r>
          </w:p>
        </w:tc>
      </w:tr>
    </w:tbl>
    <w:p w:rsidR="00226301" w:rsidRDefault="00EA0F91">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、本表净值收益率数据所取的基金运作周期为基金分类日为起始日的运作周期。</w:t>
      </w:r>
    </w:p>
    <w:p w:rsidR="000B2044" w:rsidRPr="000E4C40" w:rsidRDefault="000B2044"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、本基金每日计算当日收益并分配，并在运作期期末集中支付。</w:t>
      </w:r>
    </w:p>
    <w:p w:rsidR="001F0286" w:rsidRPr="000E4C40" w:rsidRDefault="001F0286" w:rsidP="00281564">
      <w:pPr>
        <w:tabs>
          <w:tab w:val="left" w:pos="1800"/>
        </w:tabs>
        <w:spacing w:before="29" w:line="288" w:lineRule="auto"/>
        <w:rPr>
          <w:sz w:val="24"/>
        </w:rPr>
      </w:pPr>
    </w:p>
    <w:p w:rsidR="00902E3F" w:rsidRPr="000E4C40" w:rsidRDefault="00902E3F" w:rsidP="00281564">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金份额累计净值收益率变动及其与同期业绩比较基准收益率变动的比较</w:t>
      </w:r>
    </w:p>
    <w:p w:rsidR="00E63B3D" w:rsidRPr="000E4C40" w:rsidRDefault="00E63B3D" w:rsidP="00281564">
      <w:pPr>
        <w:spacing w:before="29" w:line="288" w:lineRule="auto"/>
        <w:jc w:val="center"/>
        <w:rPr>
          <w:sz w:val="24"/>
        </w:rPr>
      </w:pPr>
      <w:r w:rsidRPr="000E4C40">
        <w:rPr>
          <w:sz w:val="24"/>
        </w:rPr>
        <w:t>交银施罗德理财</w:t>
      </w:r>
      <w:r w:rsidRPr="000E4C40">
        <w:rPr>
          <w:sz w:val="24"/>
        </w:rPr>
        <w:t>21</w:t>
      </w:r>
      <w:r w:rsidRPr="000E4C40">
        <w:rPr>
          <w:sz w:val="24"/>
        </w:rPr>
        <w:t>天债券型证券投资基金</w:t>
      </w:r>
    </w:p>
    <w:p w:rsidR="00E63B3D" w:rsidRPr="000E4C40" w:rsidRDefault="00E27752" w:rsidP="00281564">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lastRenderedPageBreak/>
        <w:t>份额累计净值收益率与业绩比较基准收益率历史走势对比图</w:t>
      </w:r>
    </w:p>
    <w:p w:rsidR="00A7219D" w:rsidRPr="000E4C40" w:rsidRDefault="00FF7214" w:rsidP="00281564">
      <w:pPr>
        <w:spacing w:before="29" w:line="288" w:lineRule="auto"/>
        <w:jc w:val="center"/>
        <w:rPr>
          <w:sz w:val="24"/>
        </w:rPr>
      </w:pPr>
      <w:r w:rsidRPr="000E4C40">
        <w:rPr>
          <w:rFonts w:hAnsi="宋体"/>
          <w:color w:val="000000"/>
          <w:sz w:val="24"/>
        </w:rPr>
        <w:t>（</w:t>
      </w:r>
      <w:r w:rsidR="00D87D00" w:rsidRPr="000E4C40">
        <w:rPr>
          <w:color w:val="000000"/>
          <w:kern w:val="0"/>
          <w:sz w:val="24"/>
        </w:rPr>
        <w:t>2012</w:t>
      </w:r>
      <w:r w:rsidR="00D87D00" w:rsidRPr="000E4C40">
        <w:rPr>
          <w:color w:val="000000"/>
          <w:kern w:val="0"/>
          <w:sz w:val="24"/>
        </w:rPr>
        <w:t>年</w:t>
      </w:r>
      <w:r w:rsidR="00D87D00" w:rsidRPr="000E4C40">
        <w:rPr>
          <w:color w:val="000000"/>
          <w:kern w:val="0"/>
          <w:sz w:val="24"/>
        </w:rPr>
        <w:t>11</w:t>
      </w:r>
      <w:r w:rsidR="00D87D00" w:rsidRPr="000E4C40">
        <w:rPr>
          <w:color w:val="000000"/>
          <w:kern w:val="0"/>
          <w:sz w:val="24"/>
        </w:rPr>
        <w:t>月</w:t>
      </w:r>
      <w:r w:rsidR="00D87D00" w:rsidRPr="000E4C40">
        <w:rPr>
          <w:color w:val="000000"/>
          <w:kern w:val="0"/>
          <w:sz w:val="24"/>
        </w:rPr>
        <w:t>5</w:t>
      </w:r>
      <w:r w:rsidR="00D87D00" w:rsidRPr="000E4C40">
        <w:rPr>
          <w:color w:val="000000"/>
          <w:kern w:val="0"/>
          <w:sz w:val="24"/>
        </w:rPr>
        <w:t>日</w:t>
      </w:r>
      <w:r w:rsidR="00A7219D" w:rsidRPr="000E4C40">
        <w:rPr>
          <w:rFonts w:hAnsi="宋体"/>
          <w:color w:val="000000"/>
          <w:kern w:val="0"/>
          <w:sz w:val="24"/>
        </w:rPr>
        <w:t>至</w:t>
      </w:r>
      <w:r w:rsidR="00A7219D" w:rsidRPr="000E4C40">
        <w:rPr>
          <w:color w:val="000000"/>
          <w:kern w:val="0"/>
          <w:sz w:val="24"/>
        </w:rPr>
        <w:t>2020</w:t>
      </w:r>
      <w:r w:rsidR="00A7219D" w:rsidRPr="000E4C40">
        <w:rPr>
          <w:color w:val="000000"/>
          <w:kern w:val="0"/>
          <w:sz w:val="24"/>
        </w:rPr>
        <w:t>年</w:t>
      </w:r>
      <w:r w:rsidR="00A7219D" w:rsidRPr="000E4C40">
        <w:rPr>
          <w:color w:val="000000"/>
          <w:kern w:val="0"/>
          <w:sz w:val="24"/>
        </w:rPr>
        <w:t>6</w:t>
      </w:r>
      <w:r w:rsidR="00A7219D" w:rsidRPr="000E4C40">
        <w:rPr>
          <w:color w:val="000000"/>
          <w:kern w:val="0"/>
          <w:sz w:val="24"/>
        </w:rPr>
        <w:t>月</w:t>
      </w:r>
      <w:r w:rsidR="00A7219D" w:rsidRPr="000E4C40">
        <w:rPr>
          <w:color w:val="000000"/>
          <w:kern w:val="0"/>
          <w:sz w:val="24"/>
        </w:rPr>
        <w:t>30</w:t>
      </w:r>
      <w:r w:rsidR="00A7219D" w:rsidRPr="000E4C40">
        <w:rPr>
          <w:color w:val="000000"/>
          <w:kern w:val="0"/>
          <w:sz w:val="24"/>
        </w:rPr>
        <w:t>日</w:t>
      </w:r>
      <w:r w:rsidRPr="000E4C40">
        <w:rPr>
          <w:rFonts w:hAnsi="宋体"/>
          <w:color w:val="000000"/>
          <w:sz w:val="24"/>
        </w:rPr>
        <w:t>）</w:t>
      </w:r>
    </w:p>
    <w:p w:rsidR="00825EA5" w:rsidRPr="000E4C40" w:rsidRDefault="00E63B3D" w:rsidP="00281564">
      <w:pPr>
        <w:numPr>
          <w:ilvl w:val="0"/>
          <w:numId w:val="1"/>
        </w:numPr>
        <w:snapToGrid w:val="0"/>
        <w:spacing w:before="29" w:line="288" w:lineRule="auto"/>
        <w:rPr>
          <w:color w:val="000000"/>
          <w:sz w:val="24"/>
        </w:rPr>
      </w:pPr>
      <w:r w:rsidRPr="000E4C40">
        <w:rPr>
          <w:color w:val="000000"/>
          <w:kern w:val="0"/>
          <w:sz w:val="24"/>
        </w:rPr>
        <w:t>交银理财</w:t>
      </w:r>
      <w:r w:rsidRPr="000E4C40">
        <w:rPr>
          <w:color w:val="000000"/>
          <w:kern w:val="0"/>
          <w:sz w:val="24"/>
        </w:rPr>
        <w:t>21</w:t>
      </w:r>
      <w:r w:rsidRPr="000E4C40">
        <w:rPr>
          <w:color w:val="000000"/>
          <w:kern w:val="0"/>
          <w:sz w:val="24"/>
        </w:rPr>
        <w:t>天债券</w:t>
      </w:r>
      <w:r w:rsidRPr="000E4C40">
        <w:rPr>
          <w:color w:val="000000"/>
          <w:kern w:val="0"/>
          <w:sz w:val="24"/>
        </w:rPr>
        <w:t>A</w:t>
      </w:r>
    </w:p>
    <w:p w:rsidR="00E63B3D" w:rsidRPr="000E4C40" w:rsidRDefault="00F14672" w:rsidP="00281564">
      <w:pPr>
        <w:tabs>
          <w:tab w:val="left" w:pos="0"/>
        </w:tabs>
        <w:spacing w:before="29" w:line="288" w:lineRule="auto"/>
        <w:jc w:val="center"/>
        <w:rPr>
          <w:color w:val="000000"/>
          <w:sz w:val="24"/>
        </w:rPr>
      </w:pPr>
      <w:r w:rsidRPr="000E4C40">
        <w:rPr>
          <w:noProof/>
          <w:color w:val="000000"/>
          <w:sz w:val="24"/>
        </w:rPr>
        <w:drawing>
          <wp:inline distT="0" distB="0" distL="0" distR="0">
            <wp:extent cx="5769610" cy="3378835"/>
            <wp:effectExtent l="19050" t="0" r="2540" b="0"/>
            <wp:docPr id="5" name="图片 4"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69610" cy="3378835"/>
                    </a:xfrm>
                    <a:prstGeom prst="rect">
                      <a:avLst/>
                    </a:prstGeom>
                  </pic:spPr>
                </pic:pic>
              </a:graphicData>
            </a:graphic>
          </wp:inline>
        </w:drawing>
      </w:r>
    </w:p>
    <w:p w:rsidR="00E63B3D" w:rsidRPr="000E4C40" w:rsidRDefault="00E63B3D" w:rsidP="00281564">
      <w:pPr>
        <w:autoSpaceDE w:val="0"/>
        <w:autoSpaceDN w:val="0"/>
        <w:adjustRightInd w:val="0"/>
        <w:spacing w:before="29" w:line="288" w:lineRule="auto"/>
        <w:jc w:val="left"/>
        <w:rPr>
          <w:color w:val="000000"/>
          <w:sz w:val="24"/>
        </w:rPr>
      </w:pPr>
      <w:r w:rsidRPr="000E4C40">
        <w:rPr>
          <w:color w:val="000000"/>
          <w:sz w:val="24"/>
        </w:rPr>
        <w:t>注：图示日期为</w:t>
      </w:r>
      <w:r w:rsidRPr="000E4C40">
        <w:rPr>
          <w:color w:val="000000"/>
          <w:sz w:val="24"/>
        </w:rPr>
        <w:t>2012</w:t>
      </w:r>
      <w:r w:rsidRPr="000E4C40">
        <w:rPr>
          <w:color w:val="000000"/>
          <w:sz w:val="24"/>
        </w:rPr>
        <w:t>年</w:t>
      </w:r>
      <w:r w:rsidRPr="000E4C40">
        <w:rPr>
          <w:color w:val="000000"/>
          <w:sz w:val="24"/>
        </w:rPr>
        <w:t>11</w:t>
      </w:r>
      <w:r w:rsidRPr="000E4C40">
        <w:rPr>
          <w:color w:val="000000"/>
          <w:sz w:val="24"/>
        </w:rPr>
        <w:t>月</w:t>
      </w:r>
      <w:r w:rsidRPr="000E4C40">
        <w:rPr>
          <w:color w:val="000000"/>
          <w:sz w:val="24"/>
        </w:rPr>
        <w:t>5</w:t>
      </w:r>
      <w:r w:rsidRPr="000E4C40">
        <w:rPr>
          <w:color w:val="000000"/>
          <w:sz w:val="24"/>
        </w:rPr>
        <w:t>日至</w:t>
      </w:r>
      <w:r w:rsidRPr="000E4C40">
        <w:rPr>
          <w:color w:val="000000"/>
          <w:sz w:val="24"/>
        </w:rPr>
        <w:t>2020</w:t>
      </w:r>
      <w:r w:rsidRPr="000E4C40">
        <w:rPr>
          <w:color w:val="000000"/>
          <w:sz w:val="24"/>
        </w:rPr>
        <w:t>年</w:t>
      </w:r>
      <w:r w:rsidRPr="000E4C40">
        <w:rPr>
          <w:color w:val="000000"/>
          <w:sz w:val="24"/>
        </w:rPr>
        <w:t>6</w:t>
      </w:r>
      <w:r w:rsidRPr="000E4C40">
        <w:rPr>
          <w:color w:val="000000"/>
          <w:sz w:val="24"/>
        </w:rPr>
        <w:t>月</w:t>
      </w:r>
      <w:r w:rsidRPr="000E4C40">
        <w:rPr>
          <w:color w:val="000000"/>
          <w:sz w:val="24"/>
        </w:rPr>
        <w:t>30</w:t>
      </w:r>
      <w:r w:rsidRPr="000E4C40">
        <w:rPr>
          <w:color w:val="000000"/>
          <w:sz w:val="24"/>
        </w:rPr>
        <w:t>日。本基金建仓期为自基金合同生效日起的</w:t>
      </w:r>
      <w:r w:rsidRPr="000E4C40">
        <w:rPr>
          <w:color w:val="000000"/>
          <w:sz w:val="24"/>
        </w:rPr>
        <w:t>6</w:t>
      </w:r>
      <w:r w:rsidRPr="000E4C40">
        <w:rPr>
          <w:color w:val="000000"/>
          <w:sz w:val="24"/>
        </w:rPr>
        <w:t>个月。截至建仓期结束，本基金各项资产配置比例符合基金合同及招募说明书有关投资比例的约定。</w:t>
      </w:r>
    </w:p>
    <w:p w:rsidR="00825EA5" w:rsidRPr="000E4C40" w:rsidRDefault="00825EA5" w:rsidP="00281564">
      <w:pPr>
        <w:adjustRightInd w:val="0"/>
        <w:snapToGrid w:val="0"/>
        <w:spacing w:before="29" w:line="288" w:lineRule="auto"/>
        <w:rPr>
          <w:color w:val="000000"/>
          <w:sz w:val="24"/>
        </w:rPr>
      </w:pPr>
    </w:p>
    <w:p w:rsidR="00825EA5" w:rsidRPr="000E4C40" w:rsidRDefault="00580560" w:rsidP="00281564">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5F668B" w:rsidRPr="000E4C40">
        <w:rPr>
          <w:color w:val="000000"/>
          <w:kern w:val="0"/>
          <w:sz w:val="24"/>
        </w:rPr>
        <w:t>交银理财</w:t>
      </w:r>
      <w:r w:rsidR="005F668B" w:rsidRPr="000E4C40">
        <w:rPr>
          <w:color w:val="000000"/>
          <w:kern w:val="0"/>
          <w:sz w:val="24"/>
        </w:rPr>
        <w:t>21</w:t>
      </w:r>
      <w:r w:rsidR="005F668B" w:rsidRPr="000E4C40">
        <w:rPr>
          <w:color w:val="000000"/>
          <w:kern w:val="0"/>
          <w:sz w:val="24"/>
        </w:rPr>
        <w:t>天债券</w:t>
      </w:r>
      <w:r w:rsidR="005F668B" w:rsidRPr="000E4C40">
        <w:rPr>
          <w:color w:val="000000"/>
          <w:kern w:val="0"/>
          <w:sz w:val="24"/>
        </w:rPr>
        <w:t>B</w:t>
      </w:r>
    </w:p>
    <w:p w:rsidR="005F668B" w:rsidRPr="000E4C40" w:rsidRDefault="00F14672" w:rsidP="00281564">
      <w:pPr>
        <w:snapToGrid w:val="0"/>
        <w:spacing w:before="29" w:line="288" w:lineRule="auto"/>
        <w:jc w:val="center"/>
        <w:rPr>
          <w:color w:val="000000"/>
          <w:sz w:val="24"/>
        </w:rPr>
      </w:pPr>
      <w:r w:rsidRPr="000E4C40">
        <w:rPr>
          <w:noProof/>
          <w:color w:val="000000"/>
          <w:sz w:val="24"/>
        </w:rPr>
        <w:lastRenderedPageBreak/>
        <w:drawing>
          <wp:inline distT="0" distB="0" distL="0" distR="0">
            <wp:extent cx="5769610" cy="3378835"/>
            <wp:effectExtent l="19050" t="0" r="2540" b="0"/>
            <wp:docPr id="4" name="图片 3"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69610" cy="3378835"/>
                    </a:xfrm>
                    <a:prstGeom prst="rect">
                      <a:avLst/>
                    </a:prstGeom>
                  </pic:spPr>
                </pic:pic>
              </a:graphicData>
            </a:graphic>
          </wp:inline>
        </w:drawing>
      </w:r>
    </w:p>
    <w:p w:rsidR="00902E3F" w:rsidRPr="000E4C40" w:rsidRDefault="005F668B" w:rsidP="00281564">
      <w:pPr>
        <w:autoSpaceDE w:val="0"/>
        <w:autoSpaceDN w:val="0"/>
        <w:adjustRightInd w:val="0"/>
        <w:spacing w:before="29" w:line="288" w:lineRule="auto"/>
        <w:jc w:val="left"/>
        <w:rPr>
          <w:color w:val="000000"/>
          <w:sz w:val="24"/>
        </w:rPr>
      </w:pPr>
      <w:r w:rsidRPr="000E4C40">
        <w:rPr>
          <w:color w:val="000000"/>
          <w:sz w:val="24"/>
        </w:rPr>
        <w:t>注：图示日期为</w:t>
      </w:r>
      <w:r w:rsidRPr="000E4C40">
        <w:rPr>
          <w:color w:val="000000"/>
          <w:sz w:val="24"/>
        </w:rPr>
        <w:t>2013</w:t>
      </w:r>
      <w:r w:rsidRPr="000E4C40">
        <w:rPr>
          <w:color w:val="000000"/>
          <w:sz w:val="24"/>
        </w:rPr>
        <w:t>年</w:t>
      </w:r>
      <w:r w:rsidRPr="000E4C40">
        <w:rPr>
          <w:color w:val="000000"/>
          <w:sz w:val="24"/>
        </w:rPr>
        <w:t>1</w:t>
      </w:r>
      <w:r w:rsidRPr="000E4C40">
        <w:rPr>
          <w:color w:val="000000"/>
          <w:sz w:val="24"/>
        </w:rPr>
        <w:t>月</w:t>
      </w:r>
      <w:r w:rsidRPr="000E4C40">
        <w:rPr>
          <w:color w:val="000000"/>
          <w:sz w:val="24"/>
        </w:rPr>
        <w:t>9</w:t>
      </w:r>
      <w:r w:rsidRPr="000E4C40">
        <w:rPr>
          <w:color w:val="000000"/>
          <w:sz w:val="24"/>
        </w:rPr>
        <w:t>日至</w:t>
      </w:r>
      <w:r w:rsidRPr="000E4C40">
        <w:rPr>
          <w:color w:val="000000"/>
          <w:sz w:val="24"/>
        </w:rPr>
        <w:t>2020</w:t>
      </w:r>
      <w:r w:rsidRPr="000E4C40">
        <w:rPr>
          <w:color w:val="000000"/>
          <w:sz w:val="24"/>
        </w:rPr>
        <w:t>年</w:t>
      </w:r>
      <w:r w:rsidRPr="000E4C40">
        <w:rPr>
          <w:color w:val="000000"/>
          <w:sz w:val="24"/>
        </w:rPr>
        <w:t>6</w:t>
      </w:r>
      <w:r w:rsidRPr="000E4C40">
        <w:rPr>
          <w:color w:val="000000"/>
          <w:sz w:val="24"/>
        </w:rPr>
        <w:t>月</w:t>
      </w:r>
      <w:r w:rsidRPr="000E4C40">
        <w:rPr>
          <w:color w:val="000000"/>
          <w:sz w:val="24"/>
        </w:rPr>
        <w:t>30</w:t>
      </w:r>
      <w:r w:rsidRPr="000E4C40">
        <w:rPr>
          <w:color w:val="000000"/>
          <w:sz w:val="24"/>
        </w:rPr>
        <w:t>日。本基金建仓期为自基金合同生效日起的</w:t>
      </w:r>
      <w:r w:rsidRPr="000E4C40">
        <w:rPr>
          <w:color w:val="000000"/>
          <w:sz w:val="24"/>
        </w:rPr>
        <w:t>6</w:t>
      </w:r>
      <w:r w:rsidRPr="000E4C40">
        <w:rPr>
          <w:color w:val="000000"/>
          <w:sz w:val="24"/>
        </w:rPr>
        <w:t>个月。截至建仓期结束，本基金各项资产配置比例符合基金合同及招募说明书有关投资比例的约定。</w:t>
      </w:r>
    </w:p>
    <w:p w:rsidR="00CA65DD" w:rsidRPr="000E4C40" w:rsidRDefault="00CA65DD" w:rsidP="00281564">
      <w:pPr>
        <w:tabs>
          <w:tab w:val="left" w:pos="1800"/>
        </w:tabs>
        <w:spacing w:before="29" w:line="288" w:lineRule="auto"/>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R="00902E3F" w:rsidRPr="000E4C40" w:rsidRDefault="00902E3F" w:rsidP="00281564">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5"/>
        <w:gridCol w:w="1589"/>
        <w:gridCol w:w="1478"/>
        <w:gridCol w:w="1478"/>
        <w:gridCol w:w="986"/>
        <w:gridCol w:w="2392"/>
      </w:tblGrid>
      <w:tr w:rsidR="00C4627A" w:rsidRPr="000E4C40" w:rsidTr="00951A65">
        <w:trPr>
          <w:jc w:val="center"/>
        </w:trPr>
        <w:tc>
          <w:tcPr>
            <w:tcW w:w="952"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w="1600"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w="2977" w:type="dxa"/>
            <w:gridSpan w:val="2"/>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w="992"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w="2410" w:type="dxa"/>
            <w:vMerge w:val="restart"/>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w="952"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1600"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1488" w:type="dxa"/>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w="1489" w:type="dxa"/>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w="992"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c>
          <w:tcPr>
            <w:tcW w:w="2410" w:type="dxa"/>
            <w:vMerge/>
            <w:vAlign w:val="center"/>
          </w:tcPr>
          <w:p w:rsidR="00C4627A" w:rsidRPr="000E4C40" w:rsidRDefault="00C4627A" w:rsidP="00281564">
            <w:pPr>
              <w:autoSpaceDE w:val="0"/>
              <w:autoSpaceDN w:val="0"/>
              <w:adjustRightInd w:val="0"/>
              <w:spacing w:before="29" w:line="288" w:lineRule="auto"/>
              <w:ind w:left="15"/>
              <w:jc w:val="center"/>
              <w:rPr>
                <w:color w:val="000000"/>
                <w:kern w:val="0"/>
                <w:sz w:val="24"/>
              </w:rPr>
            </w:pPr>
          </w:p>
        </w:tc>
      </w:tr>
      <w:tr w:rsidR="00226301">
        <w:trPr>
          <w:jc w:val="center"/>
        </w:trPr>
        <w:tc>
          <w:tcPr>
            <w:tcW w:w="945" w:type="dxa"/>
            <w:vAlign w:val="center"/>
          </w:tcPr>
          <w:p w:rsidR="00226301" w:rsidRDefault="00EA0F91">
            <w:pPr>
              <w:jc w:val="center"/>
            </w:pPr>
            <w:r>
              <w:rPr>
                <w:color w:val="000000"/>
                <w:sz w:val="24"/>
              </w:rPr>
              <w:t>黄莹洁</w:t>
            </w:r>
          </w:p>
        </w:tc>
        <w:tc>
          <w:tcPr>
            <w:tcW w:w="1589" w:type="dxa"/>
            <w:vAlign w:val="center"/>
          </w:tcPr>
          <w:p w:rsidR="00226301" w:rsidRDefault="00EA0F91">
            <w:pPr>
              <w:jc w:val="center"/>
            </w:pPr>
            <w:r>
              <w:rPr>
                <w:color w:val="000000"/>
                <w:sz w:val="24"/>
              </w:rPr>
              <w:t>交银理财</w:t>
            </w:r>
            <w:r>
              <w:rPr>
                <w:color w:val="000000"/>
                <w:sz w:val="24"/>
              </w:rPr>
              <w:t>21</w:t>
            </w:r>
            <w:r>
              <w:rPr>
                <w:color w:val="000000"/>
                <w:sz w:val="24"/>
              </w:rPr>
              <w:t>天债券、交银丰享收益债券、交银活期通货币、交银天利宝货币、交银裕隆纯债债券、交银天益宝货币、交银境尚收益债券、交银</w:t>
            </w:r>
            <w:r>
              <w:rPr>
                <w:color w:val="000000"/>
                <w:sz w:val="24"/>
              </w:rPr>
              <w:lastRenderedPageBreak/>
              <w:t>稳鑫短债债券、交银稳利中短债债券的基金经理</w:t>
            </w:r>
          </w:p>
        </w:tc>
        <w:tc>
          <w:tcPr>
            <w:tcW w:w="1478" w:type="dxa"/>
            <w:vAlign w:val="center"/>
          </w:tcPr>
          <w:p w:rsidR="00226301" w:rsidRDefault="00EA0F91">
            <w:pPr>
              <w:jc w:val="center"/>
            </w:pPr>
            <w:r>
              <w:rPr>
                <w:color w:val="000000"/>
                <w:sz w:val="24"/>
              </w:rPr>
              <w:lastRenderedPageBreak/>
              <w:t>2015-05-27</w:t>
            </w:r>
          </w:p>
        </w:tc>
        <w:tc>
          <w:tcPr>
            <w:tcW w:w="1478" w:type="dxa"/>
            <w:vAlign w:val="center"/>
          </w:tcPr>
          <w:p w:rsidR="00226301" w:rsidRDefault="00EA0F91">
            <w:pPr>
              <w:jc w:val="center"/>
            </w:pPr>
            <w:r>
              <w:rPr>
                <w:color w:val="000000"/>
                <w:sz w:val="24"/>
              </w:rPr>
              <w:t>-</w:t>
            </w:r>
          </w:p>
        </w:tc>
        <w:tc>
          <w:tcPr>
            <w:tcW w:w="986" w:type="dxa"/>
            <w:vAlign w:val="center"/>
          </w:tcPr>
          <w:p w:rsidR="00226301" w:rsidRDefault="00EA0F91">
            <w:pPr>
              <w:jc w:val="center"/>
            </w:pPr>
            <w:r>
              <w:rPr>
                <w:color w:val="000000"/>
                <w:sz w:val="24"/>
              </w:rPr>
              <w:t>12</w:t>
            </w:r>
            <w:r>
              <w:rPr>
                <w:color w:val="000000"/>
                <w:sz w:val="24"/>
              </w:rPr>
              <w:t>年</w:t>
            </w:r>
          </w:p>
        </w:tc>
        <w:tc>
          <w:tcPr>
            <w:tcW w:w="2392" w:type="dxa"/>
            <w:vAlign w:val="center"/>
          </w:tcPr>
          <w:p w:rsidR="00226301" w:rsidRDefault="00EA0F91">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w:t>
            </w:r>
            <w:r>
              <w:rPr>
                <w:color w:val="000000"/>
                <w:sz w:val="24"/>
              </w:rPr>
              <w:lastRenderedPageBreak/>
              <w:t>罗德丰泽收益债券型证券投资基金的基金经理。</w:t>
            </w:r>
            <w:r>
              <w:rPr>
                <w:color w:val="000000"/>
                <w:sz w:val="24"/>
              </w:rPr>
              <w:t>2015</w:t>
            </w:r>
            <w:r>
              <w:rPr>
                <w:color w:val="000000"/>
                <w:sz w:val="24"/>
              </w:rPr>
              <w:t>年</w:t>
            </w:r>
            <w:r>
              <w:rPr>
                <w:color w:val="000000"/>
                <w:sz w:val="24"/>
              </w:rPr>
              <w:t>5</w:t>
            </w:r>
            <w:r>
              <w:rPr>
                <w:color w:val="000000"/>
                <w:sz w:val="24"/>
              </w:rPr>
              <w:t>月</w:t>
            </w:r>
            <w:r>
              <w:rPr>
                <w:color w:val="000000"/>
                <w:sz w:val="24"/>
              </w:rPr>
              <w:t>27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日担任交银施罗德货币市场证券投资基金、交银施罗德现金宝货币市场基金的基金经理。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2015</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w:t>
            </w:r>
            <w:r>
              <w:rPr>
                <w:color w:val="000000"/>
                <w:sz w:val="24"/>
              </w:rPr>
              <w:t>德裕通纯债债券型证券投资基金的基金经理。</w:t>
            </w:r>
          </w:p>
        </w:tc>
      </w:tr>
    </w:tbl>
    <w:p w:rsidR="00C4627A" w:rsidRPr="000E4C40" w:rsidRDefault="00C4627A" w:rsidP="00281564">
      <w:pPr>
        <w:autoSpaceDE w:val="0"/>
        <w:autoSpaceDN w:val="0"/>
        <w:adjustRightInd w:val="0"/>
        <w:spacing w:before="29" w:line="288" w:lineRule="auto"/>
        <w:jc w:val="left"/>
        <w:rPr>
          <w:color w:val="000000"/>
          <w:sz w:val="24"/>
        </w:rPr>
      </w:pPr>
      <w:r w:rsidRPr="000E4C40">
        <w:rPr>
          <w:color w:val="000000"/>
          <w:sz w:val="24"/>
        </w:rPr>
        <w:lastRenderedPageBreak/>
        <w:t>注：基金经理（或基金经理小组）期后变动（如有）敬请关注基金管理人发布的相关公告。</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R="00C4627A" w:rsidRPr="000E4C40" w:rsidRDefault="00C4627A" w:rsidP="00281564">
      <w:pPr>
        <w:spacing w:before="29" w:line="288" w:lineRule="auto"/>
        <w:ind w:firstLineChars="200" w:firstLine="480"/>
        <w:rPr>
          <w:color w:val="000000"/>
          <w:sz w:val="24"/>
        </w:rPr>
      </w:pPr>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902E3F" w:rsidP="00281564">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R="003F43EB" w:rsidRPr="000E4C40" w:rsidRDefault="003F43EB" w:rsidP="00281564">
      <w:pPr>
        <w:spacing w:before="29" w:line="288" w:lineRule="auto"/>
        <w:rPr>
          <w:sz w:val="24"/>
        </w:rPr>
      </w:pPr>
      <w:r w:rsidRPr="000E4C40">
        <w:rPr>
          <w:sz w:val="24"/>
        </w:rPr>
        <w:t xml:space="preserve">4.3.1 </w:t>
      </w:r>
      <w:r w:rsidRPr="000E4C40">
        <w:rPr>
          <w:rFonts w:hAnsi="宋体"/>
          <w:sz w:val="24"/>
        </w:rPr>
        <w:t>公平交易制度的执行情况</w:t>
      </w:r>
    </w:p>
    <w:p w:rsidR="00226301" w:rsidRDefault="00EA0F91">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226301" w:rsidRDefault="00EA0F91">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w:t>
      </w:r>
      <w:r>
        <w:rPr>
          <w:color w:val="000000"/>
          <w:sz w:val="24"/>
        </w:rPr>
        <w:t>按事前独立确定的投资方案对交易结果进行分配。</w:t>
      </w:r>
    </w:p>
    <w:p w:rsidR="00226301" w:rsidRDefault="00EA0F91">
      <w:pPr>
        <w:spacing w:before="29" w:line="288" w:lineRule="auto"/>
        <w:ind w:firstLineChars="200" w:firstLine="480"/>
        <w:rPr>
          <w:color w:val="000000"/>
          <w:sz w:val="24"/>
        </w:rPr>
      </w:pPr>
      <w:r>
        <w:rPr>
          <w:color w:val="000000"/>
          <w:sz w:val="24"/>
        </w:rPr>
        <w:lastRenderedPageBreak/>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C4627A" w:rsidRPr="000E4C40" w:rsidRDefault="00C4627A" w:rsidP="00281564">
      <w:pPr>
        <w:spacing w:before="29" w:line="288" w:lineRule="auto"/>
        <w:ind w:firstLineChars="200" w:firstLine="480"/>
        <w:rPr>
          <w:color w:val="000000"/>
          <w:sz w:val="24"/>
        </w:rPr>
      </w:pPr>
      <w:r w:rsidRPr="000E4C40">
        <w:rPr>
          <w:color w:val="000000"/>
          <w:sz w:val="24"/>
        </w:rPr>
        <w:t>报告期内本公司严格执行公平交易制度，公平对待旗下各投资组合，未发现任何违反公平交易的行为。</w:t>
      </w:r>
    </w:p>
    <w:p w:rsidR="003F43EB" w:rsidRPr="000E4C40" w:rsidRDefault="003F43EB" w:rsidP="00281564">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R="00902E3F" w:rsidRPr="000E4C40" w:rsidRDefault="00C4627A" w:rsidP="00281564">
      <w:pPr>
        <w:spacing w:before="29" w:line="288" w:lineRule="auto"/>
        <w:ind w:firstLineChars="200" w:firstLine="480"/>
        <w:rPr>
          <w:color w:val="000000"/>
          <w:sz w:val="24"/>
        </w:rPr>
      </w:pPr>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0E4C40">
        <w:rPr>
          <w:color w:val="000000"/>
          <w:sz w:val="24"/>
        </w:rPr>
        <w:t>5%</w:t>
      </w:r>
      <w:r w:rsidRPr="000E4C40">
        <w:rPr>
          <w:color w:val="000000"/>
          <w:sz w:val="24"/>
        </w:rPr>
        <w:t>的情形，本基金与本公司管理的其他投资组合在不同时间窗下（如日内、</w:t>
      </w:r>
      <w:r w:rsidRPr="000E4C40">
        <w:rPr>
          <w:color w:val="000000"/>
          <w:sz w:val="24"/>
        </w:rPr>
        <w:t>3</w:t>
      </w:r>
      <w:r w:rsidRPr="000E4C40">
        <w:rPr>
          <w:color w:val="000000"/>
          <w:sz w:val="24"/>
        </w:rPr>
        <w:t>日内、</w:t>
      </w:r>
      <w:r w:rsidRPr="000E4C40">
        <w:rPr>
          <w:color w:val="000000"/>
          <w:sz w:val="24"/>
        </w:rPr>
        <w:t>5</w:t>
      </w:r>
      <w:r w:rsidRPr="000E4C40">
        <w:rPr>
          <w:color w:val="000000"/>
          <w:sz w:val="24"/>
        </w:rPr>
        <w:t>日内）同向交易的交易价差未出现异常。</w:t>
      </w:r>
    </w:p>
    <w:p w:rsidR="00BE5584" w:rsidRPr="000E4C40" w:rsidRDefault="00BE5584" w:rsidP="00281564">
      <w:pPr>
        <w:autoSpaceDE w:val="0"/>
        <w:autoSpaceDN w:val="0"/>
        <w:adjustRightInd w:val="0"/>
        <w:spacing w:before="29" w:line="288" w:lineRule="auto"/>
        <w:jc w:val="left"/>
        <w:rPr>
          <w:color w:val="000000"/>
          <w:kern w:val="0"/>
          <w:sz w:val="24"/>
        </w:rPr>
      </w:pPr>
    </w:p>
    <w:p w:rsidR="00323377" w:rsidRPr="000E4C40" w:rsidRDefault="00B86A3F" w:rsidP="00281564">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rsidR="00226301" w:rsidRDefault="00EA0F91">
      <w:pPr>
        <w:spacing w:before="29" w:line="288" w:lineRule="auto"/>
        <w:ind w:firstLineChars="200" w:firstLine="480"/>
        <w:rPr>
          <w:color w:val="000000"/>
          <w:sz w:val="24"/>
        </w:rPr>
      </w:pPr>
      <w:r>
        <w:rPr>
          <w:color w:val="000000"/>
          <w:sz w:val="24"/>
        </w:rPr>
        <w:t>本报告期内，受到经济回升预期、地方债和特别国债的供给放量冲击、对货币政策进一步大幅放松预期的落空等几方面因素的影响，债券收益率呈上行走势。由于短端资金价格中枢的明显上移，使得债券短端收益率上行幅度更大，收益率曲线呈现熊平态势。截止</w:t>
      </w:r>
      <w:r>
        <w:rPr>
          <w:color w:val="000000"/>
          <w:sz w:val="24"/>
        </w:rPr>
        <w:t>6</w:t>
      </w:r>
      <w:r>
        <w:rPr>
          <w:color w:val="000000"/>
          <w:sz w:val="24"/>
        </w:rPr>
        <w:t>月</w:t>
      </w:r>
      <w:r>
        <w:rPr>
          <w:color w:val="000000"/>
          <w:sz w:val="24"/>
        </w:rPr>
        <w:t>30</w:t>
      </w:r>
      <w:r>
        <w:rPr>
          <w:color w:val="000000"/>
          <w:sz w:val="24"/>
        </w:rPr>
        <w:t>日，一年国债和十年国债分别收于</w:t>
      </w:r>
      <w:r>
        <w:rPr>
          <w:color w:val="000000"/>
          <w:sz w:val="24"/>
        </w:rPr>
        <w:t>2.18%</w:t>
      </w:r>
      <w:r>
        <w:rPr>
          <w:color w:val="000000"/>
          <w:sz w:val="24"/>
        </w:rPr>
        <w:t>和</w:t>
      </w:r>
      <w:r>
        <w:rPr>
          <w:color w:val="000000"/>
          <w:sz w:val="24"/>
        </w:rPr>
        <w:t>2.82%</w:t>
      </w:r>
      <w:r>
        <w:rPr>
          <w:color w:val="000000"/>
          <w:sz w:val="24"/>
        </w:rPr>
        <w:t>，较一季度末分别上行</w:t>
      </w:r>
      <w:r>
        <w:rPr>
          <w:color w:val="000000"/>
          <w:sz w:val="24"/>
        </w:rPr>
        <w:t>49bp</w:t>
      </w:r>
      <w:r>
        <w:rPr>
          <w:color w:val="000000"/>
          <w:sz w:val="24"/>
        </w:rPr>
        <w:t>和</w:t>
      </w:r>
      <w:r>
        <w:rPr>
          <w:color w:val="000000"/>
          <w:sz w:val="24"/>
        </w:rPr>
        <w:t>23bp</w:t>
      </w:r>
      <w:r>
        <w:rPr>
          <w:color w:val="000000"/>
          <w:sz w:val="24"/>
        </w:rPr>
        <w:t>。</w:t>
      </w:r>
    </w:p>
    <w:p w:rsidR="00226301" w:rsidRDefault="00EA0F91">
      <w:pPr>
        <w:spacing w:before="29" w:line="288" w:lineRule="auto"/>
        <w:ind w:firstLineChars="200" w:firstLine="480"/>
        <w:rPr>
          <w:color w:val="000000"/>
          <w:sz w:val="24"/>
        </w:rPr>
      </w:pPr>
      <w:r>
        <w:rPr>
          <w:color w:val="000000"/>
          <w:sz w:val="24"/>
        </w:rPr>
        <w:t>由于货币政策边际略有收紧，货币市场工具利率上行明显，三个月股份制银行的同业存单利率上行到</w:t>
      </w:r>
      <w:r>
        <w:rPr>
          <w:color w:val="000000"/>
          <w:sz w:val="24"/>
        </w:rPr>
        <w:t>2.15%</w:t>
      </w:r>
      <w:r>
        <w:rPr>
          <w:color w:val="000000"/>
          <w:sz w:val="24"/>
        </w:rPr>
        <w:t>附近，较一季度末有</w:t>
      </w:r>
      <w:r>
        <w:rPr>
          <w:color w:val="000000"/>
          <w:sz w:val="24"/>
        </w:rPr>
        <w:t>45bp</w:t>
      </w:r>
      <w:r>
        <w:rPr>
          <w:color w:val="000000"/>
          <w:sz w:val="24"/>
        </w:rPr>
        <w:t>幅度的上行。</w:t>
      </w:r>
    </w:p>
    <w:p w:rsidR="00226301" w:rsidRDefault="00EA0F91">
      <w:pPr>
        <w:spacing w:before="29" w:line="288" w:lineRule="auto"/>
        <w:ind w:firstLineChars="200" w:firstLine="480"/>
        <w:rPr>
          <w:color w:val="000000"/>
          <w:sz w:val="24"/>
        </w:rPr>
      </w:pPr>
      <w:r>
        <w:rPr>
          <w:color w:val="000000"/>
          <w:sz w:val="24"/>
        </w:rPr>
        <w:t>基金操作方面，由于本基金即将转型，考虑到可</w:t>
      </w:r>
      <w:r>
        <w:rPr>
          <w:color w:val="000000"/>
          <w:sz w:val="24"/>
        </w:rPr>
        <w:t>能的组合规模变化，该基金主要以短久期高流动性资产配置为主。</w:t>
      </w:r>
    </w:p>
    <w:p w:rsidR="00C4627A" w:rsidRPr="000E4C40" w:rsidRDefault="00C4627A" w:rsidP="00281564">
      <w:pPr>
        <w:spacing w:before="29" w:line="288" w:lineRule="auto"/>
        <w:ind w:firstLineChars="200" w:firstLine="480"/>
        <w:rPr>
          <w:color w:val="000000"/>
          <w:sz w:val="24"/>
        </w:rPr>
      </w:pPr>
      <w:r w:rsidRPr="000E4C40">
        <w:rPr>
          <w:color w:val="000000"/>
          <w:sz w:val="24"/>
        </w:rPr>
        <w:t>展望</w:t>
      </w:r>
      <w:r w:rsidRPr="000E4C40">
        <w:rPr>
          <w:color w:val="000000"/>
          <w:sz w:val="24"/>
        </w:rPr>
        <w:t>2020</w:t>
      </w:r>
      <w:r w:rsidRPr="000E4C40">
        <w:rPr>
          <w:color w:val="000000"/>
          <w:sz w:val="24"/>
        </w:rPr>
        <w:t>年三季度，在服务消费的带动下经济增速有望逐步回升，但近期观测到的工业增加值不及预期，显示经济复苏的基础并不牢固，在全球经济受疫情影响时间拉长、程度加深的背景下，经济更可能是一个弱复苏的态势。资金面方面，我们认为经过最近的调整，资金利率已经回归到了政策利率附近，考虑货币政策整体并未转向，国务院常务会议要求引导贷款与债券利率下行，资金利率继续上行的空间已经有限。本基金仍将继续维持短久期配置为主，在基金转型完成后，将按照新基金合同规定进行投资。</w:t>
      </w:r>
    </w:p>
    <w:p w:rsidR="00FE3301" w:rsidRPr="000E4C40" w:rsidRDefault="00FE3301" w:rsidP="00281564">
      <w:pPr>
        <w:spacing w:before="29" w:line="288" w:lineRule="auto"/>
        <w:ind w:firstLineChars="200" w:firstLine="480"/>
        <w:rPr>
          <w:color w:val="000000"/>
          <w:sz w:val="24"/>
        </w:rPr>
      </w:pPr>
    </w:p>
    <w:p w:rsidR="00323377" w:rsidRPr="000E4C40" w:rsidRDefault="00B86A3F" w:rsidP="00281564">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R="00C4627A" w:rsidRPr="000E4C40" w:rsidRDefault="00C4627A" w:rsidP="00281564">
      <w:pPr>
        <w:spacing w:before="29" w:line="288" w:lineRule="auto"/>
        <w:ind w:firstLineChars="200" w:firstLine="480"/>
        <w:rPr>
          <w:color w:val="000000"/>
          <w:sz w:val="24"/>
        </w:rPr>
      </w:pPr>
      <w:bookmarkStart w:id="0" w:name="_Toc255486598"/>
      <w:bookmarkStart w:id="1" w:name="_Toc245193825"/>
      <w:r w:rsidRPr="000E4C40">
        <w:rPr>
          <w:color w:val="000000"/>
          <w:sz w:val="24"/>
        </w:rPr>
        <w:t>本基金（各类）份额净值及业绩表现请见</w:t>
      </w:r>
      <w:r w:rsidRPr="000E4C40">
        <w:rPr>
          <w:color w:val="000000"/>
          <w:sz w:val="24"/>
        </w:rPr>
        <w:t>“3.1</w:t>
      </w:r>
      <w:r w:rsidRPr="000E4C40">
        <w:rPr>
          <w:color w:val="000000"/>
          <w:sz w:val="24"/>
        </w:rPr>
        <w:t>主要财务指标</w:t>
      </w:r>
      <w:r w:rsidRPr="000E4C40">
        <w:rPr>
          <w:color w:val="000000"/>
          <w:sz w:val="24"/>
        </w:rPr>
        <w:t xml:space="preserve">” </w:t>
      </w:r>
      <w:r w:rsidRPr="000E4C40">
        <w:rPr>
          <w:color w:val="000000"/>
          <w:sz w:val="24"/>
        </w:rPr>
        <w:t>及</w:t>
      </w:r>
      <w:r w:rsidRPr="000E4C40">
        <w:rPr>
          <w:color w:val="000000"/>
          <w:sz w:val="24"/>
        </w:rPr>
        <w:t xml:space="preserve">“3.2.1 </w:t>
      </w:r>
      <w:r w:rsidRPr="000E4C40">
        <w:rPr>
          <w:color w:val="000000"/>
          <w:sz w:val="24"/>
        </w:rPr>
        <w:t>本报告期基金份额净值增长率及其与同期业绩比较基准收益率的比较</w:t>
      </w:r>
      <w:r w:rsidRPr="000E4C40">
        <w:rPr>
          <w:color w:val="000000"/>
          <w:sz w:val="24"/>
        </w:rPr>
        <w:t>”</w:t>
      </w:r>
      <w:r w:rsidRPr="000E4C40">
        <w:rPr>
          <w:color w:val="000000"/>
          <w:sz w:val="24"/>
        </w:rPr>
        <w:t>部分披露。</w:t>
      </w:r>
    </w:p>
    <w:p w:rsidR="00BE5584" w:rsidRPr="000E4C40" w:rsidRDefault="00BE5584" w:rsidP="00281564">
      <w:pPr>
        <w:autoSpaceDE w:val="0"/>
        <w:autoSpaceDN w:val="0"/>
        <w:adjustRightInd w:val="0"/>
        <w:spacing w:before="29" w:line="288" w:lineRule="auto"/>
        <w:jc w:val="left"/>
        <w:rPr>
          <w:kern w:val="0"/>
          <w:sz w:val="24"/>
        </w:rPr>
      </w:pPr>
    </w:p>
    <w:bookmarkEnd w:id="0"/>
    <w:bookmarkEnd w:id="1"/>
    <w:p w:rsidR="0010236C" w:rsidRPr="002070B4" w:rsidRDefault="0010236C" w:rsidP="0010236C">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10236C" w:rsidRDefault="0010236C" w:rsidP="0010236C">
      <w:pPr>
        <w:spacing w:before="29" w:line="288" w:lineRule="auto"/>
        <w:ind w:firstLineChars="200" w:firstLine="480"/>
        <w:rPr>
          <w:color w:val="000000"/>
          <w:sz w:val="24"/>
        </w:rPr>
      </w:pPr>
      <w:r w:rsidRPr="002070B4">
        <w:rPr>
          <w:color w:val="000000"/>
          <w:sz w:val="24"/>
        </w:rPr>
        <w:lastRenderedPageBreak/>
        <w:t>本基金本报告期内无需预警说明。</w:t>
      </w:r>
    </w:p>
    <w:p w:rsidR="0010236C" w:rsidRDefault="0010236C" w:rsidP="0010236C">
      <w:pPr>
        <w:spacing w:before="29" w:line="288" w:lineRule="auto"/>
        <w:ind w:firstLineChars="200" w:firstLine="480"/>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R="00902E3F" w:rsidRDefault="00902E3F" w:rsidP="00281564">
      <w:pPr>
        <w:spacing w:before="29" w:line="288" w:lineRule="auto"/>
        <w:rPr>
          <w:rFonts w:hAnsi="宋体"/>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p w:rsidR="000F4B69" w:rsidRPr="000F4B69" w:rsidRDefault="000F4B69" w:rsidP="000F4B69">
      <w:pPr>
        <w:spacing w:before="29" w:line="288" w:lineRule="auto"/>
        <w:jc w:val="right"/>
        <w:rPr>
          <w:color w:val="000000"/>
          <w:kern w:val="0"/>
          <w:sz w:val="24"/>
        </w:rPr>
      </w:pPr>
      <w:r w:rsidRPr="000F4B69">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3117"/>
        <w:gridCol w:w="3058"/>
        <w:gridCol w:w="1809"/>
      </w:tblGrid>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序号</w:t>
            </w:r>
          </w:p>
        </w:tc>
        <w:tc>
          <w:tcPr>
            <w:tcW w:w="3117"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项目</w:t>
            </w:r>
          </w:p>
        </w:tc>
        <w:tc>
          <w:tcPr>
            <w:tcW w:w="3058"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金额</w:t>
            </w:r>
          </w:p>
        </w:tc>
        <w:tc>
          <w:tcPr>
            <w:tcW w:w="1809" w:type="dxa"/>
            <w:vAlign w:val="center"/>
          </w:tcPr>
          <w:p w:rsidR="00B4354A" w:rsidRPr="000E4C40" w:rsidRDefault="00B4354A" w:rsidP="00281564">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w="884" w:type="dxa"/>
            <w:vAlign w:val="center"/>
          </w:tcPr>
          <w:p w:rsidR="00B4354A" w:rsidRPr="000E4C40" w:rsidRDefault="00737060" w:rsidP="00281564">
            <w:pPr>
              <w:spacing w:before="29" w:line="288" w:lineRule="auto"/>
              <w:ind w:left="17"/>
              <w:jc w:val="center"/>
              <w:rPr>
                <w:color w:val="000000"/>
                <w:sz w:val="24"/>
              </w:rPr>
            </w:pPr>
            <w:r w:rsidRPr="000E4C40">
              <w:rPr>
                <w:color w:val="000000"/>
                <w:sz w:val="24"/>
              </w:rPr>
              <w:t>1</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固定收益投资</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4,034,217,422.07</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53.33</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其中：债券</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4,034,217,422.07</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53.33</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autoSpaceDE w:val="0"/>
              <w:autoSpaceDN w:val="0"/>
              <w:adjustRightInd w:val="0"/>
              <w:spacing w:before="29" w:line="288" w:lineRule="auto"/>
              <w:ind w:leftChars="8" w:left="17" w:firstLineChars="300" w:firstLine="720"/>
              <w:jc w:val="left"/>
              <w:rPr>
                <w:color w:val="000000"/>
                <w:sz w:val="24"/>
              </w:rPr>
            </w:pPr>
            <w:r w:rsidRPr="000E4C40">
              <w:rPr>
                <w:rFonts w:hAnsi="宋体"/>
                <w:color w:val="000000"/>
                <w:sz w:val="24"/>
              </w:rPr>
              <w:t>资产支持证券</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w="884" w:type="dxa"/>
            <w:vAlign w:val="center"/>
          </w:tcPr>
          <w:p w:rsidR="00B4354A" w:rsidRPr="000E4C40" w:rsidRDefault="00737060" w:rsidP="00281564">
            <w:pPr>
              <w:spacing w:before="29" w:line="288" w:lineRule="auto"/>
              <w:ind w:left="17"/>
              <w:jc w:val="center"/>
              <w:rPr>
                <w:color w:val="000000"/>
                <w:sz w:val="24"/>
              </w:rPr>
            </w:pPr>
            <w:r w:rsidRPr="000E4C40">
              <w:rPr>
                <w:color w:val="000000"/>
                <w:sz w:val="24"/>
              </w:rPr>
              <w:t>2</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买入返售金融资产</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1,980,060,930.09</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26.17</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其中：买断式回购的买入返售金融资产</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w="884" w:type="dxa"/>
            <w:vAlign w:val="center"/>
          </w:tcPr>
          <w:p w:rsidR="00B4354A" w:rsidRPr="000E4C40" w:rsidRDefault="005F17EC" w:rsidP="00281564">
            <w:pPr>
              <w:spacing w:before="29" w:line="288" w:lineRule="auto"/>
              <w:ind w:left="17"/>
              <w:jc w:val="center"/>
              <w:rPr>
                <w:color w:val="000000"/>
                <w:sz w:val="24"/>
              </w:rPr>
            </w:pPr>
            <w:r w:rsidRPr="000E4C40">
              <w:rPr>
                <w:color w:val="000000"/>
                <w:sz w:val="24"/>
              </w:rPr>
              <w:t>3</w:t>
            </w:r>
          </w:p>
        </w:tc>
        <w:tc>
          <w:tcPr>
            <w:tcW w:w="3117" w:type="dxa"/>
            <w:vAlign w:val="center"/>
          </w:tcPr>
          <w:p w:rsidR="00B4354A" w:rsidRPr="000E4C40" w:rsidRDefault="00B4354A" w:rsidP="00281564">
            <w:pPr>
              <w:spacing w:before="29" w:line="288" w:lineRule="auto"/>
              <w:ind w:left="17"/>
              <w:jc w:val="left"/>
              <w:rPr>
                <w:sz w:val="24"/>
              </w:rPr>
            </w:pPr>
            <w:r w:rsidRPr="000E4C40">
              <w:rPr>
                <w:rFonts w:hAnsi="宋体"/>
                <w:color w:val="000000"/>
                <w:sz w:val="24"/>
              </w:rPr>
              <w:t>银行存款和结算备付金合计</w:t>
            </w:r>
          </w:p>
        </w:tc>
        <w:tc>
          <w:tcPr>
            <w:tcW w:w="3058"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1,531,254,662.72</w:t>
            </w:r>
          </w:p>
        </w:tc>
        <w:tc>
          <w:tcPr>
            <w:tcW w:w="1809" w:type="dxa"/>
            <w:vAlign w:val="center"/>
          </w:tcPr>
          <w:p w:rsidR="00B4354A" w:rsidRPr="000E4C40" w:rsidRDefault="00B4354A" w:rsidP="00281564">
            <w:pPr>
              <w:spacing w:before="29" w:line="288" w:lineRule="auto"/>
              <w:ind w:left="17"/>
              <w:jc w:val="right"/>
              <w:rPr>
                <w:color w:val="000000"/>
                <w:sz w:val="24"/>
              </w:rPr>
            </w:pPr>
            <w:r w:rsidRPr="000E4C40">
              <w:rPr>
                <w:color w:val="000000"/>
                <w:sz w:val="24"/>
              </w:rPr>
              <w:t>20.24</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color w:val="000000"/>
                <w:sz w:val="24"/>
              </w:rPr>
              <w:t>4</w:t>
            </w:r>
          </w:p>
        </w:tc>
        <w:tc>
          <w:tcPr>
            <w:tcW w:w="3117" w:type="dxa"/>
            <w:vAlign w:val="center"/>
          </w:tcPr>
          <w:p w:rsidR="00B4354A" w:rsidRPr="000E4C40" w:rsidRDefault="00B4354A" w:rsidP="00281564">
            <w:pPr>
              <w:spacing w:before="29" w:line="288" w:lineRule="auto"/>
              <w:jc w:val="left"/>
              <w:rPr>
                <w:sz w:val="24"/>
              </w:rPr>
            </w:pPr>
            <w:r w:rsidRPr="000E4C40">
              <w:rPr>
                <w:rFonts w:hAnsi="宋体"/>
                <w:color w:val="000000"/>
                <w:sz w:val="24"/>
              </w:rPr>
              <w:t>其他</w:t>
            </w:r>
            <w:r w:rsidR="006D1D53">
              <w:rPr>
                <w:rFonts w:hAnsi="宋体" w:hint="eastAsia"/>
                <w:color w:val="000000"/>
                <w:sz w:val="24"/>
              </w:rPr>
              <w:t>各项</w:t>
            </w:r>
            <w:r w:rsidRPr="000E4C40">
              <w:rPr>
                <w:rFonts w:hAnsi="宋体"/>
                <w:color w:val="000000"/>
                <w:sz w:val="24"/>
              </w:rPr>
              <w:t>资产</w:t>
            </w:r>
          </w:p>
        </w:tc>
        <w:tc>
          <w:tcPr>
            <w:tcW w:w="3058" w:type="dxa"/>
            <w:vAlign w:val="center"/>
          </w:tcPr>
          <w:p w:rsidR="00B4354A" w:rsidRPr="000E4C40" w:rsidRDefault="00B4354A" w:rsidP="00281564">
            <w:pPr>
              <w:spacing w:before="29" w:line="288" w:lineRule="auto"/>
              <w:jc w:val="right"/>
              <w:rPr>
                <w:color w:val="000000"/>
                <w:sz w:val="24"/>
              </w:rPr>
            </w:pPr>
            <w:r w:rsidRPr="000E4C40">
              <w:rPr>
                <w:color w:val="000000"/>
                <w:sz w:val="24"/>
              </w:rPr>
              <w:t>19,428,544.93</w:t>
            </w:r>
          </w:p>
        </w:tc>
        <w:tc>
          <w:tcPr>
            <w:tcW w:w="1809" w:type="dxa"/>
            <w:vAlign w:val="center"/>
          </w:tcPr>
          <w:p w:rsidR="00B4354A" w:rsidRPr="000E4C40" w:rsidRDefault="00B4354A" w:rsidP="00281564">
            <w:pPr>
              <w:spacing w:before="29" w:line="288" w:lineRule="auto"/>
              <w:jc w:val="right"/>
              <w:rPr>
                <w:color w:val="000000"/>
                <w:sz w:val="24"/>
              </w:rPr>
            </w:pPr>
            <w:r w:rsidRPr="000E4C40">
              <w:rPr>
                <w:color w:val="000000"/>
                <w:sz w:val="24"/>
              </w:rPr>
              <w:t>0.26</w:t>
            </w:r>
          </w:p>
        </w:tc>
      </w:tr>
      <w:tr w:rsidR="00B4354A" w:rsidRPr="000E4C40" w:rsidTr="00901503">
        <w:trPr>
          <w:jc w:val="center"/>
        </w:trPr>
        <w:tc>
          <w:tcPr>
            <w:tcW w:w="884" w:type="dxa"/>
            <w:vAlign w:val="center"/>
          </w:tcPr>
          <w:p w:rsidR="00B4354A" w:rsidRPr="000E4C40" w:rsidRDefault="00B4354A" w:rsidP="00281564">
            <w:pPr>
              <w:spacing w:before="29" w:line="288" w:lineRule="auto"/>
              <w:ind w:left="17"/>
              <w:jc w:val="center"/>
              <w:rPr>
                <w:color w:val="000000"/>
                <w:sz w:val="24"/>
              </w:rPr>
            </w:pPr>
            <w:r w:rsidRPr="000E4C40">
              <w:rPr>
                <w:color w:val="000000"/>
                <w:sz w:val="24"/>
              </w:rPr>
              <w:t>5</w:t>
            </w:r>
          </w:p>
        </w:tc>
        <w:tc>
          <w:tcPr>
            <w:tcW w:w="3117" w:type="dxa"/>
            <w:vAlign w:val="center"/>
          </w:tcPr>
          <w:p w:rsidR="00B4354A" w:rsidRPr="000E4C40" w:rsidRDefault="00B4354A" w:rsidP="00281564">
            <w:pPr>
              <w:spacing w:before="29" w:line="288" w:lineRule="auto"/>
              <w:jc w:val="left"/>
              <w:rPr>
                <w:sz w:val="24"/>
              </w:rPr>
            </w:pPr>
            <w:r w:rsidRPr="000E4C40">
              <w:rPr>
                <w:rFonts w:hAnsi="宋体"/>
                <w:color w:val="000000"/>
                <w:sz w:val="24"/>
              </w:rPr>
              <w:t>合计</w:t>
            </w:r>
          </w:p>
        </w:tc>
        <w:tc>
          <w:tcPr>
            <w:tcW w:w="3058" w:type="dxa"/>
            <w:vAlign w:val="center"/>
          </w:tcPr>
          <w:p w:rsidR="00B4354A" w:rsidRPr="000E4C40" w:rsidRDefault="00B4354A" w:rsidP="00281564">
            <w:pPr>
              <w:spacing w:before="29" w:line="288" w:lineRule="auto"/>
              <w:jc w:val="right"/>
              <w:rPr>
                <w:color w:val="000000"/>
                <w:sz w:val="24"/>
              </w:rPr>
            </w:pPr>
            <w:r w:rsidRPr="000E4C40">
              <w:rPr>
                <w:color w:val="000000"/>
                <w:sz w:val="24"/>
              </w:rPr>
              <w:t>7,564,961,559.81</w:t>
            </w:r>
          </w:p>
        </w:tc>
        <w:tc>
          <w:tcPr>
            <w:tcW w:w="1809" w:type="dxa"/>
            <w:vAlign w:val="center"/>
          </w:tcPr>
          <w:p w:rsidR="00B4354A" w:rsidRPr="000E4C40" w:rsidRDefault="00B4354A" w:rsidP="00281564">
            <w:pPr>
              <w:spacing w:before="29" w:line="288" w:lineRule="auto"/>
              <w:jc w:val="right"/>
              <w:rPr>
                <w:color w:val="000000"/>
                <w:sz w:val="24"/>
              </w:rPr>
            </w:pPr>
            <w:r w:rsidRPr="000E4C40">
              <w:rPr>
                <w:color w:val="000000"/>
                <w:sz w:val="24"/>
              </w:rPr>
              <w:t>100.00</w:t>
            </w:r>
          </w:p>
        </w:tc>
      </w:tr>
    </w:tbl>
    <w:p w:rsidR="004771B9" w:rsidRPr="000E4C40" w:rsidRDefault="004771B9" w:rsidP="00281564">
      <w:pPr>
        <w:autoSpaceDE w:val="0"/>
        <w:autoSpaceDN w:val="0"/>
        <w:adjustRightInd w:val="0"/>
        <w:spacing w:before="29" w:line="288" w:lineRule="auto"/>
        <w:jc w:val="left"/>
        <w:rPr>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w="8868" w:type="dxa"/>
        <w:jc w:val="center"/>
        <w:tblLayout w:type="fixed"/>
        <w:tblLook w:val="0000" w:firstRow="0" w:lastRow="0" w:firstColumn="0" w:lastColumn="0" w:noHBand="0" w:noVBand="0"/>
      </w:tblPr>
      <w:tblGrid>
        <w:gridCol w:w="845"/>
        <w:gridCol w:w="3157"/>
        <w:gridCol w:w="2787"/>
        <w:gridCol w:w="2079"/>
      </w:tblGrid>
      <w:tr w:rsidR="007521F9" w:rsidRPr="000E4C40" w:rsidTr="00EF568A">
        <w:trPr>
          <w:jc w:val="center"/>
        </w:trPr>
        <w:tc>
          <w:tcPr>
            <w:tcW w:w="845"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序号</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项目</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w="845" w:type="dxa"/>
            <w:vMerge w:val="restart"/>
            <w:tcBorders>
              <w:top w:val="single" w:sz="8" w:space="0" w:color="000000"/>
              <w:left w:val="single" w:sz="8" w:space="0" w:color="000000"/>
              <w:right w:val="single" w:sz="8" w:space="0" w:color="000000"/>
            </w:tcBorders>
            <w:vAlign w:val="center"/>
          </w:tcPr>
          <w:p w:rsidR="00901503" w:rsidRPr="000E4C40" w:rsidRDefault="00901503" w:rsidP="00281564">
            <w:pPr>
              <w:spacing w:before="29" w:line="288" w:lineRule="auto"/>
              <w:jc w:val="center"/>
              <w:rPr>
                <w:color w:val="000000"/>
                <w:kern w:val="0"/>
                <w:sz w:val="24"/>
              </w:rPr>
            </w:pPr>
            <w:r w:rsidRPr="000E4C40">
              <w:rPr>
                <w:color w:val="000000"/>
                <w:kern w:val="0"/>
                <w:sz w:val="24"/>
              </w:rPr>
              <w:t>1</w:t>
            </w:r>
          </w:p>
        </w:tc>
        <w:tc>
          <w:tcPr>
            <w:tcW w:w="3157" w:type="dxa"/>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sz w:val="24"/>
              </w:rPr>
            </w:pPr>
            <w:r w:rsidRPr="000E4C40">
              <w:rPr>
                <w:rFonts w:hAnsi="宋体"/>
                <w:sz w:val="24"/>
              </w:rPr>
              <w:t>报告期内债券回购融资余额</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jc w:val="right"/>
              <w:rPr>
                <w:sz w:val="24"/>
              </w:rPr>
            </w:pPr>
            <w:r w:rsidRPr="000E4C40">
              <w:rPr>
                <w:sz w:val="24"/>
              </w:rPr>
              <w:t>1.85</w:t>
            </w:r>
          </w:p>
        </w:tc>
      </w:tr>
      <w:tr w:rsidR="00901503" w:rsidRPr="000E4C40" w:rsidTr="00EF568A">
        <w:trPr>
          <w:trHeight w:val="712"/>
          <w:jc w:val="center"/>
        </w:trPr>
        <w:tc>
          <w:tcPr>
            <w:tcW w:w="845" w:type="dxa"/>
            <w:vMerge/>
            <w:tcBorders>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rPr>
                <w:sz w:val="24"/>
              </w:rPr>
            </w:pPr>
            <w:r w:rsidRPr="000E4C40">
              <w:rPr>
                <w:rFonts w:hAnsi="宋体"/>
                <w:sz w:val="24"/>
              </w:rPr>
              <w:t>其中：买断式回购融资</w:t>
            </w:r>
          </w:p>
        </w:tc>
        <w:tc>
          <w:tcPr>
            <w:tcW w:w="4866" w:type="dxa"/>
            <w:gridSpan w:val="2"/>
            <w:tcBorders>
              <w:top w:val="single" w:sz="8" w:space="0" w:color="000000"/>
              <w:left w:val="single" w:sz="8" w:space="0" w:color="000000"/>
              <w:bottom w:val="single" w:sz="8" w:space="0" w:color="000000"/>
              <w:right w:val="single" w:sz="8" w:space="0" w:color="000000"/>
            </w:tcBorders>
            <w:vAlign w:val="center"/>
          </w:tcPr>
          <w:p w:rsidR="00901503" w:rsidRPr="000E4C40" w:rsidRDefault="00901503" w:rsidP="00281564">
            <w:pPr>
              <w:spacing w:before="29" w:line="288" w:lineRule="auto"/>
              <w:jc w:val="right"/>
              <w:rPr>
                <w:sz w:val="24"/>
              </w:rPr>
            </w:pPr>
            <w:r w:rsidRPr="000E4C40">
              <w:rPr>
                <w:sz w:val="24"/>
              </w:rPr>
              <w:t>-</w:t>
            </w:r>
          </w:p>
        </w:tc>
      </w:tr>
      <w:tr w:rsidR="007521F9" w:rsidRPr="000E4C40" w:rsidTr="00EF568A">
        <w:trPr>
          <w:jc w:val="center"/>
        </w:trPr>
        <w:tc>
          <w:tcPr>
            <w:tcW w:w="845" w:type="dxa"/>
            <w:tcBorders>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r w:rsidRPr="000E4C40">
              <w:rPr>
                <w:rFonts w:hAnsi="宋体"/>
                <w:color w:val="000000"/>
                <w:kern w:val="0"/>
                <w:sz w:val="24"/>
              </w:rPr>
              <w:t>序号</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sz w:val="24"/>
              </w:rPr>
              <w:t>项目</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8E3415">
            <w:pPr>
              <w:spacing w:before="29" w:line="288" w:lineRule="auto"/>
              <w:jc w:val="center"/>
              <w:rPr>
                <w:sz w:val="24"/>
              </w:rPr>
            </w:pPr>
            <w:r w:rsidRPr="000E4C40">
              <w:rPr>
                <w:rFonts w:hAnsi="宋体"/>
                <w:sz w:val="24"/>
              </w:rPr>
              <w:t>金额</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w="845" w:type="dxa"/>
            <w:vMerge w:val="restart"/>
            <w:tcBorders>
              <w:top w:val="single" w:sz="8" w:space="0" w:color="000000"/>
              <w:left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r w:rsidRPr="000E4C40">
              <w:rPr>
                <w:color w:val="000000"/>
                <w:sz w:val="24"/>
              </w:rPr>
              <w:t>2</w:t>
            </w: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rPr>
                <w:sz w:val="24"/>
              </w:rPr>
            </w:pPr>
            <w:r w:rsidRPr="000E4C40">
              <w:rPr>
                <w:rFonts w:hAnsi="宋体"/>
                <w:sz w:val="24"/>
              </w:rPr>
              <w:t>报告期末债券回购融资余额</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r>
      <w:tr w:rsidR="007521F9" w:rsidRPr="000E4C40" w:rsidTr="00EF568A">
        <w:trPr>
          <w:jc w:val="center"/>
        </w:trPr>
        <w:tc>
          <w:tcPr>
            <w:tcW w:w="845" w:type="dxa"/>
            <w:vMerge/>
            <w:tcBorders>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center"/>
              <w:rPr>
                <w:color w:val="000000"/>
                <w:sz w:val="24"/>
              </w:rPr>
            </w:pPr>
          </w:p>
        </w:tc>
        <w:tc>
          <w:tcPr>
            <w:tcW w:w="315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rPr>
                <w:sz w:val="24"/>
              </w:rPr>
            </w:pPr>
            <w:r w:rsidRPr="000E4C40">
              <w:rPr>
                <w:rFonts w:hAnsi="宋体"/>
                <w:sz w:val="24"/>
              </w:rPr>
              <w:t>其中：买断式回购融资</w:t>
            </w:r>
          </w:p>
        </w:tc>
        <w:tc>
          <w:tcPr>
            <w:tcW w:w="278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c>
          <w:tcPr>
            <w:tcW w:w="207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jc w:val="right"/>
              <w:rPr>
                <w:sz w:val="24"/>
              </w:rPr>
            </w:pPr>
            <w:r w:rsidRPr="000E4C40">
              <w:rPr>
                <w:sz w:val="24"/>
              </w:rPr>
              <w:t>-</w:t>
            </w:r>
          </w:p>
        </w:tc>
      </w:tr>
    </w:tbl>
    <w:p w:rsidR="007521F9" w:rsidRPr="000E4C40" w:rsidRDefault="007521F9" w:rsidP="00281564">
      <w:pPr>
        <w:autoSpaceDE w:val="0"/>
        <w:autoSpaceDN w:val="0"/>
        <w:adjustRightInd w:val="0"/>
        <w:spacing w:before="29" w:line="288" w:lineRule="auto"/>
        <w:jc w:val="left"/>
        <w:rPr>
          <w:color w:val="000000"/>
          <w:sz w:val="24"/>
        </w:rPr>
      </w:pPr>
      <w:r w:rsidRPr="000E4C40">
        <w:rPr>
          <w:color w:val="000000"/>
          <w:sz w:val="24"/>
        </w:rPr>
        <w:t>注：报告期内债券回购融资余额占基金资产净值的比例为报告期内每个银行间市场交易日融资余额占资产净值比例的简单平均值。</w:t>
      </w:r>
    </w:p>
    <w:p w:rsidR="00DB2873" w:rsidRPr="000E4C40" w:rsidRDefault="00DB2873" w:rsidP="00281564">
      <w:pPr>
        <w:spacing w:before="29" w:line="288" w:lineRule="auto"/>
        <w:rPr>
          <w:sz w:val="24"/>
        </w:rPr>
      </w:pPr>
    </w:p>
    <w:p w:rsidR="004771B9" w:rsidRPr="000E4C40" w:rsidRDefault="004771B9" w:rsidP="00281564">
      <w:pPr>
        <w:spacing w:before="29" w:line="288" w:lineRule="auto"/>
        <w:rPr>
          <w:b/>
          <w:color w:val="000000"/>
          <w:kern w:val="0"/>
          <w:sz w:val="24"/>
        </w:rPr>
      </w:pPr>
      <w:r w:rsidRPr="000E4C40">
        <w:rPr>
          <w:rFonts w:hAnsi="宋体"/>
          <w:b/>
          <w:color w:val="000000"/>
          <w:kern w:val="0"/>
          <w:sz w:val="24"/>
        </w:rPr>
        <w:t>债券正回购的资金余额超过基金资产净值的</w:t>
      </w:r>
      <w:r w:rsidRPr="000E4C40">
        <w:rPr>
          <w:b/>
          <w:color w:val="000000"/>
          <w:kern w:val="0"/>
          <w:sz w:val="24"/>
        </w:rPr>
        <w:t>20</w:t>
      </w:r>
      <w:r w:rsidRPr="000E4C40">
        <w:rPr>
          <w:rFonts w:hAnsi="宋体"/>
          <w:b/>
          <w:color w:val="000000"/>
          <w:kern w:val="0"/>
          <w:sz w:val="24"/>
        </w:rPr>
        <w:t>％的说明</w:t>
      </w:r>
    </w:p>
    <w:p w:rsidR="007521F9" w:rsidRPr="000E4C40" w:rsidRDefault="007521F9" w:rsidP="00281564">
      <w:pPr>
        <w:autoSpaceDE w:val="0"/>
        <w:autoSpaceDN w:val="0"/>
        <w:adjustRightInd w:val="0"/>
        <w:spacing w:before="29" w:line="288" w:lineRule="auto"/>
        <w:jc w:val="left"/>
        <w:rPr>
          <w:color w:val="000000"/>
          <w:sz w:val="24"/>
        </w:rPr>
      </w:pPr>
      <w:r w:rsidRPr="000E4C40">
        <w:rPr>
          <w:color w:val="000000"/>
          <w:sz w:val="24"/>
        </w:rPr>
        <w:t>本基金合同约定：</w:t>
      </w:r>
      <w:r w:rsidRPr="000E4C40">
        <w:rPr>
          <w:color w:val="000000"/>
          <w:sz w:val="24"/>
        </w:rPr>
        <w:t>“</w:t>
      </w:r>
      <w:r w:rsidRPr="000E4C40">
        <w:rPr>
          <w:color w:val="000000"/>
          <w:sz w:val="24"/>
        </w:rPr>
        <w:t>本基金进入全国银行间同业市场进行债券回购的资金余额不得超过</w:t>
      </w:r>
      <w:r w:rsidRPr="000E4C40">
        <w:rPr>
          <w:color w:val="000000"/>
          <w:sz w:val="24"/>
        </w:rPr>
        <w:lastRenderedPageBreak/>
        <w:t>基金资产净值的</w:t>
      </w:r>
      <w:r w:rsidRPr="000E4C40">
        <w:rPr>
          <w:color w:val="000000"/>
          <w:sz w:val="24"/>
        </w:rPr>
        <w:t>40%”</w:t>
      </w:r>
      <w:r w:rsidRPr="000E4C40">
        <w:rPr>
          <w:color w:val="000000"/>
          <w:sz w:val="24"/>
        </w:rPr>
        <w:t>。本报告期内，本基金未发生超标情况。</w:t>
      </w:r>
    </w:p>
    <w:p w:rsidR="00902E3F" w:rsidRPr="000E4C40" w:rsidRDefault="00902E3F" w:rsidP="00281564">
      <w:pPr>
        <w:spacing w:before="29" w:line="288" w:lineRule="auto"/>
        <w:rPr>
          <w:b/>
          <w:color w:val="000000"/>
          <w:kern w:val="0"/>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R="00902E3F" w:rsidRPr="000E4C40" w:rsidRDefault="00902E3F" w:rsidP="00281564">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w="8868" w:type="dxa"/>
        <w:jc w:val="center"/>
        <w:tblLayout w:type="fixed"/>
        <w:tblLook w:val="0000" w:firstRow="0" w:lastRow="0" w:firstColumn="0" w:lastColumn="0" w:noHBand="0" w:noVBand="0"/>
      </w:tblPr>
      <w:tblGrid>
        <w:gridCol w:w="4427"/>
        <w:gridCol w:w="4441"/>
      </w:tblGrid>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sz w:val="24"/>
              </w:rPr>
            </w:pPr>
            <w:r w:rsidRPr="000E4C40">
              <w:rPr>
                <w:sz w:val="24"/>
              </w:rPr>
              <w:t>28</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color w:val="000000"/>
                <w:sz w:val="24"/>
              </w:rPr>
            </w:pPr>
            <w:r w:rsidRPr="000E4C40">
              <w:rPr>
                <w:color w:val="000000"/>
                <w:sz w:val="24"/>
              </w:rPr>
              <w:t>54</w:t>
            </w:r>
          </w:p>
        </w:tc>
      </w:tr>
      <w:tr w:rsidR="007521F9" w:rsidRPr="000E4C40" w:rsidTr="00EF568A">
        <w:trPr>
          <w:jc w:val="center"/>
        </w:trPr>
        <w:tc>
          <w:tcPr>
            <w:tcW w:w="442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w="4441"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spacing w:before="29" w:line="288" w:lineRule="auto"/>
              <w:ind w:right="120"/>
              <w:jc w:val="right"/>
              <w:rPr>
                <w:sz w:val="24"/>
              </w:rPr>
            </w:pPr>
            <w:r w:rsidRPr="000E4C40">
              <w:rPr>
                <w:sz w:val="24"/>
              </w:rPr>
              <w:t>17</w:t>
            </w:r>
          </w:p>
        </w:tc>
      </w:tr>
    </w:tbl>
    <w:p w:rsidR="007521F9" w:rsidRPr="000E4C40" w:rsidRDefault="007521F9" w:rsidP="00281564">
      <w:pPr>
        <w:spacing w:before="29" w:line="288" w:lineRule="auto"/>
        <w:rPr>
          <w:b/>
          <w:sz w:val="24"/>
        </w:rPr>
      </w:pPr>
    </w:p>
    <w:p w:rsidR="007277D1" w:rsidRPr="000E4C40" w:rsidRDefault="007277D1" w:rsidP="00281564">
      <w:pPr>
        <w:spacing w:before="29" w:line="288" w:lineRule="auto"/>
        <w:rPr>
          <w:b/>
          <w:color w:val="000000"/>
          <w:kern w:val="0"/>
          <w:sz w:val="24"/>
        </w:rPr>
      </w:pPr>
      <w:r w:rsidRPr="000E4C40">
        <w:rPr>
          <w:rFonts w:hAnsi="宋体"/>
          <w:b/>
          <w:color w:val="000000"/>
          <w:kern w:val="0"/>
          <w:sz w:val="24"/>
        </w:rPr>
        <w:t>报告期内投资组合平均剩余期限超过</w:t>
      </w:r>
      <w:r w:rsidR="00F046FB">
        <w:rPr>
          <w:b/>
          <w:color w:val="000000"/>
          <w:kern w:val="0"/>
          <w:sz w:val="24"/>
        </w:rPr>
        <w:t>12</w:t>
      </w:r>
      <w:r w:rsidRPr="000E4C40">
        <w:rPr>
          <w:b/>
          <w:color w:val="000000"/>
          <w:kern w:val="0"/>
          <w:sz w:val="24"/>
        </w:rPr>
        <w:t>0</w:t>
      </w:r>
      <w:r w:rsidRPr="000E4C40">
        <w:rPr>
          <w:rFonts w:hAnsi="宋体"/>
          <w:b/>
          <w:color w:val="000000"/>
          <w:kern w:val="0"/>
          <w:sz w:val="24"/>
        </w:rPr>
        <w:t>天情况说明</w:t>
      </w:r>
    </w:p>
    <w:p w:rsidR="007521F9" w:rsidRDefault="000E5695" w:rsidP="00281564">
      <w:pPr>
        <w:adjustRightInd w:val="0"/>
        <w:spacing w:before="29" w:line="288" w:lineRule="auto"/>
        <w:rPr>
          <w:kern w:val="0"/>
          <w:sz w:val="24"/>
        </w:rPr>
      </w:pPr>
      <w:r w:rsidRPr="000E5695">
        <w:rPr>
          <w:kern w:val="0"/>
          <w:sz w:val="24"/>
        </w:rPr>
        <w:t>本基金合同约定：</w:t>
      </w:r>
      <w:r w:rsidRPr="000E5695">
        <w:rPr>
          <w:kern w:val="0"/>
          <w:sz w:val="24"/>
        </w:rPr>
        <w:t>“</w:t>
      </w:r>
      <w:r w:rsidRPr="000E5695">
        <w:rPr>
          <w:kern w:val="0"/>
          <w:sz w:val="24"/>
        </w:rPr>
        <w:t>本基金投资组合的平均剩余期限在每个交易日均不得超过</w:t>
      </w:r>
      <w:r w:rsidRPr="000E5695">
        <w:rPr>
          <w:kern w:val="0"/>
          <w:sz w:val="24"/>
        </w:rPr>
        <w:t>141</w:t>
      </w:r>
      <w:r w:rsidRPr="000E5695">
        <w:rPr>
          <w:kern w:val="0"/>
          <w:sz w:val="24"/>
        </w:rPr>
        <w:t>天</w:t>
      </w:r>
      <w:r w:rsidRPr="000E5695">
        <w:rPr>
          <w:kern w:val="0"/>
          <w:sz w:val="24"/>
        </w:rPr>
        <w:t>”</w:t>
      </w:r>
      <w:r w:rsidRPr="000E5695">
        <w:rPr>
          <w:kern w:val="0"/>
          <w:sz w:val="24"/>
        </w:rPr>
        <w:t>。本报告期内，本基金未发生超标情况。</w:t>
      </w:r>
    </w:p>
    <w:p w:rsidR="000E5695" w:rsidRPr="000E5695" w:rsidRDefault="000E5695" w:rsidP="00281564">
      <w:pPr>
        <w:adjustRightInd w:val="0"/>
        <w:spacing w:before="29" w:line="288" w:lineRule="auto"/>
        <w:rPr>
          <w:sz w:val="24"/>
        </w:rPr>
      </w:pPr>
    </w:p>
    <w:p w:rsidR="00902E3F" w:rsidRPr="000E4C40" w:rsidRDefault="00902E3F" w:rsidP="00281564">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w="8868" w:type="dxa"/>
        <w:jc w:val="center"/>
        <w:tblLayout w:type="fixed"/>
        <w:tblLook w:val="0000" w:firstRow="0" w:lastRow="0" w:firstColumn="0" w:lastColumn="0" w:noHBand="0" w:noVBand="0"/>
      </w:tblPr>
      <w:tblGrid>
        <w:gridCol w:w="829"/>
        <w:gridCol w:w="3240"/>
        <w:gridCol w:w="2447"/>
        <w:gridCol w:w="2352"/>
      </w:tblGrid>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80.17</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2</w:t>
            </w: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0.93</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3</w:t>
            </w: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16.08</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4</w:t>
            </w: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2.62</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r w:rsidRPr="000E4C40">
              <w:rPr>
                <w:color w:val="000000"/>
                <w:sz w:val="24"/>
              </w:rPr>
              <w:t>5</w:t>
            </w: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center"/>
              <w:rPr>
                <w:color w:val="000000"/>
                <w:sz w:val="24"/>
              </w:rPr>
            </w:pPr>
          </w:p>
        </w:tc>
        <w:tc>
          <w:tcPr>
            <w:tcW w:w="3240"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7521F9" w:rsidP="00281564">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w="2447"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w="2352" w:type="dxa"/>
            <w:tcBorders>
              <w:top w:val="single" w:sz="8" w:space="0" w:color="000000"/>
              <w:left w:val="single" w:sz="8" w:space="0" w:color="000000"/>
              <w:bottom w:val="single" w:sz="8" w:space="0" w:color="000000"/>
              <w:right w:val="single" w:sz="8" w:space="0" w:color="000000"/>
            </w:tcBorders>
            <w:vAlign w:val="center"/>
          </w:tcPr>
          <w:p w:rsidR="007521F9" w:rsidRPr="000E4C40" w:rsidRDefault="000E5695" w:rsidP="00281564">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672D25" w:rsidRPr="000E4C40" w:rsidTr="00672D25">
        <w:trPr>
          <w:jc w:val="center"/>
        </w:trPr>
        <w:tc>
          <w:tcPr>
            <w:tcW w:w="829" w:type="dxa"/>
            <w:tcBorders>
              <w:top w:val="single" w:sz="8" w:space="0" w:color="000000"/>
              <w:left w:val="single" w:sz="8" w:space="0" w:color="000000"/>
              <w:bottom w:val="single" w:sz="8" w:space="0" w:color="000000"/>
              <w:right w:val="single" w:sz="8" w:space="0" w:color="000000"/>
            </w:tcBorders>
            <w:vAlign w:val="center"/>
          </w:tcPr>
          <w:p w:rsidR="00672D25" w:rsidRPr="000E4C40" w:rsidRDefault="00672D25" w:rsidP="00281564">
            <w:pPr>
              <w:autoSpaceDE w:val="0"/>
              <w:autoSpaceDN w:val="0"/>
              <w:adjustRightInd w:val="0"/>
              <w:spacing w:before="29" w:line="288" w:lineRule="auto"/>
              <w:ind w:left="15"/>
              <w:jc w:val="center"/>
              <w:rPr>
                <w:color w:val="000000"/>
                <w:sz w:val="24"/>
              </w:rPr>
            </w:pPr>
            <w:r>
              <w:rPr>
                <w:rFonts w:hint="eastAsia"/>
                <w:color w:val="000000"/>
                <w:sz w:val="24"/>
              </w:rPr>
              <w:lastRenderedPageBreak/>
              <w:t>6</w:t>
            </w:r>
          </w:p>
        </w:tc>
        <w:tc>
          <w:tcPr>
            <w:tcW w:w="3240" w:type="dxa"/>
            <w:tcBorders>
              <w:top w:val="single" w:sz="8" w:space="0" w:color="000000"/>
              <w:left w:val="single" w:sz="8" w:space="0" w:color="000000"/>
              <w:bottom w:val="single" w:sz="8" w:space="0" w:color="000000"/>
              <w:right w:val="single" w:sz="8" w:space="0" w:color="000000"/>
            </w:tcBorders>
            <w:vAlign w:val="center"/>
          </w:tcPr>
          <w:p w:rsidR="00672D25" w:rsidRPr="000E4C40" w:rsidRDefault="00672D25" w:rsidP="00281564">
            <w:pPr>
              <w:autoSpaceDE w:val="0"/>
              <w:autoSpaceDN w:val="0"/>
              <w:adjustRightInd w:val="0"/>
              <w:spacing w:before="29" w:line="288" w:lineRule="auto"/>
              <w:ind w:left="15"/>
              <w:jc w:val="left"/>
              <w:rPr>
                <w:rFonts w:hAnsi="宋体"/>
                <w:color w:val="000000"/>
                <w:sz w:val="24"/>
              </w:rPr>
            </w:pPr>
            <w:r w:rsidRPr="00672D25">
              <w:rPr>
                <w:color w:val="000000"/>
                <w:sz w:val="24"/>
              </w:rPr>
              <w:t>合计</w:t>
            </w:r>
          </w:p>
        </w:tc>
        <w:tc>
          <w:tcPr>
            <w:tcW w:w="2447" w:type="dxa"/>
            <w:tcBorders>
              <w:top w:val="single" w:sz="8" w:space="0" w:color="000000"/>
              <w:left w:val="single" w:sz="8" w:space="0" w:color="000000"/>
              <w:bottom w:val="single" w:sz="8" w:space="0" w:color="000000"/>
              <w:right w:val="single" w:sz="8" w:space="0" w:color="000000"/>
            </w:tcBorders>
            <w:vAlign w:val="center"/>
          </w:tcPr>
          <w:p w:rsidR="00672D25" w:rsidRPr="000E5695" w:rsidRDefault="00672D25" w:rsidP="00281564">
            <w:pPr>
              <w:autoSpaceDE w:val="0"/>
              <w:autoSpaceDN w:val="0"/>
              <w:adjustRightInd w:val="0"/>
              <w:spacing w:before="29" w:line="288" w:lineRule="auto"/>
              <w:ind w:left="15"/>
              <w:jc w:val="right"/>
              <w:rPr>
                <w:color w:val="000000"/>
                <w:sz w:val="24"/>
              </w:rPr>
            </w:pPr>
            <w:r w:rsidRPr="000E4C40">
              <w:rPr>
                <w:color w:val="000000"/>
                <w:sz w:val="24"/>
              </w:rPr>
              <w:t>99.80</w:t>
            </w:r>
          </w:p>
        </w:tc>
        <w:tc>
          <w:tcPr>
            <w:tcW w:w="2352" w:type="dxa"/>
            <w:tcBorders>
              <w:top w:val="single" w:sz="8" w:space="0" w:color="000000"/>
              <w:left w:val="single" w:sz="8" w:space="0" w:color="000000"/>
              <w:bottom w:val="single" w:sz="8" w:space="0" w:color="000000"/>
              <w:right w:val="single" w:sz="8" w:space="0" w:color="000000"/>
            </w:tcBorders>
            <w:vAlign w:val="center"/>
          </w:tcPr>
          <w:p w:rsidR="00672D25" w:rsidRPr="000E5695" w:rsidRDefault="00672D25" w:rsidP="00281564">
            <w:pPr>
              <w:autoSpaceDE w:val="0"/>
              <w:autoSpaceDN w:val="0"/>
              <w:adjustRightInd w:val="0"/>
              <w:spacing w:before="29" w:line="288" w:lineRule="auto"/>
              <w:ind w:left="15"/>
              <w:jc w:val="right"/>
              <w:rPr>
                <w:color w:val="000000"/>
                <w:sz w:val="24"/>
              </w:rPr>
            </w:pPr>
            <w:r w:rsidRPr="000E4C40">
              <w:rPr>
                <w:color w:val="000000"/>
                <w:sz w:val="24"/>
              </w:rPr>
              <w:t>-</w:t>
            </w:r>
          </w:p>
        </w:tc>
      </w:tr>
    </w:tbl>
    <w:p w:rsidR="00F046FB" w:rsidRDefault="00F046FB" w:rsidP="00281564">
      <w:pPr>
        <w:spacing w:before="29" w:line="288" w:lineRule="auto"/>
        <w:rPr>
          <w:color w:val="000000"/>
          <w:kern w:val="0"/>
          <w:sz w:val="24"/>
        </w:rPr>
      </w:pPr>
    </w:p>
    <w:p w:rsidR="00F046FB" w:rsidRPr="00F046FB" w:rsidRDefault="00F046FB" w:rsidP="00F046FB">
      <w:pPr>
        <w:spacing w:line="360" w:lineRule="auto"/>
        <w:rPr>
          <w:rFonts w:ascii="宋体" w:hAnsi="宋体" w:cs="Arial"/>
          <w:b/>
          <w:bCs/>
          <w:color w:val="000000"/>
          <w:kern w:val="0"/>
          <w:sz w:val="24"/>
        </w:rPr>
      </w:pPr>
      <w:r w:rsidRPr="00F046FB">
        <w:rPr>
          <w:rFonts w:ascii="宋体" w:hAnsi="宋体" w:cs="Arial"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R="00F046FB" w:rsidRPr="00F046FB" w:rsidRDefault="00F046FB" w:rsidP="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本基金本报告期内投资组合平均剩余存续期未超过240天。</w:t>
      </w:r>
    </w:p>
    <w:p w:rsidR="00F046FB" w:rsidRPr="00F046FB" w:rsidRDefault="00F046FB" w:rsidP="00281564">
      <w:pPr>
        <w:spacing w:before="29" w:line="288" w:lineRule="auto"/>
        <w:rPr>
          <w:color w:val="000000"/>
          <w:kern w:val="0"/>
          <w:sz w:val="24"/>
        </w:rPr>
      </w:pPr>
    </w:p>
    <w:p w:rsidR="00902E3F" w:rsidRDefault="002304D5" w:rsidP="00281564">
      <w:pPr>
        <w:spacing w:before="29" w:line="288" w:lineRule="auto"/>
        <w:rPr>
          <w:rFonts w:hAnsi="宋体"/>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p w:rsidR="00FE3EEE" w:rsidRPr="00FE3EEE" w:rsidRDefault="00FE3EEE" w:rsidP="00FE3EEE">
      <w:pPr>
        <w:spacing w:before="29" w:line="288" w:lineRule="auto"/>
        <w:jc w:val="right"/>
        <w:rPr>
          <w:color w:val="000000"/>
          <w:kern w:val="0"/>
          <w:sz w:val="24"/>
        </w:rPr>
      </w:pPr>
      <w:r w:rsidRPr="00FE3EEE">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3096"/>
        <w:gridCol w:w="3097"/>
        <w:gridCol w:w="1889"/>
      </w:tblGrid>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序号</w:t>
            </w:r>
          </w:p>
        </w:tc>
        <w:tc>
          <w:tcPr>
            <w:tcW w:w="3096"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债券品种</w:t>
            </w:r>
          </w:p>
        </w:tc>
        <w:tc>
          <w:tcPr>
            <w:tcW w:w="3097" w:type="dxa"/>
            <w:vAlign w:val="center"/>
          </w:tcPr>
          <w:p w:rsidR="007521F9" w:rsidRPr="000E4C40" w:rsidRDefault="00FE3EEE" w:rsidP="00281564">
            <w:pPr>
              <w:spacing w:before="29" w:line="288" w:lineRule="auto"/>
              <w:ind w:left="17"/>
              <w:jc w:val="center"/>
              <w:rPr>
                <w:color w:val="000000"/>
                <w:sz w:val="24"/>
              </w:rPr>
            </w:pPr>
            <w:r>
              <w:rPr>
                <w:rFonts w:hAnsi="宋体"/>
                <w:sz w:val="24"/>
              </w:rPr>
              <w:t>摊余成本</w:t>
            </w:r>
          </w:p>
        </w:tc>
        <w:tc>
          <w:tcPr>
            <w:tcW w:w="1889" w:type="dxa"/>
            <w:vAlign w:val="center"/>
          </w:tcPr>
          <w:p w:rsidR="007521F9" w:rsidRPr="000E4C40" w:rsidRDefault="007521F9" w:rsidP="00281564">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1</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国家债券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369,692,365.06</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4.89</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2</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央行票据</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3</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金融债券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379,851,396.61</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5.02</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其中：政策性金融债</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379,851,396.61</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5.02</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4</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企业债券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200,878,824.72</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2.66</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5</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2,170,343,644.37</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28.71</w:t>
            </w:r>
          </w:p>
        </w:tc>
      </w:tr>
      <w:tr w:rsidR="007521F9" w:rsidRPr="000E4C40" w:rsidTr="00F41AA6">
        <w:trPr>
          <w:jc w:val="center"/>
        </w:trPr>
        <w:tc>
          <w:tcPr>
            <w:tcW w:w="786" w:type="dxa"/>
            <w:vAlign w:val="center"/>
          </w:tcPr>
          <w:p w:rsidR="007521F9" w:rsidRPr="000E4C40" w:rsidRDefault="007521F9" w:rsidP="00281564">
            <w:pPr>
              <w:spacing w:before="29" w:line="288" w:lineRule="auto"/>
              <w:ind w:left="17"/>
              <w:jc w:val="center"/>
              <w:rPr>
                <w:color w:val="000000"/>
                <w:sz w:val="24"/>
              </w:rPr>
            </w:pPr>
            <w:r w:rsidRPr="000E4C40">
              <w:rPr>
                <w:color w:val="000000"/>
                <w:sz w:val="24"/>
              </w:rPr>
              <w:t>6</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中期票据</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0.00</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F41AA6" w:rsidRPr="000E4C40" w:rsidTr="00FE3EEE">
        <w:trPr>
          <w:jc w:val="center"/>
        </w:trPr>
        <w:tc>
          <w:tcPr>
            <w:tcW w:w="786" w:type="dxa"/>
            <w:vAlign w:val="center"/>
          </w:tcPr>
          <w:p w:rsidR="00F41AA6" w:rsidRPr="00432A2C" w:rsidRDefault="00F41AA6" w:rsidP="00FE3EEE">
            <w:pPr>
              <w:spacing w:before="29" w:line="288" w:lineRule="auto"/>
              <w:ind w:left="17"/>
              <w:jc w:val="center"/>
              <w:rPr>
                <w:color w:val="000000"/>
                <w:sz w:val="24"/>
              </w:rPr>
            </w:pPr>
            <w:r w:rsidRPr="00432A2C">
              <w:rPr>
                <w:rFonts w:hint="eastAsia"/>
                <w:color w:val="000000"/>
                <w:sz w:val="24"/>
              </w:rPr>
              <w:t>7</w:t>
            </w:r>
          </w:p>
        </w:tc>
        <w:tc>
          <w:tcPr>
            <w:tcW w:w="3096" w:type="dxa"/>
            <w:vAlign w:val="center"/>
          </w:tcPr>
          <w:p w:rsidR="00F41AA6" w:rsidRPr="00432A2C" w:rsidRDefault="00F41AA6" w:rsidP="00FE3EEE">
            <w:pPr>
              <w:spacing w:before="29" w:line="288" w:lineRule="auto"/>
              <w:ind w:left="17"/>
              <w:jc w:val="left"/>
              <w:rPr>
                <w:color w:val="000000"/>
                <w:sz w:val="24"/>
              </w:rPr>
            </w:pPr>
            <w:r w:rsidRPr="00432A2C">
              <w:rPr>
                <w:rFonts w:hint="eastAsia"/>
                <w:color w:val="000000"/>
                <w:sz w:val="24"/>
              </w:rPr>
              <w:t>同业存单</w:t>
            </w:r>
          </w:p>
        </w:tc>
        <w:tc>
          <w:tcPr>
            <w:tcW w:w="3097" w:type="dxa"/>
            <w:vAlign w:val="center"/>
          </w:tcPr>
          <w:p w:rsidR="00F41AA6" w:rsidRPr="00432A2C" w:rsidRDefault="00F41AA6" w:rsidP="00FE3EEE">
            <w:pPr>
              <w:spacing w:before="29" w:line="288" w:lineRule="auto"/>
              <w:ind w:left="17"/>
              <w:jc w:val="right"/>
              <w:rPr>
                <w:color w:val="000000"/>
                <w:sz w:val="24"/>
              </w:rPr>
            </w:pPr>
            <w:r w:rsidRPr="00432A2C">
              <w:rPr>
                <w:rFonts w:hint="eastAsia"/>
                <w:color w:val="000000"/>
                <w:sz w:val="24"/>
              </w:rPr>
              <w:t>913,451,191.31</w:t>
            </w:r>
          </w:p>
        </w:tc>
        <w:tc>
          <w:tcPr>
            <w:tcW w:w="1889" w:type="dxa"/>
            <w:vAlign w:val="center"/>
          </w:tcPr>
          <w:p w:rsidR="00F41AA6" w:rsidRPr="00432A2C" w:rsidRDefault="00F41AA6" w:rsidP="00FE3EEE">
            <w:pPr>
              <w:spacing w:before="29" w:line="288" w:lineRule="auto"/>
              <w:ind w:left="17"/>
              <w:jc w:val="right"/>
              <w:rPr>
                <w:color w:val="000000"/>
                <w:sz w:val="24"/>
              </w:rPr>
            </w:pPr>
            <w:r w:rsidRPr="00432A2C">
              <w:rPr>
                <w:rFonts w:hint="eastAsia"/>
                <w:color w:val="000000"/>
                <w:sz w:val="24"/>
              </w:rPr>
              <w:t>12.08</w:t>
            </w:r>
          </w:p>
        </w:tc>
      </w:tr>
      <w:tr w:rsidR="007521F9" w:rsidRPr="000E4C40" w:rsidTr="00F41AA6">
        <w:trPr>
          <w:jc w:val="center"/>
        </w:trPr>
        <w:tc>
          <w:tcPr>
            <w:tcW w:w="786" w:type="dxa"/>
            <w:vAlign w:val="center"/>
          </w:tcPr>
          <w:p w:rsidR="007521F9" w:rsidRPr="000E4C40" w:rsidRDefault="007521F9" w:rsidP="00855BA5">
            <w:pPr>
              <w:spacing w:before="29" w:line="288" w:lineRule="auto"/>
              <w:ind w:left="17"/>
              <w:jc w:val="center"/>
              <w:rPr>
                <w:color w:val="000000"/>
                <w:sz w:val="24"/>
              </w:rPr>
            </w:pPr>
            <w:r w:rsidRPr="000E4C40">
              <w:rPr>
                <w:color w:val="000000"/>
                <w:sz w:val="24"/>
              </w:rPr>
              <w:t>8</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其他</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w="786" w:type="dxa"/>
            <w:vAlign w:val="center"/>
          </w:tcPr>
          <w:p w:rsidR="007521F9" w:rsidRPr="000E4C40" w:rsidRDefault="007521F9" w:rsidP="00855BA5">
            <w:pPr>
              <w:spacing w:before="29" w:line="288" w:lineRule="auto"/>
              <w:ind w:left="17"/>
              <w:jc w:val="center"/>
              <w:rPr>
                <w:color w:val="000000"/>
                <w:sz w:val="24"/>
              </w:rPr>
            </w:pPr>
            <w:r w:rsidRPr="000E4C40">
              <w:rPr>
                <w:color w:val="000000"/>
                <w:sz w:val="24"/>
              </w:rPr>
              <w:t>9</w:t>
            </w:r>
          </w:p>
        </w:tc>
        <w:tc>
          <w:tcPr>
            <w:tcW w:w="3096" w:type="dxa"/>
            <w:vAlign w:val="center"/>
          </w:tcPr>
          <w:p w:rsidR="007521F9" w:rsidRPr="000E4C40" w:rsidRDefault="007521F9" w:rsidP="00281564">
            <w:pPr>
              <w:spacing w:before="29" w:line="288" w:lineRule="auto"/>
              <w:ind w:left="17"/>
              <w:jc w:val="left"/>
              <w:rPr>
                <w:color w:val="000000"/>
                <w:sz w:val="24"/>
              </w:rPr>
            </w:pPr>
            <w:r w:rsidRPr="000E4C40">
              <w:rPr>
                <w:rFonts w:hAnsi="宋体"/>
                <w:color w:val="000000"/>
                <w:sz w:val="24"/>
              </w:rPr>
              <w:t>合计</w:t>
            </w:r>
          </w:p>
        </w:tc>
        <w:tc>
          <w:tcPr>
            <w:tcW w:w="3097"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4,034,217,422.07</w:t>
            </w:r>
          </w:p>
        </w:tc>
        <w:tc>
          <w:tcPr>
            <w:tcW w:w="1889" w:type="dxa"/>
            <w:vAlign w:val="center"/>
          </w:tcPr>
          <w:p w:rsidR="007521F9" w:rsidRPr="000E4C40" w:rsidRDefault="007521F9" w:rsidP="00281564">
            <w:pPr>
              <w:spacing w:before="29" w:line="288" w:lineRule="auto"/>
              <w:ind w:left="17"/>
              <w:jc w:val="right"/>
              <w:rPr>
                <w:color w:val="000000"/>
                <w:sz w:val="24"/>
              </w:rPr>
            </w:pPr>
            <w:r w:rsidRPr="000E4C40">
              <w:rPr>
                <w:color w:val="000000"/>
                <w:sz w:val="24"/>
              </w:rPr>
              <w:t>53.36</w:t>
            </w:r>
          </w:p>
        </w:tc>
      </w:tr>
      <w:tr w:rsidR="00813897" w:rsidRPr="000E4C40" w:rsidTr="00F41AA6">
        <w:trPr>
          <w:jc w:val="center"/>
        </w:trPr>
        <w:tc>
          <w:tcPr>
            <w:tcW w:w="786" w:type="dxa"/>
            <w:vAlign w:val="center"/>
          </w:tcPr>
          <w:p w:rsidR="00813897" w:rsidRPr="000E4C40" w:rsidRDefault="00813897" w:rsidP="00855BA5">
            <w:pPr>
              <w:spacing w:before="29" w:line="288" w:lineRule="auto"/>
              <w:ind w:left="17"/>
              <w:jc w:val="center"/>
              <w:rPr>
                <w:color w:val="000000"/>
                <w:sz w:val="24"/>
              </w:rPr>
            </w:pPr>
            <w:r w:rsidRPr="000E4C40">
              <w:rPr>
                <w:color w:val="000000"/>
                <w:sz w:val="24"/>
              </w:rPr>
              <w:t>10</w:t>
            </w:r>
          </w:p>
        </w:tc>
        <w:tc>
          <w:tcPr>
            <w:tcW w:w="3096" w:type="dxa"/>
            <w:vAlign w:val="center"/>
          </w:tcPr>
          <w:p w:rsidR="00813897" w:rsidRPr="000E4C40" w:rsidRDefault="00813897" w:rsidP="00281564">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w="3097" w:type="dxa"/>
            <w:vAlign w:val="center"/>
          </w:tcPr>
          <w:p w:rsidR="00813897" w:rsidRPr="000E4C40" w:rsidRDefault="00813897" w:rsidP="00281564">
            <w:pPr>
              <w:spacing w:before="29" w:line="288" w:lineRule="auto"/>
              <w:ind w:left="17"/>
              <w:jc w:val="right"/>
              <w:rPr>
                <w:color w:val="000000"/>
                <w:sz w:val="24"/>
              </w:rPr>
            </w:pPr>
            <w:r w:rsidRPr="000E4C40">
              <w:rPr>
                <w:color w:val="000000"/>
                <w:sz w:val="24"/>
              </w:rPr>
              <w:t>-</w:t>
            </w:r>
          </w:p>
        </w:tc>
        <w:tc>
          <w:tcPr>
            <w:tcW w:w="1889" w:type="dxa"/>
            <w:vAlign w:val="center"/>
          </w:tcPr>
          <w:p w:rsidR="00813897" w:rsidRPr="000E4C40" w:rsidRDefault="00813897" w:rsidP="00281564">
            <w:pPr>
              <w:spacing w:before="29" w:line="288" w:lineRule="auto"/>
              <w:ind w:left="17"/>
              <w:jc w:val="right"/>
              <w:rPr>
                <w:color w:val="000000"/>
                <w:sz w:val="24"/>
              </w:rPr>
            </w:pPr>
            <w:r w:rsidRPr="000E4C40">
              <w:rPr>
                <w:color w:val="000000"/>
                <w:sz w:val="24"/>
              </w:rPr>
              <w:t>-</w:t>
            </w:r>
          </w:p>
        </w:tc>
      </w:tr>
    </w:tbl>
    <w:p w:rsidR="007521F9" w:rsidRPr="000E4C40" w:rsidRDefault="007521F9" w:rsidP="00281564">
      <w:pPr>
        <w:spacing w:before="29" w:line="288" w:lineRule="auto"/>
        <w:rPr>
          <w:b/>
          <w:color w:val="000000"/>
          <w:kern w:val="0"/>
          <w:sz w:val="24"/>
        </w:rPr>
      </w:pPr>
    </w:p>
    <w:p w:rsidR="00902E3F" w:rsidRDefault="002304D5" w:rsidP="00281564">
      <w:pPr>
        <w:spacing w:before="29" w:line="288" w:lineRule="auto"/>
        <w:rPr>
          <w:rFonts w:hAnsi="宋体"/>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p w:rsidR="00E5775C" w:rsidRPr="00E5775C" w:rsidRDefault="00E5775C" w:rsidP="00E5775C">
      <w:pPr>
        <w:spacing w:before="29" w:line="288" w:lineRule="auto"/>
        <w:jc w:val="right"/>
        <w:rPr>
          <w:color w:val="000000"/>
          <w:kern w:val="0"/>
          <w:sz w:val="24"/>
        </w:rPr>
      </w:pPr>
      <w:r w:rsidRPr="00E5775C">
        <w:rPr>
          <w:rFonts w:hint="eastAsia"/>
          <w:color w:val="000000"/>
          <w:kern w:val="0"/>
          <w:sz w:val="24"/>
        </w:rPr>
        <w:t>金额单位：人民币元</w:t>
      </w:r>
    </w:p>
    <w:tbl>
      <w:tblPr>
        <w:tblStyle w:val="aa"/>
        <w:tblW w:w="9302" w:type="dxa"/>
        <w:jc w:val="center"/>
        <w:tblCellMar>
          <w:top w:w="57" w:type="dxa"/>
          <w:bottom w:w="57" w:type="dxa"/>
        </w:tblCellMar>
        <w:tblLook w:val="04A0" w:firstRow="1" w:lastRow="0" w:firstColumn="1" w:lastColumn="0" w:noHBand="0" w:noVBand="1"/>
      </w:tblPr>
      <w:tblGrid>
        <w:gridCol w:w="969"/>
        <w:gridCol w:w="1367"/>
        <w:gridCol w:w="1861"/>
        <w:gridCol w:w="1574"/>
        <w:gridCol w:w="1716"/>
        <w:gridCol w:w="1815"/>
      </w:tblGrid>
      <w:tr w:rsidR="00FC3236" w:rsidRPr="000E4C40" w:rsidTr="00FC3236">
        <w:trPr>
          <w:jc w:val="center"/>
        </w:trPr>
        <w:tc>
          <w:tcPr>
            <w:tcW w:w="1183"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w="1398"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w="1355"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w="1745" w:type="dxa"/>
            <w:vAlign w:val="center"/>
          </w:tcPr>
          <w:p w:rsidR="00343648" w:rsidRPr="000E4C40" w:rsidRDefault="00343648" w:rsidP="00FC3236">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r w:rsidR="00FC3236">
              <w:rPr>
                <w:rFonts w:hint="eastAsia"/>
                <w:color w:val="000000"/>
                <w:kern w:val="0"/>
                <w:sz w:val="24"/>
              </w:rPr>
              <w:t>(</w:t>
            </w:r>
            <w:r w:rsidR="00FC3236">
              <w:rPr>
                <w:rFonts w:hint="eastAsia"/>
                <w:color w:val="000000"/>
                <w:kern w:val="0"/>
                <w:sz w:val="24"/>
              </w:rPr>
              <w:t>张</w:t>
            </w:r>
            <w:r w:rsidR="00FC3236">
              <w:rPr>
                <w:rFonts w:hint="eastAsia"/>
                <w:color w:val="000000"/>
                <w:kern w:val="0"/>
                <w:sz w:val="24"/>
              </w:rPr>
              <w:t>)</w:t>
            </w:r>
          </w:p>
        </w:tc>
        <w:tc>
          <w:tcPr>
            <w:tcW w:w="1435" w:type="dxa"/>
            <w:vAlign w:val="center"/>
          </w:tcPr>
          <w:p w:rsidR="00343648" w:rsidRPr="000E4C40" w:rsidRDefault="00501830" w:rsidP="00281564">
            <w:pPr>
              <w:autoSpaceDE w:val="0"/>
              <w:autoSpaceDN w:val="0"/>
              <w:adjustRightInd w:val="0"/>
              <w:spacing w:before="29" w:line="288" w:lineRule="auto"/>
              <w:ind w:left="15"/>
              <w:jc w:val="center"/>
              <w:rPr>
                <w:color w:val="000000"/>
                <w:kern w:val="0"/>
                <w:sz w:val="24"/>
              </w:rPr>
            </w:pPr>
            <w:r>
              <w:rPr>
                <w:rFonts w:hAnsi="宋体"/>
                <w:color w:val="000000"/>
                <w:kern w:val="0"/>
                <w:sz w:val="24"/>
              </w:rPr>
              <w:t>摊余成本</w:t>
            </w:r>
          </w:p>
        </w:tc>
        <w:tc>
          <w:tcPr>
            <w:tcW w:w="2186" w:type="dxa"/>
            <w:vAlign w:val="center"/>
          </w:tcPr>
          <w:p w:rsidR="00343648" w:rsidRPr="000E4C40" w:rsidRDefault="00343648"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rsidR="00226301">
        <w:trPr>
          <w:jc w:val="center"/>
        </w:trPr>
        <w:tc>
          <w:tcPr>
            <w:tcW w:w="0" w:type="auto"/>
            <w:vAlign w:val="center"/>
          </w:tcPr>
          <w:p w:rsidR="00226301" w:rsidRDefault="00EA0F91">
            <w:pPr>
              <w:jc w:val="center"/>
            </w:pPr>
            <w:r>
              <w:rPr>
                <w:color w:val="000000"/>
                <w:sz w:val="24"/>
              </w:rPr>
              <w:t>1</w:t>
            </w:r>
          </w:p>
        </w:tc>
        <w:tc>
          <w:tcPr>
            <w:tcW w:w="0" w:type="auto"/>
            <w:vAlign w:val="center"/>
          </w:tcPr>
          <w:p w:rsidR="00226301" w:rsidRDefault="00EA0F91">
            <w:pPr>
              <w:jc w:val="center"/>
            </w:pPr>
            <w:r>
              <w:rPr>
                <w:color w:val="000000"/>
                <w:sz w:val="24"/>
              </w:rPr>
              <w:t>072000100</w:t>
            </w:r>
          </w:p>
        </w:tc>
        <w:tc>
          <w:tcPr>
            <w:tcW w:w="0" w:type="auto"/>
            <w:vAlign w:val="center"/>
          </w:tcPr>
          <w:p w:rsidR="00226301" w:rsidRDefault="00EA0F91">
            <w:pPr>
              <w:jc w:val="center"/>
            </w:pPr>
            <w:r>
              <w:rPr>
                <w:color w:val="000000"/>
                <w:sz w:val="24"/>
              </w:rPr>
              <w:t>20</w:t>
            </w:r>
            <w:r>
              <w:rPr>
                <w:color w:val="000000"/>
                <w:sz w:val="24"/>
              </w:rPr>
              <w:t>中信证券</w:t>
            </w:r>
            <w:r>
              <w:rPr>
                <w:color w:val="000000"/>
                <w:sz w:val="24"/>
              </w:rPr>
              <w:t>CP008</w:t>
            </w:r>
          </w:p>
        </w:tc>
        <w:tc>
          <w:tcPr>
            <w:tcW w:w="0" w:type="auto"/>
            <w:vAlign w:val="center"/>
          </w:tcPr>
          <w:p w:rsidR="00226301" w:rsidRDefault="00EA0F91">
            <w:pPr>
              <w:jc w:val="right"/>
            </w:pPr>
            <w:r>
              <w:rPr>
                <w:color w:val="000000"/>
                <w:sz w:val="24"/>
              </w:rPr>
              <w:t>6,000,000</w:t>
            </w:r>
          </w:p>
        </w:tc>
        <w:tc>
          <w:tcPr>
            <w:tcW w:w="0" w:type="auto"/>
            <w:vAlign w:val="center"/>
          </w:tcPr>
          <w:p w:rsidR="00226301" w:rsidRDefault="00EA0F91">
            <w:pPr>
              <w:jc w:val="right"/>
            </w:pPr>
            <w:r>
              <w:rPr>
                <w:color w:val="000000"/>
                <w:sz w:val="24"/>
              </w:rPr>
              <w:t>600,002,698.13</w:t>
            </w:r>
          </w:p>
        </w:tc>
        <w:tc>
          <w:tcPr>
            <w:tcW w:w="0" w:type="auto"/>
            <w:vAlign w:val="center"/>
          </w:tcPr>
          <w:p w:rsidR="00226301" w:rsidRDefault="00EA0F91">
            <w:pPr>
              <w:jc w:val="right"/>
            </w:pPr>
            <w:r>
              <w:rPr>
                <w:color w:val="000000"/>
                <w:sz w:val="24"/>
              </w:rPr>
              <w:t>7.94</w:t>
            </w:r>
          </w:p>
        </w:tc>
      </w:tr>
      <w:tr w:rsidR="00226301">
        <w:trPr>
          <w:jc w:val="center"/>
        </w:trPr>
        <w:tc>
          <w:tcPr>
            <w:tcW w:w="0" w:type="auto"/>
            <w:vAlign w:val="center"/>
          </w:tcPr>
          <w:p w:rsidR="00226301" w:rsidRDefault="00EA0F91">
            <w:pPr>
              <w:jc w:val="center"/>
            </w:pPr>
            <w:r>
              <w:rPr>
                <w:color w:val="000000"/>
                <w:sz w:val="24"/>
              </w:rPr>
              <w:t>2</w:t>
            </w:r>
          </w:p>
        </w:tc>
        <w:tc>
          <w:tcPr>
            <w:tcW w:w="0" w:type="auto"/>
            <w:vAlign w:val="center"/>
          </w:tcPr>
          <w:p w:rsidR="00226301" w:rsidRDefault="00EA0F91">
            <w:pPr>
              <w:jc w:val="center"/>
            </w:pPr>
            <w:r>
              <w:rPr>
                <w:color w:val="000000"/>
                <w:sz w:val="24"/>
              </w:rPr>
              <w:t>072000090</w:t>
            </w:r>
          </w:p>
        </w:tc>
        <w:tc>
          <w:tcPr>
            <w:tcW w:w="0" w:type="auto"/>
            <w:vAlign w:val="center"/>
          </w:tcPr>
          <w:p w:rsidR="00226301" w:rsidRDefault="00EA0F91">
            <w:pPr>
              <w:jc w:val="center"/>
            </w:pPr>
            <w:r>
              <w:rPr>
                <w:color w:val="000000"/>
                <w:sz w:val="24"/>
              </w:rPr>
              <w:t>20</w:t>
            </w:r>
            <w:r>
              <w:rPr>
                <w:color w:val="000000"/>
                <w:sz w:val="24"/>
              </w:rPr>
              <w:t>中信证券</w:t>
            </w:r>
            <w:r>
              <w:rPr>
                <w:color w:val="000000"/>
                <w:sz w:val="24"/>
              </w:rPr>
              <w:t>CP007</w:t>
            </w:r>
          </w:p>
        </w:tc>
        <w:tc>
          <w:tcPr>
            <w:tcW w:w="0" w:type="auto"/>
            <w:vAlign w:val="center"/>
          </w:tcPr>
          <w:p w:rsidR="00226301" w:rsidRDefault="00EA0F91">
            <w:pPr>
              <w:jc w:val="right"/>
            </w:pPr>
            <w:r>
              <w:rPr>
                <w:color w:val="000000"/>
                <w:sz w:val="24"/>
              </w:rPr>
              <w:t>4,000,000</w:t>
            </w:r>
          </w:p>
        </w:tc>
        <w:tc>
          <w:tcPr>
            <w:tcW w:w="0" w:type="auto"/>
            <w:vAlign w:val="center"/>
          </w:tcPr>
          <w:p w:rsidR="00226301" w:rsidRDefault="00EA0F91">
            <w:pPr>
              <w:jc w:val="right"/>
            </w:pPr>
            <w:r>
              <w:rPr>
                <w:color w:val="000000"/>
                <w:sz w:val="24"/>
              </w:rPr>
              <w:t>400,014,695.51</w:t>
            </w:r>
          </w:p>
        </w:tc>
        <w:tc>
          <w:tcPr>
            <w:tcW w:w="0" w:type="auto"/>
            <w:vAlign w:val="center"/>
          </w:tcPr>
          <w:p w:rsidR="00226301" w:rsidRDefault="00EA0F91">
            <w:pPr>
              <w:jc w:val="right"/>
            </w:pPr>
            <w:r>
              <w:rPr>
                <w:color w:val="000000"/>
                <w:sz w:val="24"/>
              </w:rPr>
              <w:t>5.29</w:t>
            </w:r>
          </w:p>
        </w:tc>
      </w:tr>
      <w:tr w:rsidR="00226301">
        <w:trPr>
          <w:jc w:val="center"/>
        </w:trPr>
        <w:tc>
          <w:tcPr>
            <w:tcW w:w="0" w:type="auto"/>
            <w:vAlign w:val="center"/>
          </w:tcPr>
          <w:p w:rsidR="00226301" w:rsidRDefault="00EA0F91">
            <w:pPr>
              <w:jc w:val="center"/>
            </w:pPr>
            <w:r>
              <w:rPr>
                <w:color w:val="000000"/>
                <w:sz w:val="24"/>
              </w:rPr>
              <w:t>3</w:t>
            </w:r>
          </w:p>
        </w:tc>
        <w:tc>
          <w:tcPr>
            <w:tcW w:w="0" w:type="auto"/>
            <w:vAlign w:val="center"/>
          </w:tcPr>
          <w:p w:rsidR="00226301" w:rsidRDefault="00EA0F91">
            <w:pPr>
              <w:jc w:val="center"/>
            </w:pPr>
            <w:r>
              <w:rPr>
                <w:color w:val="000000"/>
                <w:sz w:val="24"/>
              </w:rPr>
              <w:t>209919</w:t>
            </w:r>
          </w:p>
        </w:tc>
        <w:tc>
          <w:tcPr>
            <w:tcW w:w="0" w:type="auto"/>
            <w:vAlign w:val="center"/>
          </w:tcPr>
          <w:p w:rsidR="00226301" w:rsidRDefault="00EA0F91">
            <w:pPr>
              <w:jc w:val="center"/>
            </w:pPr>
            <w:r>
              <w:rPr>
                <w:color w:val="000000"/>
                <w:sz w:val="24"/>
              </w:rPr>
              <w:t>20</w:t>
            </w:r>
            <w:r>
              <w:rPr>
                <w:color w:val="000000"/>
                <w:sz w:val="24"/>
              </w:rPr>
              <w:t>贴现国债</w:t>
            </w:r>
            <w:r>
              <w:rPr>
                <w:color w:val="000000"/>
                <w:sz w:val="24"/>
              </w:rPr>
              <w:t>19</w:t>
            </w:r>
          </w:p>
        </w:tc>
        <w:tc>
          <w:tcPr>
            <w:tcW w:w="0" w:type="auto"/>
            <w:vAlign w:val="center"/>
          </w:tcPr>
          <w:p w:rsidR="00226301" w:rsidRDefault="00EA0F91">
            <w:pPr>
              <w:jc w:val="right"/>
            </w:pPr>
            <w:r>
              <w:rPr>
                <w:color w:val="000000"/>
                <w:sz w:val="24"/>
              </w:rPr>
              <w:t>2,800,000</w:t>
            </w:r>
          </w:p>
        </w:tc>
        <w:tc>
          <w:tcPr>
            <w:tcW w:w="0" w:type="auto"/>
            <w:vAlign w:val="center"/>
          </w:tcPr>
          <w:p w:rsidR="00226301" w:rsidRDefault="00EA0F91">
            <w:pPr>
              <w:jc w:val="right"/>
            </w:pPr>
            <w:r>
              <w:rPr>
                <w:color w:val="000000"/>
                <w:sz w:val="24"/>
              </w:rPr>
              <w:t>279,747,329.51</w:t>
            </w:r>
          </w:p>
        </w:tc>
        <w:tc>
          <w:tcPr>
            <w:tcW w:w="0" w:type="auto"/>
            <w:vAlign w:val="center"/>
          </w:tcPr>
          <w:p w:rsidR="00226301" w:rsidRDefault="00EA0F91">
            <w:pPr>
              <w:jc w:val="right"/>
            </w:pPr>
            <w:r>
              <w:rPr>
                <w:color w:val="000000"/>
                <w:sz w:val="24"/>
              </w:rPr>
              <w:t>3.70</w:t>
            </w:r>
          </w:p>
        </w:tc>
      </w:tr>
      <w:tr w:rsidR="00226301">
        <w:trPr>
          <w:jc w:val="center"/>
        </w:trPr>
        <w:tc>
          <w:tcPr>
            <w:tcW w:w="0" w:type="auto"/>
            <w:vAlign w:val="center"/>
          </w:tcPr>
          <w:p w:rsidR="00226301" w:rsidRDefault="00EA0F91">
            <w:pPr>
              <w:jc w:val="center"/>
            </w:pPr>
            <w:r>
              <w:rPr>
                <w:color w:val="000000"/>
                <w:sz w:val="24"/>
              </w:rPr>
              <w:lastRenderedPageBreak/>
              <w:t>4</w:t>
            </w:r>
          </w:p>
        </w:tc>
        <w:tc>
          <w:tcPr>
            <w:tcW w:w="0" w:type="auto"/>
            <w:vAlign w:val="center"/>
          </w:tcPr>
          <w:p w:rsidR="00226301" w:rsidRDefault="00EA0F91">
            <w:pPr>
              <w:jc w:val="center"/>
            </w:pPr>
            <w:r>
              <w:rPr>
                <w:color w:val="000000"/>
                <w:sz w:val="24"/>
              </w:rPr>
              <w:t>130235</w:t>
            </w:r>
          </w:p>
        </w:tc>
        <w:tc>
          <w:tcPr>
            <w:tcW w:w="0" w:type="auto"/>
            <w:vAlign w:val="center"/>
          </w:tcPr>
          <w:p w:rsidR="00226301" w:rsidRDefault="00EA0F91">
            <w:pPr>
              <w:jc w:val="center"/>
            </w:pPr>
            <w:r>
              <w:rPr>
                <w:color w:val="000000"/>
                <w:sz w:val="24"/>
              </w:rPr>
              <w:t>13</w:t>
            </w:r>
            <w:r>
              <w:rPr>
                <w:color w:val="000000"/>
                <w:sz w:val="24"/>
              </w:rPr>
              <w:t>国开</w:t>
            </w:r>
            <w:r>
              <w:rPr>
                <w:color w:val="000000"/>
                <w:sz w:val="24"/>
              </w:rPr>
              <w:t>35</w:t>
            </w:r>
          </w:p>
        </w:tc>
        <w:tc>
          <w:tcPr>
            <w:tcW w:w="0" w:type="auto"/>
            <w:vAlign w:val="center"/>
          </w:tcPr>
          <w:p w:rsidR="00226301" w:rsidRDefault="00EA0F91">
            <w:pPr>
              <w:jc w:val="right"/>
            </w:pPr>
            <w:r>
              <w:rPr>
                <w:color w:val="000000"/>
                <w:sz w:val="24"/>
              </w:rPr>
              <w:t>2,200,000</w:t>
            </w:r>
          </w:p>
        </w:tc>
        <w:tc>
          <w:tcPr>
            <w:tcW w:w="0" w:type="auto"/>
            <w:vAlign w:val="center"/>
          </w:tcPr>
          <w:p w:rsidR="00226301" w:rsidRDefault="00EA0F91">
            <w:pPr>
              <w:jc w:val="right"/>
            </w:pPr>
            <w:r>
              <w:rPr>
                <w:color w:val="000000"/>
                <w:sz w:val="24"/>
              </w:rPr>
              <w:t>219,987,915.70</w:t>
            </w:r>
          </w:p>
        </w:tc>
        <w:tc>
          <w:tcPr>
            <w:tcW w:w="0" w:type="auto"/>
            <w:vAlign w:val="center"/>
          </w:tcPr>
          <w:p w:rsidR="00226301" w:rsidRDefault="00EA0F91">
            <w:pPr>
              <w:jc w:val="right"/>
            </w:pPr>
            <w:r>
              <w:rPr>
                <w:color w:val="000000"/>
                <w:sz w:val="24"/>
              </w:rPr>
              <w:t>2.91</w:t>
            </w:r>
          </w:p>
        </w:tc>
      </w:tr>
      <w:tr w:rsidR="00226301">
        <w:trPr>
          <w:jc w:val="center"/>
        </w:trPr>
        <w:tc>
          <w:tcPr>
            <w:tcW w:w="0" w:type="auto"/>
            <w:vAlign w:val="center"/>
          </w:tcPr>
          <w:p w:rsidR="00226301" w:rsidRDefault="00EA0F91">
            <w:pPr>
              <w:jc w:val="center"/>
            </w:pPr>
            <w:r>
              <w:rPr>
                <w:color w:val="000000"/>
                <w:sz w:val="24"/>
              </w:rPr>
              <w:t>5</w:t>
            </w:r>
          </w:p>
        </w:tc>
        <w:tc>
          <w:tcPr>
            <w:tcW w:w="0" w:type="auto"/>
            <w:vAlign w:val="center"/>
          </w:tcPr>
          <w:p w:rsidR="00226301" w:rsidRDefault="00EA0F91">
            <w:pPr>
              <w:jc w:val="center"/>
            </w:pPr>
            <w:r>
              <w:rPr>
                <w:color w:val="000000"/>
                <w:sz w:val="24"/>
              </w:rPr>
              <w:t>111918379</w:t>
            </w:r>
          </w:p>
        </w:tc>
        <w:tc>
          <w:tcPr>
            <w:tcW w:w="0" w:type="auto"/>
            <w:vAlign w:val="center"/>
          </w:tcPr>
          <w:p w:rsidR="00226301" w:rsidRDefault="00EA0F91">
            <w:pPr>
              <w:jc w:val="center"/>
            </w:pPr>
            <w:r>
              <w:rPr>
                <w:color w:val="000000"/>
                <w:sz w:val="24"/>
              </w:rPr>
              <w:t>19</w:t>
            </w:r>
            <w:r>
              <w:rPr>
                <w:color w:val="000000"/>
                <w:sz w:val="24"/>
              </w:rPr>
              <w:t>华夏银行</w:t>
            </w:r>
            <w:r>
              <w:rPr>
                <w:color w:val="000000"/>
                <w:sz w:val="24"/>
              </w:rPr>
              <w:t>CD379</w:t>
            </w:r>
          </w:p>
        </w:tc>
        <w:tc>
          <w:tcPr>
            <w:tcW w:w="0" w:type="auto"/>
            <w:vAlign w:val="center"/>
          </w:tcPr>
          <w:p w:rsidR="00226301" w:rsidRDefault="00EA0F91">
            <w:pPr>
              <w:jc w:val="right"/>
            </w:pPr>
            <w:r>
              <w:rPr>
                <w:color w:val="000000"/>
                <w:sz w:val="24"/>
              </w:rPr>
              <w:t>2,100,000</w:t>
            </w:r>
          </w:p>
        </w:tc>
        <w:tc>
          <w:tcPr>
            <w:tcW w:w="0" w:type="auto"/>
            <w:vAlign w:val="center"/>
          </w:tcPr>
          <w:p w:rsidR="00226301" w:rsidRDefault="00EA0F91">
            <w:pPr>
              <w:jc w:val="right"/>
            </w:pPr>
            <w:r>
              <w:rPr>
                <w:color w:val="000000"/>
                <w:sz w:val="24"/>
              </w:rPr>
              <w:t>208,527,475.94</w:t>
            </w:r>
          </w:p>
        </w:tc>
        <w:tc>
          <w:tcPr>
            <w:tcW w:w="0" w:type="auto"/>
            <w:vAlign w:val="center"/>
          </w:tcPr>
          <w:p w:rsidR="00226301" w:rsidRDefault="00EA0F91">
            <w:pPr>
              <w:jc w:val="right"/>
            </w:pPr>
            <w:r>
              <w:rPr>
                <w:color w:val="000000"/>
                <w:sz w:val="24"/>
              </w:rPr>
              <w:t>2.76</w:t>
            </w:r>
          </w:p>
        </w:tc>
      </w:tr>
      <w:tr w:rsidR="00226301">
        <w:trPr>
          <w:jc w:val="center"/>
        </w:trPr>
        <w:tc>
          <w:tcPr>
            <w:tcW w:w="0" w:type="auto"/>
            <w:vAlign w:val="center"/>
          </w:tcPr>
          <w:p w:rsidR="00226301" w:rsidRDefault="00EA0F91">
            <w:pPr>
              <w:jc w:val="center"/>
            </w:pPr>
            <w:r>
              <w:rPr>
                <w:color w:val="000000"/>
                <w:sz w:val="24"/>
              </w:rPr>
              <w:t>6</w:t>
            </w:r>
          </w:p>
        </w:tc>
        <w:tc>
          <w:tcPr>
            <w:tcW w:w="0" w:type="auto"/>
            <w:vAlign w:val="center"/>
          </w:tcPr>
          <w:p w:rsidR="00226301" w:rsidRDefault="00EA0F91">
            <w:pPr>
              <w:jc w:val="center"/>
            </w:pPr>
            <w:r>
              <w:rPr>
                <w:color w:val="000000"/>
                <w:sz w:val="24"/>
              </w:rPr>
              <w:t>111988795</w:t>
            </w:r>
          </w:p>
        </w:tc>
        <w:tc>
          <w:tcPr>
            <w:tcW w:w="0" w:type="auto"/>
            <w:vAlign w:val="center"/>
          </w:tcPr>
          <w:p w:rsidR="00226301" w:rsidRDefault="00EA0F91">
            <w:pPr>
              <w:jc w:val="center"/>
            </w:pPr>
            <w:r>
              <w:rPr>
                <w:color w:val="000000"/>
                <w:sz w:val="24"/>
              </w:rPr>
              <w:t>19</w:t>
            </w:r>
            <w:r>
              <w:rPr>
                <w:color w:val="000000"/>
                <w:sz w:val="24"/>
              </w:rPr>
              <w:t>杭州银行</w:t>
            </w:r>
            <w:r>
              <w:rPr>
                <w:color w:val="000000"/>
                <w:sz w:val="24"/>
              </w:rPr>
              <w:t>CD094</w:t>
            </w:r>
          </w:p>
        </w:tc>
        <w:tc>
          <w:tcPr>
            <w:tcW w:w="0" w:type="auto"/>
            <w:vAlign w:val="center"/>
          </w:tcPr>
          <w:p w:rsidR="00226301" w:rsidRDefault="00EA0F91">
            <w:pPr>
              <w:jc w:val="right"/>
            </w:pPr>
            <w:r>
              <w:rPr>
                <w:color w:val="000000"/>
                <w:sz w:val="24"/>
              </w:rPr>
              <w:t>2,100,000</w:t>
            </w:r>
          </w:p>
        </w:tc>
        <w:tc>
          <w:tcPr>
            <w:tcW w:w="0" w:type="auto"/>
            <w:vAlign w:val="center"/>
          </w:tcPr>
          <w:p w:rsidR="00226301" w:rsidRDefault="00EA0F91">
            <w:pPr>
              <w:jc w:val="right"/>
            </w:pPr>
            <w:r>
              <w:rPr>
                <w:color w:val="000000"/>
                <w:sz w:val="24"/>
              </w:rPr>
              <w:t>208,498,943.95</w:t>
            </w:r>
          </w:p>
        </w:tc>
        <w:tc>
          <w:tcPr>
            <w:tcW w:w="0" w:type="auto"/>
            <w:vAlign w:val="center"/>
          </w:tcPr>
          <w:p w:rsidR="00226301" w:rsidRDefault="00EA0F91">
            <w:pPr>
              <w:jc w:val="right"/>
            </w:pPr>
            <w:r>
              <w:rPr>
                <w:color w:val="000000"/>
                <w:sz w:val="24"/>
              </w:rPr>
              <w:t>2.76</w:t>
            </w:r>
          </w:p>
        </w:tc>
      </w:tr>
      <w:tr w:rsidR="00226301">
        <w:trPr>
          <w:jc w:val="center"/>
        </w:trPr>
        <w:tc>
          <w:tcPr>
            <w:tcW w:w="0" w:type="auto"/>
            <w:vAlign w:val="center"/>
          </w:tcPr>
          <w:p w:rsidR="00226301" w:rsidRDefault="00EA0F91">
            <w:pPr>
              <w:jc w:val="center"/>
            </w:pPr>
            <w:r>
              <w:rPr>
                <w:color w:val="000000"/>
                <w:sz w:val="24"/>
              </w:rPr>
              <w:t>7</w:t>
            </w:r>
          </w:p>
        </w:tc>
        <w:tc>
          <w:tcPr>
            <w:tcW w:w="0" w:type="auto"/>
            <w:vAlign w:val="center"/>
          </w:tcPr>
          <w:p w:rsidR="00226301" w:rsidRDefault="00EA0F91">
            <w:pPr>
              <w:jc w:val="center"/>
            </w:pPr>
            <w:r>
              <w:rPr>
                <w:color w:val="000000"/>
                <w:sz w:val="24"/>
              </w:rPr>
              <w:t>1080105</w:t>
            </w:r>
          </w:p>
        </w:tc>
        <w:tc>
          <w:tcPr>
            <w:tcW w:w="0" w:type="auto"/>
            <w:vAlign w:val="center"/>
          </w:tcPr>
          <w:p w:rsidR="00226301" w:rsidRDefault="00EA0F91">
            <w:pPr>
              <w:jc w:val="center"/>
            </w:pPr>
            <w:r>
              <w:rPr>
                <w:color w:val="000000"/>
                <w:sz w:val="24"/>
              </w:rPr>
              <w:t>10</w:t>
            </w:r>
            <w:r>
              <w:rPr>
                <w:color w:val="000000"/>
                <w:sz w:val="24"/>
              </w:rPr>
              <w:t>铁道</w:t>
            </w:r>
            <w:r>
              <w:rPr>
                <w:color w:val="000000"/>
                <w:sz w:val="24"/>
              </w:rPr>
              <w:t>01</w:t>
            </w:r>
          </w:p>
        </w:tc>
        <w:tc>
          <w:tcPr>
            <w:tcW w:w="0" w:type="auto"/>
            <w:vAlign w:val="center"/>
          </w:tcPr>
          <w:p w:rsidR="00226301" w:rsidRDefault="00EA0F91">
            <w:pPr>
              <w:jc w:val="right"/>
            </w:pPr>
            <w:r>
              <w:rPr>
                <w:color w:val="000000"/>
                <w:sz w:val="24"/>
              </w:rPr>
              <w:t>2,000,000</w:t>
            </w:r>
          </w:p>
        </w:tc>
        <w:tc>
          <w:tcPr>
            <w:tcW w:w="0" w:type="auto"/>
            <w:vAlign w:val="center"/>
          </w:tcPr>
          <w:p w:rsidR="00226301" w:rsidRDefault="00EA0F91">
            <w:pPr>
              <w:jc w:val="right"/>
            </w:pPr>
            <w:r>
              <w:rPr>
                <w:color w:val="000000"/>
                <w:sz w:val="24"/>
              </w:rPr>
              <w:t>200,878,824.72</w:t>
            </w:r>
          </w:p>
        </w:tc>
        <w:tc>
          <w:tcPr>
            <w:tcW w:w="0" w:type="auto"/>
            <w:vAlign w:val="center"/>
          </w:tcPr>
          <w:p w:rsidR="00226301" w:rsidRDefault="00EA0F91">
            <w:pPr>
              <w:jc w:val="right"/>
            </w:pPr>
            <w:r>
              <w:rPr>
                <w:color w:val="000000"/>
                <w:sz w:val="24"/>
              </w:rPr>
              <w:t>2.66</w:t>
            </w:r>
          </w:p>
        </w:tc>
      </w:tr>
      <w:tr w:rsidR="00226301">
        <w:trPr>
          <w:jc w:val="center"/>
        </w:trPr>
        <w:tc>
          <w:tcPr>
            <w:tcW w:w="0" w:type="auto"/>
            <w:vAlign w:val="center"/>
          </w:tcPr>
          <w:p w:rsidR="00226301" w:rsidRDefault="00EA0F91">
            <w:pPr>
              <w:jc w:val="center"/>
            </w:pPr>
            <w:r>
              <w:rPr>
                <w:color w:val="000000"/>
                <w:sz w:val="24"/>
              </w:rPr>
              <w:t>8</w:t>
            </w:r>
          </w:p>
        </w:tc>
        <w:tc>
          <w:tcPr>
            <w:tcW w:w="0" w:type="auto"/>
            <w:vAlign w:val="center"/>
          </w:tcPr>
          <w:p w:rsidR="00226301" w:rsidRDefault="00EA0F91">
            <w:pPr>
              <w:jc w:val="center"/>
            </w:pPr>
            <w:r>
              <w:rPr>
                <w:color w:val="000000"/>
                <w:sz w:val="24"/>
              </w:rPr>
              <w:t>012000274</w:t>
            </w:r>
          </w:p>
        </w:tc>
        <w:tc>
          <w:tcPr>
            <w:tcW w:w="0" w:type="auto"/>
            <w:vAlign w:val="center"/>
          </w:tcPr>
          <w:p w:rsidR="00226301" w:rsidRDefault="00EA0F91">
            <w:pPr>
              <w:jc w:val="center"/>
            </w:pPr>
            <w:r>
              <w:rPr>
                <w:color w:val="000000"/>
                <w:sz w:val="24"/>
              </w:rPr>
              <w:t>20</w:t>
            </w:r>
            <w:r>
              <w:rPr>
                <w:color w:val="000000"/>
                <w:sz w:val="24"/>
              </w:rPr>
              <w:t>电网</w:t>
            </w:r>
            <w:r>
              <w:rPr>
                <w:color w:val="000000"/>
                <w:sz w:val="24"/>
              </w:rPr>
              <w:t>SCP008</w:t>
            </w:r>
          </w:p>
        </w:tc>
        <w:tc>
          <w:tcPr>
            <w:tcW w:w="0" w:type="auto"/>
            <w:vAlign w:val="center"/>
          </w:tcPr>
          <w:p w:rsidR="00226301" w:rsidRDefault="00EA0F91">
            <w:pPr>
              <w:jc w:val="right"/>
            </w:pPr>
            <w:r>
              <w:rPr>
                <w:color w:val="000000"/>
                <w:sz w:val="24"/>
              </w:rPr>
              <w:t>2,000,000</w:t>
            </w:r>
          </w:p>
        </w:tc>
        <w:tc>
          <w:tcPr>
            <w:tcW w:w="0" w:type="auto"/>
            <w:vAlign w:val="center"/>
          </w:tcPr>
          <w:p w:rsidR="00226301" w:rsidRDefault="00EA0F91">
            <w:pPr>
              <w:jc w:val="right"/>
            </w:pPr>
            <w:r>
              <w:rPr>
                <w:color w:val="000000"/>
                <w:sz w:val="24"/>
              </w:rPr>
              <w:t>200,133,404.45</w:t>
            </w:r>
          </w:p>
        </w:tc>
        <w:tc>
          <w:tcPr>
            <w:tcW w:w="0" w:type="auto"/>
            <w:vAlign w:val="center"/>
          </w:tcPr>
          <w:p w:rsidR="00226301" w:rsidRDefault="00EA0F91">
            <w:pPr>
              <w:jc w:val="right"/>
            </w:pPr>
            <w:r>
              <w:rPr>
                <w:color w:val="000000"/>
                <w:sz w:val="24"/>
              </w:rPr>
              <w:t>2.65</w:t>
            </w:r>
          </w:p>
        </w:tc>
      </w:tr>
      <w:tr w:rsidR="00226301">
        <w:trPr>
          <w:jc w:val="center"/>
        </w:trPr>
        <w:tc>
          <w:tcPr>
            <w:tcW w:w="0" w:type="auto"/>
            <w:vAlign w:val="center"/>
          </w:tcPr>
          <w:p w:rsidR="00226301" w:rsidRDefault="00EA0F91">
            <w:pPr>
              <w:jc w:val="center"/>
            </w:pPr>
            <w:r>
              <w:rPr>
                <w:color w:val="000000"/>
                <w:sz w:val="24"/>
              </w:rPr>
              <w:t>9</w:t>
            </w:r>
          </w:p>
        </w:tc>
        <w:tc>
          <w:tcPr>
            <w:tcW w:w="0" w:type="auto"/>
            <w:vAlign w:val="center"/>
          </w:tcPr>
          <w:p w:rsidR="00226301" w:rsidRDefault="00EA0F91">
            <w:pPr>
              <w:jc w:val="center"/>
            </w:pPr>
            <w:r>
              <w:rPr>
                <w:color w:val="000000"/>
                <w:sz w:val="24"/>
              </w:rPr>
              <w:t>012000209</w:t>
            </w:r>
          </w:p>
        </w:tc>
        <w:tc>
          <w:tcPr>
            <w:tcW w:w="0" w:type="auto"/>
            <w:vAlign w:val="center"/>
          </w:tcPr>
          <w:p w:rsidR="00226301" w:rsidRDefault="00EA0F91">
            <w:pPr>
              <w:jc w:val="center"/>
            </w:pPr>
            <w:r>
              <w:rPr>
                <w:color w:val="000000"/>
                <w:sz w:val="24"/>
              </w:rPr>
              <w:t>20</w:t>
            </w:r>
            <w:r>
              <w:rPr>
                <w:color w:val="000000"/>
                <w:sz w:val="24"/>
              </w:rPr>
              <w:t>电网</w:t>
            </w:r>
            <w:r>
              <w:rPr>
                <w:color w:val="000000"/>
                <w:sz w:val="24"/>
              </w:rPr>
              <w:t>SCP005</w:t>
            </w:r>
          </w:p>
        </w:tc>
        <w:tc>
          <w:tcPr>
            <w:tcW w:w="0" w:type="auto"/>
            <w:vAlign w:val="center"/>
          </w:tcPr>
          <w:p w:rsidR="00226301" w:rsidRDefault="00EA0F91">
            <w:pPr>
              <w:jc w:val="right"/>
            </w:pPr>
            <w:r>
              <w:rPr>
                <w:color w:val="000000"/>
                <w:sz w:val="24"/>
              </w:rPr>
              <w:t>2,000,000</w:t>
            </w:r>
          </w:p>
        </w:tc>
        <w:tc>
          <w:tcPr>
            <w:tcW w:w="0" w:type="auto"/>
            <w:vAlign w:val="center"/>
          </w:tcPr>
          <w:p w:rsidR="00226301" w:rsidRDefault="00EA0F91">
            <w:pPr>
              <w:jc w:val="right"/>
            </w:pPr>
            <w:r>
              <w:rPr>
                <w:color w:val="000000"/>
                <w:sz w:val="24"/>
              </w:rPr>
              <w:t>200,126,681.48</w:t>
            </w:r>
          </w:p>
        </w:tc>
        <w:tc>
          <w:tcPr>
            <w:tcW w:w="0" w:type="auto"/>
            <w:vAlign w:val="center"/>
          </w:tcPr>
          <w:p w:rsidR="00226301" w:rsidRDefault="00EA0F91">
            <w:pPr>
              <w:jc w:val="right"/>
            </w:pPr>
            <w:r>
              <w:rPr>
                <w:color w:val="000000"/>
                <w:sz w:val="24"/>
              </w:rPr>
              <w:t>2.65</w:t>
            </w:r>
          </w:p>
        </w:tc>
      </w:tr>
      <w:tr w:rsidR="00226301">
        <w:trPr>
          <w:jc w:val="center"/>
        </w:trPr>
        <w:tc>
          <w:tcPr>
            <w:tcW w:w="0" w:type="auto"/>
            <w:vAlign w:val="center"/>
          </w:tcPr>
          <w:p w:rsidR="00226301" w:rsidRDefault="00EA0F91">
            <w:pPr>
              <w:jc w:val="center"/>
            </w:pPr>
            <w:r>
              <w:rPr>
                <w:color w:val="000000"/>
                <w:sz w:val="24"/>
              </w:rPr>
              <w:t>10</w:t>
            </w:r>
          </w:p>
        </w:tc>
        <w:tc>
          <w:tcPr>
            <w:tcW w:w="0" w:type="auto"/>
            <w:vAlign w:val="center"/>
          </w:tcPr>
          <w:p w:rsidR="00226301" w:rsidRDefault="00EA0F91">
            <w:pPr>
              <w:jc w:val="center"/>
            </w:pPr>
            <w:r>
              <w:rPr>
                <w:color w:val="000000"/>
                <w:sz w:val="24"/>
              </w:rPr>
              <w:t>072000104</w:t>
            </w:r>
          </w:p>
        </w:tc>
        <w:tc>
          <w:tcPr>
            <w:tcW w:w="0" w:type="auto"/>
            <w:vAlign w:val="center"/>
          </w:tcPr>
          <w:p w:rsidR="00226301" w:rsidRDefault="00EA0F91">
            <w:pPr>
              <w:jc w:val="center"/>
            </w:pPr>
            <w:r>
              <w:rPr>
                <w:color w:val="000000"/>
                <w:sz w:val="24"/>
              </w:rPr>
              <w:t>20</w:t>
            </w:r>
            <w:r>
              <w:rPr>
                <w:color w:val="000000"/>
                <w:sz w:val="24"/>
              </w:rPr>
              <w:t>银河证券</w:t>
            </w:r>
            <w:r>
              <w:rPr>
                <w:color w:val="000000"/>
                <w:sz w:val="24"/>
              </w:rPr>
              <w:t>CP004</w:t>
            </w:r>
          </w:p>
        </w:tc>
        <w:tc>
          <w:tcPr>
            <w:tcW w:w="0" w:type="auto"/>
            <w:vAlign w:val="center"/>
          </w:tcPr>
          <w:p w:rsidR="00226301" w:rsidRDefault="00EA0F91">
            <w:pPr>
              <w:jc w:val="right"/>
            </w:pPr>
            <w:r>
              <w:rPr>
                <w:color w:val="000000"/>
                <w:sz w:val="24"/>
              </w:rPr>
              <w:t>2,000,000</w:t>
            </w:r>
          </w:p>
        </w:tc>
        <w:tc>
          <w:tcPr>
            <w:tcW w:w="0" w:type="auto"/>
            <w:vAlign w:val="center"/>
          </w:tcPr>
          <w:p w:rsidR="00226301" w:rsidRDefault="00EA0F91">
            <w:pPr>
              <w:jc w:val="right"/>
            </w:pPr>
            <w:r>
              <w:rPr>
                <w:color w:val="000000"/>
                <w:sz w:val="24"/>
              </w:rPr>
              <w:t>199,999,659.52</w:t>
            </w:r>
          </w:p>
        </w:tc>
        <w:tc>
          <w:tcPr>
            <w:tcW w:w="0" w:type="auto"/>
            <w:vAlign w:val="center"/>
          </w:tcPr>
          <w:p w:rsidR="00226301" w:rsidRDefault="00EA0F91">
            <w:pPr>
              <w:jc w:val="right"/>
            </w:pPr>
            <w:r>
              <w:rPr>
                <w:color w:val="000000"/>
                <w:sz w:val="24"/>
              </w:rPr>
              <w:t>2.65</w:t>
            </w:r>
          </w:p>
        </w:tc>
      </w:tr>
    </w:tbl>
    <w:p w:rsidR="00902E3F" w:rsidRPr="000E4C40" w:rsidRDefault="00902E3F" w:rsidP="00281564">
      <w:pPr>
        <w:autoSpaceDE w:val="0"/>
        <w:autoSpaceDN w:val="0"/>
        <w:adjustRightInd w:val="0"/>
        <w:spacing w:before="29" w:line="288" w:lineRule="auto"/>
        <w:jc w:val="left"/>
        <w:rPr>
          <w:color w:val="000000"/>
          <w:kern w:val="0"/>
          <w:sz w:val="24"/>
        </w:rPr>
      </w:pPr>
    </w:p>
    <w:p w:rsidR="00902E3F" w:rsidRPr="000E4C40" w:rsidRDefault="002304D5" w:rsidP="00281564">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w="8868" w:type="dxa"/>
        <w:jc w:val="center"/>
        <w:tblLayout w:type="fixed"/>
        <w:tblLook w:val="0000" w:firstRow="0" w:lastRow="0" w:firstColumn="0" w:lastColumn="0" w:noHBand="0" w:noVBand="0"/>
      </w:tblPr>
      <w:tblGrid>
        <w:gridCol w:w="5604"/>
        <w:gridCol w:w="3264"/>
      </w:tblGrid>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w:t>
            </w:r>
            <w:r w:rsidR="006D4647" w:rsidRPr="000E4C40">
              <w:rPr>
                <w:rFonts w:hAnsi="宋体"/>
                <w:color w:val="000000"/>
                <w:sz w:val="24"/>
              </w:rPr>
              <w:t>次</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报告期内偏离度的最高值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0.2036%</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0.0227%</w:t>
            </w:r>
          </w:p>
        </w:tc>
      </w:tr>
      <w:tr w:rsidR="00E76F1F" w:rsidRPr="000E4C40" w:rsidTr="00C1039C">
        <w:trPr>
          <w:jc w:val="center"/>
        </w:trPr>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0E4C40" w:rsidRDefault="00E76F1F" w:rsidP="00281564">
            <w:pPr>
              <w:spacing w:before="29" w:line="288" w:lineRule="auto"/>
              <w:jc w:val="right"/>
              <w:rPr>
                <w:sz w:val="24"/>
              </w:rPr>
            </w:pPr>
            <w:r w:rsidRPr="000E4C40">
              <w:rPr>
                <w:color w:val="000000"/>
                <w:sz w:val="24"/>
              </w:rPr>
              <w:t>0.1032%</w:t>
            </w:r>
          </w:p>
        </w:tc>
      </w:tr>
    </w:tbl>
    <w:p w:rsidR="00BE5584" w:rsidRDefault="00BE5584" w:rsidP="00281564">
      <w:pPr>
        <w:autoSpaceDE w:val="0"/>
        <w:autoSpaceDN w:val="0"/>
        <w:adjustRightInd w:val="0"/>
        <w:spacing w:before="29" w:line="288" w:lineRule="auto"/>
        <w:jc w:val="left"/>
        <w:rPr>
          <w:color w:val="000000"/>
          <w:kern w:val="0"/>
          <w:sz w:val="24"/>
        </w:rPr>
      </w:pPr>
    </w:p>
    <w:p w:rsidR="002304D5" w:rsidRPr="002304D5" w:rsidRDefault="002304D5" w:rsidP="002304D5">
      <w:pPr>
        <w:spacing w:line="360" w:lineRule="auto"/>
        <w:rPr>
          <w:rFonts w:ascii="宋体" w:hAnsi="宋体" w:cs="Arial"/>
          <w:b/>
          <w:bCs/>
          <w:color w:val="000000"/>
          <w:kern w:val="0"/>
          <w:sz w:val="24"/>
        </w:rPr>
      </w:pPr>
      <w:r w:rsidRPr="002304D5">
        <w:rPr>
          <w:rFonts w:ascii="宋体" w:hAnsi="宋体" w:hint="eastAsia"/>
          <w:b/>
          <w:bCs/>
          <w:color w:val="000000"/>
          <w:sz w:val="24"/>
        </w:rPr>
        <w:t>报告期内负偏离度的绝对值达到0.25%情况说明</w:t>
      </w:r>
    </w:p>
    <w:p w:rsidR="002304D5" w:rsidRPr="002304D5" w:rsidRDefault="002304D5" w:rsidP="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w:t>
      </w:r>
      <w:r w:rsidRPr="002304D5">
        <w:rPr>
          <w:color w:val="000000"/>
          <w:sz w:val="24"/>
        </w:rPr>
        <w:t>0.25%</w:t>
      </w:r>
      <w:r w:rsidRPr="002304D5">
        <w:rPr>
          <w:color w:val="000000"/>
          <w:sz w:val="24"/>
        </w:rPr>
        <w:t>的情况。</w:t>
      </w:r>
    </w:p>
    <w:p w:rsidR="002304D5" w:rsidRPr="002304D5" w:rsidRDefault="002304D5" w:rsidP="002304D5">
      <w:pPr>
        <w:autoSpaceDE w:val="0"/>
        <w:autoSpaceDN w:val="0"/>
        <w:adjustRightInd w:val="0"/>
        <w:spacing w:line="360" w:lineRule="auto"/>
        <w:jc w:val="left"/>
        <w:rPr>
          <w:rFonts w:ascii="宋体" w:hAnsi="宋体"/>
          <w:color w:val="000000"/>
          <w:sz w:val="24"/>
        </w:rPr>
      </w:pPr>
    </w:p>
    <w:p w:rsidR="002304D5" w:rsidRPr="002304D5" w:rsidRDefault="002304D5" w:rsidP="002304D5">
      <w:pPr>
        <w:spacing w:line="360" w:lineRule="auto"/>
        <w:rPr>
          <w:rFonts w:ascii="宋体" w:hAnsi="宋体" w:cs="Arial"/>
          <w:b/>
          <w:bCs/>
          <w:color w:val="000000"/>
          <w:kern w:val="0"/>
          <w:sz w:val="24"/>
        </w:rPr>
      </w:pPr>
      <w:r w:rsidRPr="002304D5">
        <w:rPr>
          <w:rFonts w:ascii="宋体" w:hAnsi="宋体" w:hint="eastAsia"/>
          <w:b/>
          <w:bCs/>
          <w:color w:val="000000"/>
          <w:sz w:val="24"/>
        </w:rPr>
        <w:t>报告期内正偏离度的绝对值达到0.5%情况说明</w:t>
      </w:r>
    </w:p>
    <w:p w:rsidR="002304D5" w:rsidRPr="002304D5" w:rsidRDefault="002304D5" w:rsidP="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w:t>
      </w:r>
      <w:r w:rsidRPr="002304D5">
        <w:rPr>
          <w:color w:val="000000"/>
          <w:sz w:val="24"/>
        </w:rPr>
        <w:t>0.5%</w:t>
      </w:r>
      <w:r w:rsidRPr="002304D5">
        <w:rPr>
          <w:color w:val="000000"/>
          <w:sz w:val="24"/>
        </w:rPr>
        <w:t>的情况。</w:t>
      </w:r>
    </w:p>
    <w:p w:rsidR="002304D5" w:rsidRPr="002304D5" w:rsidRDefault="002304D5" w:rsidP="00281564">
      <w:pPr>
        <w:autoSpaceDE w:val="0"/>
        <w:autoSpaceDN w:val="0"/>
        <w:adjustRightInd w:val="0"/>
        <w:spacing w:before="29" w:line="288" w:lineRule="auto"/>
        <w:jc w:val="left"/>
        <w:rPr>
          <w:color w:val="000000"/>
          <w:kern w:val="0"/>
          <w:sz w:val="24"/>
        </w:rPr>
      </w:pPr>
    </w:p>
    <w:p w:rsidR="00902E3F" w:rsidRDefault="002304D5" w:rsidP="00281564">
      <w:pPr>
        <w:spacing w:before="29" w:line="288" w:lineRule="auto"/>
        <w:rPr>
          <w:rFonts w:hAnsi="宋体"/>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R="00902E3F" w:rsidRPr="000E4C40" w:rsidRDefault="00835BDD" w:rsidP="00281564">
      <w:pPr>
        <w:autoSpaceDE w:val="0"/>
        <w:autoSpaceDN w:val="0"/>
        <w:adjustRightInd w:val="0"/>
        <w:spacing w:before="29" w:line="288" w:lineRule="auto"/>
        <w:jc w:val="left"/>
        <w:rPr>
          <w:color w:val="000000"/>
          <w:sz w:val="24"/>
        </w:rPr>
      </w:pPr>
      <w:r w:rsidRPr="000E4C40">
        <w:rPr>
          <w:color w:val="000000"/>
          <w:sz w:val="24"/>
        </w:rPr>
        <w:t>本基金本报告期末未持有资产支持证券。</w:t>
      </w:r>
    </w:p>
    <w:p w:rsidR="00902E3F" w:rsidRPr="000E4C40" w:rsidRDefault="002304D5" w:rsidP="00281564">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R="009D74FC" w:rsidRPr="00346DC3" w:rsidRDefault="002304D5" w:rsidP="00281564">
      <w:pPr>
        <w:spacing w:before="29" w:line="288" w:lineRule="auto"/>
        <w:rPr>
          <w:b/>
          <w:sz w:val="24"/>
        </w:rPr>
      </w:pPr>
      <w:r w:rsidRPr="00346DC3">
        <w:rPr>
          <w:b/>
          <w:sz w:val="24"/>
        </w:rPr>
        <w:t>5.9</w:t>
      </w:r>
      <w:r w:rsidR="00902E3F" w:rsidRPr="00346DC3">
        <w:rPr>
          <w:b/>
          <w:sz w:val="24"/>
        </w:rPr>
        <w:t>.1</w:t>
      </w:r>
      <w:r w:rsidR="009D74FC" w:rsidRPr="00346DC3">
        <w:rPr>
          <w:rFonts w:hAnsi="宋体"/>
          <w:b/>
          <w:sz w:val="24"/>
        </w:rPr>
        <w:t>基金计价方法说明</w:t>
      </w:r>
    </w:p>
    <w:p w:rsidR="00D40363" w:rsidRPr="000E4C40" w:rsidRDefault="00D40363" w:rsidP="00930856">
      <w:pPr>
        <w:spacing w:before="29" w:line="288" w:lineRule="auto"/>
        <w:rPr>
          <w:color w:val="000000"/>
          <w:sz w:val="24"/>
        </w:rPr>
      </w:pPr>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R="00EB25E4" w:rsidRDefault="002304D5" w:rsidP="00281564">
      <w:pPr>
        <w:adjustRightInd w:val="0"/>
        <w:spacing w:before="29" w:line="288" w:lineRule="auto"/>
        <w:ind w:left="17"/>
        <w:rPr>
          <w:color w:val="000000"/>
          <w:sz w:val="24"/>
        </w:rPr>
      </w:pPr>
      <w:r w:rsidRPr="005F35D8">
        <w:rPr>
          <w:b/>
          <w:bCs/>
          <w:sz w:val="24"/>
        </w:rPr>
        <w:t>5.9</w:t>
      </w:r>
      <w:r w:rsidR="00EB25E4" w:rsidRPr="005F35D8">
        <w:rPr>
          <w:b/>
          <w:bCs/>
          <w:sz w:val="24"/>
        </w:rPr>
        <w:t>.</w:t>
      </w:r>
      <w:r w:rsidRPr="005F35D8">
        <w:rPr>
          <w:b/>
          <w:bCs/>
          <w:sz w:val="24"/>
        </w:rPr>
        <w:t>2</w:t>
      </w:r>
      <w:r w:rsidR="00EB25E4" w:rsidRPr="000E4C40">
        <w:rPr>
          <w:color w:val="000000"/>
          <w:sz w:val="24"/>
        </w:rPr>
        <w:t>报告期内本基金投资的前十名证券的发行主体未被监管部门立案调查，在本报告编</w:t>
      </w:r>
      <w:r w:rsidR="00EB25E4" w:rsidRPr="000E4C40">
        <w:rPr>
          <w:color w:val="000000"/>
          <w:sz w:val="24"/>
        </w:rPr>
        <w:lastRenderedPageBreak/>
        <w:t>制日前一年内本基金投资的前十名证券的发行主体未受到公开谴责和处罚。</w:t>
      </w:r>
    </w:p>
    <w:p w:rsidR="00623E3A" w:rsidRPr="000E4C40" w:rsidRDefault="00623E3A" w:rsidP="00281564">
      <w:pPr>
        <w:adjustRightInd w:val="0"/>
        <w:spacing w:before="29" w:line="288" w:lineRule="auto"/>
        <w:ind w:left="17"/>
        <w:rPr>
          <w:color w:val="000000"/>
          <w:sz w:val="24"/>
        </w:rPr>
      </w:pPr>
    </w:p>
    <w:p w:rsidR="009D74FC" w:rsidRPr="00346DC3" w:rsidRDefault="002304D5" w:rsidP="00281564">
      <w:pPr>
        <w:spacing w:before="29" w:line="288" w:lineRule="auto"/>
        <w:rPr>
          <w:rFonts w:hAnsi="宋体"/>
          <w:b/>
          <w:color w:val="000000"/>
          <w:kern w:val="0"/>
          <w:sz w:val="24"/>
        </w:rPr>
      </w:pPr>
      <w:r w:rsidRPr="00346DC3">
        <w:rPr>
          <w:b/>
          <w:color w:val="000000"/>
          <w:kern w:val="0"/>
          <w:sz w:val="24"/>
        </w:rPr>
        <w:t>5.9</w:t>
      </w:r>
      <w:r w:rsidR="009D74FC" w:rsidRPr="00346DC3">
        <w:rPr>
          <w:b/>
          <w:color w:val="000000"/>
          <w:kern w:val="0"/>
          <w:sz w:val="24"/>
        </w:rPr>
        <w:t>.</w:t>
      </w:r>
      <w:r w:rsidRPr="00346DC3">
        <w:rPr>
          <w:b/>
          <w:color w:val="000000"/>
          <w:kern w:val="0"/>
          <w:sz w:val="24"/>
        </w:rPr>
        <w:t>3</w:t>
      </w:r>
      <w:r w:rsidR="00B6632C" w:rsidRPr="00346DC3">
        <w:rPr>
          <w:rFonts w:hint="eastAsia"/>
          <w:b/>
          <w:color w:val="000000"/>
          <w:kern w:val="0"/>
          <w:sz w:val="24"/>
        </w:rPr>
        <w:t>期末</w:t>
      </w:r>
      <w:r w:rsidR="003B36B4" w:rsidRPr="00346DC3">
        <w:rPr>
          <w:rFonts w:hAnsi="宋体"/>
          <w:b/>
          <w:color w:val="000000"/>
          <w:kern w:val="0"/>
          <w:sz w:val="24"/>
        </w:rPr>
        <w:t>其他各项资产构成</w:t>
      </w:r>
    </w:p>
    <w:p w:rsidR="00B6632C" w:rsidRPr="00A53C6C" w:rsidRDefault="00A53C6C" w:rsidP="00A53C6C">
      <w:pPr>
        <w:spacing w:before="29" w:line="288" w:lineRule="auto"/>
        <w:jc w:val="right"/>
        <w:rPr>
          <w:color w:val="000000"/>
          <w:kern w:val="0"/>
          <w:sz w:val="24"/>
        </w:rPr>
      </w:pPr>
      <w:r w:rsidRPr="00A53C6C">
        <w:rPr>
          <w:rFonts w:hint="eastAsia"/>
          <w:color w:val="000000"/>
          <w:kern w:val="0"/>
          <w:sz w:val="24"/>
        </w:rPr>
        <w:t>金额单位：人民币元</w:t>
      </w:r>
    </w:p>
    <w:tbl>
      <w:tblPr>
        <w:tblStyle w:val="aa"/>
        <w:tblW w:w="8868" w:type="dxa"/>
        <w:jc w:val="center"/>
        <w:tblLayout w:type="fixed"/>
        <w:tblLook w:val="04A0" w:firstRow="1" w:lastRow="0" w:firstColumn="1" w:lastColumn="0" w:noHBand="0" w:noVBand="1"/>
      </w:tblPr>
      <w:tblGrid>
        <w:gridCol w:w="907"/>
        <w:gridCol w:w="3375"/>
        <w:gridCol w:w="4586"/>
      </w:tblGrid>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w="3535"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w="4808" w:type="dxa"/>
            <w:vAlign w:val="center"/>
          </w:tcPr>
          <w:p w:rsidR="00633177" w:rsidRPr="000E4C40" w:rsidRDefault="00633177" w:rsidP="00281564">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2</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3</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19,389,519.71</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4</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w="942" w:type="dxa"/>
            <w:vAlign w:val="center"/>
          </w:tcPr>
          <w:p w:rsidR="00633177" w:rsidRPr="000E4C40" w:rsidRDefault="00633177" w:rsidP="00281564">
            <w:pPr>
              <w:autoSpaceDE w:val="0"/>
              <w:autoSpaceDN w:val="0"/>
              <w:adjustRightInd w:val="0"/>
              <w:spacing w:before="29" w:line="288" w:lineRule="auto"/>
              <w:ind w:left="15"/>
              <w:jc w:val="center"/>
              <w:rPr>
                <w:color w:val="000000"/>
                <w:sz w:val="24"/>
              </w:rPr>
            </w:pPr>
            <w:r w:rsidRPr="000E4C40">
              <w:rPr>
                <w:color w:val="000000"/>
                <w:sz w:val="24"/>
              </w:rPr>
              <w:t>5</w:t>
            </w:r>
          </w:p>
        </w:tc>
        <w:tc>
          <w:tcPr>
            <w:tcW w:w="3535" w:type="dxa"/>
            <w:vAlign w:val="center"/>
          </w:tcPr>
          <w:p w:rsidR="00633177" w:rsidRPr="000E4C40" w:rsidRDefault="00633177"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w="4808" w:type="dxa"/>
            <w:vAlign w:val="center"/>
          </w:tcPr>
          <w:p w:rsidR="00633177" w:rsidRPr="000E4C40" w:rsidRDefault="00633177" w:rsidP="00281564">
            <w:pPr>
              <w:autoSpaceDE w:val="0"/>
              <w:autoSpaceDN w:val="0"/>
              <w:adjustRightInd w:val="0"/>
              <w:spacing w:before="29" w:line="288" w:lineRule="auto"/>
              <w:ind w:left="15"/>
              <w:jc w:val="right"/>
              <w:rPr>
                <w:color w:val="000000"/>
                <w:kern w:val="0"/>
                <w:sz w:val="24"/>
              </w:rPr>
            </w:pPr>
            <w:r w:rsidRPr="000E4C40">
              <w:rPr>
                <w:color w:val="000000"/>
                <w:kern w:val="0"/>
                <w:sz w:val="24"/>
              </w:rPr>
              <w:t>453.79</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6</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38,571.43</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7</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w="942" w:type="dxa"/>
            <w:vAlign w:val="center"/>
          </w:tcPr>
          <w:p w:rsidR="00F85D7E" w:rsidRPr="000E4C40" w:rsidRDefault="00F85D7E" w:rsidP="00281564">
            <w:pPr>
              <w:autoSpaceDE w:val="0"/>
              <w:autoSpaceDN w:val="0"/>
              <w:adjustRightInd w:val="0"/>
              <w:spacing w:before="29" w:line="288" w:lineRule="auto"/>
              <w:ind w:left="15"/>
              <w:jc w:val="center"/>
              <w:rPr>
                <w:color w:val="000000"/>
                <w:sz w:val="24"/>
              </w:rPr>
            </w:pPr>
            <w:r w:rsidRPr="000E4C40">
              <w:rPr>
                <w:color w:val="000000"/>
                <w:sz w:val="24"/>
              </w:rPr>
              <w:t>8</w:t>
            </w:r>
          </w:p>
        </w:tc>
        <w:tc>
          <w:tcPr>
            <w:tcW w:w="3535" w:type="dxa"/>
            <w:vAlign w:val="center"/>
          </w:tcPr>
          <w:p w:rsidR="00F85D7E" w:rsidRPr="000E4C40" w:rsidRDefault="00F85D7E"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w="4808" w:type="dxa"/>
            <w:vAlign w:val="center"/>
          </w:tcPr>
          <w:p w:rsidR="00F85D7E" w:rsidRPr="000E4C40" w:rsidRDefault="00F85D7E"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19,428,544.93</w:t>
            </w:r>
          </w:p>
        </w:tc>
      </w:tr>
    </w:tbl>
    <w:p w:rsidR="00D1705E" w:rsidRPr="000E4C40" w:rsidRDefault="00D1705E" w:rsidP="00281564">
      <w:pPr>
        <w:autoSpaceDE w:val="0"/>
        <w:autoSpaceDN w:val="0"/>
        <w:adjustRightInd w:val="0"/>
        <w:spacing w:before="29" w:line="288" w:lineRule="auto"/>
        <w:jc w:val="left"/>
        <w:rPr>
          <w:color w:val="000000"/>
          <w:sz w:val="24"/>
        </w:rPr>
      </w:pPr>
    </w:p>
    <w:p w:rsidR="00452D31" w:rsidRPr="00346DC3" w:rsidRDefault="002304D5" w:rsidP="00281564">
      <w:pPr>
        <w:spacing w:before="29" w:line="288" w:lineRule="auto"/>
        <w:rPr>
          <w:b/>
          <w:color w:val="000000"/>
          <w:kern w:val="0"/>
          <w:sz w:val="24"/>
        </w:rPr>
      </w:pPr>
      <w:r w:rsidRPr="00346DC3">
        <w:rPr>
          <w:b/>
          <w:color w:val="000000"/>
          <w:kern w:val="0"/>
          <w:sz w:val="24"/>
        </w:rPr>
        <w:t>5.9.4</w:t>
      </w:r>
      <w:r w:rsidR="00DE7C60" w:rsidRPr="00346DC3">
        <w:rPr>
          <w:rFonts w:hAnsi="宋体"/>
          <w:b/>
          <w:color w:val="000000"/>
          <w:kern w:val="0"/>
          <w:sz w:val="24"/>
        </w:rPr>
        <w:t>投资组合报告附注的其他文字描述部分</w:t>
      </w:r>
    </w:p>
    <w:p w:rsidR="00452D31" w:rsidRPr="000E4C40" w:rsidRDefault="00452D31" w:rsidP="00930856">
      <w:pPr>
        <w:spacing w:before="29" w:line="288" w:lineRule="auto"/>
        <w:rPr>
          <w:color w:val="000000"/>
          <w:sz w:val="24"/>
        </w:rPr>
      </w:pPr>
      <w:r w:rsidRPr="000E4C40">
        <w:rPr>
          <w:color w:val="000000"/>
          <w:sz w:val="24"/>
        </w:rPr>
        <w:t>由于四舍五入的原因，分项之和与合计项之间可能存在尾差。</w:t>
      </w:r>
    </w:p>
    <w:p w:rsidR="00504B75" w:rsidRPr="000E4C40" w:rsidRDefault="00504B75" w:rsidP="00281564">
      <w:pPr>
        <w:spacing w:before="29" w:line="288" w:lineRule="auto"/>
        <w:rPr>
          <w:color w:val="000000"/>
          <w:sz w:val="24"/>
        </w:rPr>
      </w:pPr>
    </w:p>
    <w:p w:rsidR="00902E3F" w:rsidRPr="000E4C40" w:rsidRDefault="00902E3F"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R="00902E3F" w:rsidRPr="000E4C40" w:rsidRDefault="00902E3F" w:rsidP="00281564">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8"/>
        <w:gridCol w:w="2600"/>
        <w:gridCol w:w="2600"/>
      </w:tblGrid>
      <w:tr w:rsidR="006F1C55" w:rsidRPr="000E4C40" w:rsidTr="009D1870">
        <w:trPr>
          <w:jc w:val="center"/>
        </w:trPr>
        <w:tc>
          <w:tcPr>
            <w:tcW w:w="4134"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w="2920"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sz w:val="24"/>
              </w:rPr>
              <w:t>交银理财</w:t>
            </w:r>
            <w:r w:rsidRPr="000E4C40">
              <w:rPr>
                <w:sz w:val="24"/>
              </w:rPr>
              <w:t>21</w:t>
            </w:r>
            <w:r w:rsidRPr="000E4C40">
              <w:rPr>
                <w:sz w:val="24"/>
              </w:rPr>
              <w:t>天债券</w:t>
            </w:r>
            <w:r w:rsidRPr="000E4C40">
              <w:rPr>
                <w:sz w:val="24"/>
              </w:rPr>
              <w:t>A</w:t>
            </w:r>
          </w:p>
        </w:tc>
        <w:tc>
          <w:tcPr>
            <w:tcW w:w="2920" w:type="dxa"/>
            <w:vAlign w:val="center"/>
          </w:tcPr>
          <w:p w:rsidR="006F1C55" w:rsidRPr="000E4C40" w:rsidRDefault="006F1C55" w:rsidP="00281564">
            <w:pPr>
              <w:autoSpaceDE w:val="0"/>
              <w:autoSpaceDN w:val="0"/>
              <w:adjustRightInd w:val="0"/>
              <w:spacing w:before="29" w:line="288" w:lineRule="auto"/>
              <w:ind w:left="15"/>
              <w:jc w:val="center"/>
              <w:rPr>
                <w:color w:val="000000"/>
                <w:kern w:val="0"/>
                <w:sz w:val="24"/>
              </w:rPr>
            </w:pPr>
            <w:r w:rsidRPr="000E4C40">
              <w:rPr>
                <w:sz w:val="24"/>
              </w:rPr>
              <w:t>交银理财</w:t>
            </w:r>
            <w:r w:rsidRPr="000E4C40">
              <w:rPr>
                <w:sz w:val="24"/>
              </w:rPr>
              <w:t>21</w:t>
            </w:r>
            <w:r w:rsidRPr="000E4C40">
              <w:rPr>
                <w:sz w:val="24"/>
              </w:rPr>
              <w:t>天债券</w:t>
            </w:r>
            <w:r w:rsidRPr="000E4C40">
              <w:rPr>
                <w:sz w:val="24"/>
              </w:rPr>
              <w:t>B</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报告期期初基金份额总额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8,176,127.99</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14,264,602,966.03</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204,286.74</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80,261,932.22</w:t>
            </w:r>
          </w:p>
        </w:tc>
      </w:tr>
      <w:tr w:rsidR="000417E0" w:rsidRPr="000E4C40" w:rsidTr="009D1870">
        <w:trPr>
          <w:jc w:val="center"/>
        </w:trPr>
        <w:tc>
          <w:tcPr>
            <w:tcW w:w="4134" w:type="dxa"/>
            <w:vAlign w:val="center"/>
          </w:tcPr>
          <w:p w:rsidR="000417E0" w:rsidRPr="000E4C40" w:rsidRDefault="000A2D74"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748,860.14</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6,791,772,560.93</w:t>
            </w:r>
          </w:p>
        </w:tc>
      </w:tr>
      <w:tr w:rsidR="000417E0" w:rsidRPr="000E4C40" w:rsidTr="009D1870">
        <w:trPr>
          <w:jc w:val="center"/>
        </w:trPr>
        <w:tc>
          <w:tcPr>
            <w:tcW w:w="4134" w:type="dxa"/>
            <w:vAlign w:val="center"/>
          </w:tcPr>
          <w:p w:rsidR="000417E0" w:rsidRPr="000E4C40" w:rsidRDefault="00786879" w:rsidP="00281564">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7,631,554.59</w:t>
            </w:r>
          </w:p>
        </w:tc>
        <w:tc>
          <w:tcPr>
            <w:tcW w:w="2920" w:type="dxa"/>
            <w:vAlign w:val="center"/>
          </w:tcPr>
          <w:p w:rsidR="000417E0" w:rsidRPr="000E4C40" w:rsidRDefault="000417E0" w:rsidP="00281564">
            <w:pPr>
              <w:autoSpaceDE w:val="0"/>
              <w:autoSpaceDN w:val="0"/>
              <w:adjustRightInd w:val="0"/>
              <w:spacing w:before="29" w:line="288" w:lineRule="auto"/>
              <w:ind w:left="15"/>
              <w:jc w:val="right"/>
              <w:rPr>
                <w:color w:val="000000"/>
                <w:kern w:val="0"/>
                <w:sz w:val="24"/>
              </w:rPr>
            </w:pPr>
            <w:r w:rsidRPr="000E4C40">
              <w:rPr>
                <w:color w:val="000000"/>
                <w:kern w:val="0"/>
                <w:sz w:val="24"/>
              </w:rPr>
              <w:t>7,553,092,337.32</w:t>
            </w:r>
          </w:p>
        </w:tc>
      </w:tr>
    </w:tbl>
    <w:p w:rsidR="00226301" w:rsidRDefault="00EA0F91">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、如果本报告期间发生转换入、份额类别调整、红利再投业务，则总申购份额中包含该业务；</w:t>
      </w:r>
      <w:r>
        <w:rPr>
          <w:color w:val="000000"/>
          <w:sz w:val="24"/>
        </w:rPr>
        <w:t xml:space="preserve"> </w:t>
      </w:r>
    </w:p>
    <w:p w:rsidR="00AA5B03" w:rsidRPr="000E4C40" w:rsidRDefault="00AA5B03" w:rsidP="00281564">
      <w:pPr>
        <w:autoSpaceDE w:val="0"/>
        <w:autoSpaceDN w:val="0"/>
        <w:adjustRightInd w:val="0"/>
        <w:spacing w:before="29" w:line="288" w:lineRule="auto"/>
        <w:jc w:val="left"/>
        <w:rPr>
          <w:color w:val="000000"/>
          <w:sz w:val="24"/>
        </w:rPr>
      </w:pPr>
      <w:r w:rsidRPr="000E4C40">
        <w:rPr>
          <w:color w:val="000000"/>
          <w:sz w:val="24"/>
        </w:rPr>
        <w:t xml:space="preserve"> 2</w:t>
      </w:r>
      <w:r w:rsidRPr="000E4C40">
        <w:rPr>
          <w:color w:val="000000"/>
          <w:sz w:val="24"/>
        </w:rPr>
        <w:t>、如果本报告期间发生转换出、份额类别调整业务，则总赎回份额中包含该业务。</w:t>
      </w:r>
    </w:p>
    <w:p w:rsidR="006E2890" w:rsidRPr="000E4C40" w:rsidRDefault="006E2890" w:rsidP="00281564">
      <w:pPr>
        <w:autoSpaceDE w:val="0"/>
        <w:autoSpaceDN w:val="0"/>
        <w:adjustRightInd w:val="0"/>
        <w:spacing w:before="29" w:line="288" w:lineRule="auto"/>
        <w:jc w:val="left"/>
        <w:rPr>
          <w:color w:val="000000"/>
          <w:sz w:val="24"/>
        </w:rPr>
      </w:pPr>
    </w:p>
    <w:p w:rsidR="000F2DA3" w:rsidRPr="000E4C40" w:rsidRDefault="000F2DA3"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lastRenderedPageBreak/>
        <w:t xml:space="preserve">§7  </w:t>
      </w:r>
      <w:r w:rsidRPr="000E4C40">
        <w:rPr>
          <w:rFonts w:hAnsi="宋体"/>
          <w:color w:val="000000"/>
          <w:kern w:val="0"/>
          <w:sz w:val="24"/>
          <w:szCs w:val="24"/>
        </w:rPr>
        <w:t>基金管理人运用固有资金投资本基金交易明细</w:t>
      </w:r>
    </w:p>
    <w:p w:rsidR="000F2DA3" w:rsidRPr="000E4C40" w:rsidRDefault="000F2DA3" w:rsidP="00281564">
      <w:pPr>
        <w:autoSpaceDE w:val="0"/>
        <w:autoSpaceDN w:val="0"/>
        <w:adjustRightInd w:val="0"/>
        <w:spacing w:before="29" w:line="288" w:lineRule="auto"/>
        <w:jc w:val="left"/>
        <w:rPr>
          <w:color w:val="000000"/>
          <w:sz w:val="24"/>
        </w:rPr>
      </w:pPr>
      <w:r w:rsidRPr="000E4C40">
        <w:rPr>
          <w:color w:val="000000"/>
          <w:sz w:val="24"/>
        </w:rPr>
        <w:t>本基金管理人本报告期内未进行本基金的申购、赎回、红利再投等；本基金管理人本报告期末持有本基金份额</w:t>
      </w:r>
      <w:r w:rsidRPr="000E4C40">
        <w:rPr>
          <w:color w:val="000000"/>
          <w:sz w:val="24"/>
        </w:rPr>
        <w:t>0.00</w:t>
      </w:r>
      <w:r w:rsidRPr="000E4C40">
        <w:rPr>
          <w:color w:val="000000"/>
          <w:sz w:val="24"/>
        </w:rPr>
        <w:t>份，占本基金期末总份额的</w:t>
      </w:r>
      <w:r w:rsidRPr="000E4C40">
        <w:rPr>
          <w:color w:val="000000"/>
          <w:sz w:val="24"/>
        </w:rPr>
        <w:t>0.00%</w:t>
      </w:r>
      <w:r w:rsidRPr="000E4C40">
        <w:rPr>
          <w:color w:val="000000"/>
          <w:sz w:val="24"/>
        </w:rPr>
        <w:t>。</w:t>
      </w:r>
    </w:p>
    <w:p w:rsidR="0018245B" w:rsidRPr="000E4C40" w:rsidRDefault="0018245B" w:rsidP="00281564">
      <w:pPr>
        <w:autoSpaceDE w:val="0"/>
        <w:autoSpaceDN w:val="0"/>
        <w:adjustRightInd w:val="0"/>
        <w:spacing w:before="29" w:line="288" w:lineRule="auto"/>
        <w:jc w:val="left"/>
        <w:rPr>
          <w:color w:val="000000"/>
          <w:sz w:val="24"/>
        </w:rPr>
      </w:pPr>
    </w:p>
    <w:p w:rsidR="003D1E1A" w:rsidRDefault="003D1E1A" w:rsidP="00841EB4">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  影响投资者决策的其他重要信息</w:t>
      </w:r>
    </w:p>
    <w:p w:rsidR="003D1E1A" w:rsidRDefault="003D1E1A" w:rsidP="003D1E1A">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8.1 报告期内单一投资者持有基金份额比例达到或超过20%的情况</w:t>
      </w:r>
    </w:p>
    <w:tbl>
      <w:tblPr>
        <w:tblW w:w="0" w:type="dxa"/>
        <w:tblInd w:w="-176" w:type="dxa"/>
        <w:tblCellMar>
          <w:left w:w="0" w:type="dxa"/>
          <w:right w:w="0" w:type="dxa"/>
        </w:tblCellMar>
        <w:tblLook w:val="04A0" w:firstRow="1" w:lastRow="0" w:firstColumn="1" w:lastColumn="0" w:noHBand="0" w:noVBand="1"/>
      </w:tblPr>
      <w:tblGrid>
        <w:gridCol w:w="556"/>
        <w:gridCol w:w="386"/>
        <w:gridCol w:w="1749"/>
        <w:gridCol w:w="1579"/>
        <w:gridCol w:w="1323"/>
        <w:gridCol w:w="1579"/>
        <w:gridCol w:w="1579"/>
        <w:gridCol w:w="727"/>
      </w:tblGrid>
      <w:tr w:rsidR="00446840" w:rsidRPr="00446840" w:rsidTr="00C0514B">
        <w:tc>
          <w:tcPr>
            <w:tcW w:w="9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autoSpaceDE w:val="0"/>
              <w:autoSpaceDN w:val="0"/>
              <w:jc w:val="center"/>
              <w:rPr>
                <w:rFonts w:ascii="宋体" w:hAnsi="宋体"/>
                <w:b/>
                <w:bCs/>
                <w:color w:val="000000"/>
                <w:szCs w:val="21"/>
              </w:rPr>
            </w:pPr>
            <w:r w:rsidRPr="00446840">
              <w:rPr>
                <w:rFonts w:ascii="宋体" w:hAnsi="宋体" w:hint="eastAsia"/>
                <w:color w:val="000000"/>
                <w:szCs w:val="22"/>
              </w:rPr>
              <w:t xml:space="preserve">投资者类别  </w:t>
            </w:r>
          </w:p>
        </w:tc>
        <w:tc>
          <w:tcPr>
            <w:tcW w:w="56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autoSpaceDE w:val="0"/>
              <w:autoSpaceDN w:val="0"/>
              <w:jc w:val="center"/>
              <w:rPr>
                <w:rFonts w:ascii="宋体" w:hAnsi="宋体"/>
                <w:b/>
                <w:bCs/>
                <w:color w:val="000000"/>
                <w:szCs w:val="22"/>
              </w:rPr>
            </w:pPr>
            <w:r w:rsidRPr="00446840">
              <w:rPr>
                <w:rFonts w:ascii="宋体" w:hAnsi="宋体" w:hint="eastAsia"/>
                <w:color w:val="000000"/>
                <w:szCs w:val="22"/>
              </w:rPr>
              <w:t>报告期内持有基金份额变化情况</w:t>
            </w:r>
            <w:bookmarkStart w:id="2" w:name="_GoBack"/>
            <w:bookmarkEnd w:id="2"/>
          </w:p>
        </w:tc>
        <w:tc>
          <w:tcPr>
            <w:tcW w:w="25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autoSpaceDE w:val="0"/>
              <w:autoSpaceDN w:val="0"/>
              <w:jc w:val="center"/>
              <w:rPr>
                <w:rFonts w:ascii="宋体" w:hAnsi="宋体"/>
                <w:b/>
                <w:bCs/>
                <w:color w:val="000000"/>
                <w:szCs w:val="22"/>
              </w:rPr>
            </w:pPr>
            <w:r w:rsidRPr="00446840">
              <w:rPr>
                <w:rFonts w:ascii="宋体" w:hAnsi="宋体" w:hint="eastAsia"/>
                <w:color w:val="000000"/>
                <w:szCs w:val="22"/>
              </w:rPr>
              <w:t>报告期末持有基金情况</w:t>
            </w:r>
          </w:p>
        </w:tc>
      </w:tr>
      <w:tr w:rsidR="00446840" w:rsidRPr="00446840" w:rsidTr="00C0514B">
        <w:tc>
          <w:tcPr>
            <w:tcW w:w="0" w:type="auto"/>
            <w:vMerge/>
            <w:tcBorders>
              <w:top w:val="single" w:sz="8" w:space="0" w:color="auto"/>
              <w:left w:val="single" w:sz="8" w:space="0" w:color="auto"/>
              <w:bottom w:val="single" w:sz="8" w:space="0" w:color="auto"/>
              <w:right w:val="single" w:sz="8" w:space="0" w:color="auto"/>
            </w:tcBorders>
            <w:vAlign w:val="center"/>
            <w:hideMark/>
          </w:tcPr>
          <w:p w:rsidR="00446840" w:rsidRPr="00446840" w:rsidRDefault="00446840" w:rsidP="00446840">
            <w:pPr>
              <w:jc w:val="left"/>
              <w:rPr>
                <w:rFonts w:ascii="宋体" w:hAnsi="宋体" w:cs="宋体"/>
                <w:b/>
                <w:bCs/>
                <w:color w:val="000000"/>
                <w:szCs w:val="21"/>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autoSpaceDE w:val="0"/>
              <w:autoSpaceDN w:val="0"/>
              <w:jc w:val="center"/>
              <w:rPr>
                <w:rFonts w:ascii="宋体" w:hAnsi="宋体"/>
                <w:b/>
                <w:bCs/>
                <w:color w:val="000000"/>
                <w:szCs w:val="22"/>
              </w:rPr>
            </w:pPr>
            <w:r w:rsidRPr="00446840">
              <w:rPr>
                <w:rFonts w:ascii="宋体" w:hAnsi="宋体" w:hint="eastAsia"/>
                <w:color w:val="000000"/>
                <w:szCs w:val="22"/>
              </w:rPr>
              <w:t>序号</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autoSpaceDE w:val="0"/>
              <w:autoSpaceDN w:val="0"/>
              <w:jc w:val="center"/>
              <w:rPr>
                <w:rFonts w:ascii="宋体" w:hAnsi="宋体"/>
                <w:b/>
                <w:bCs/>
                <w:color w:val="000000"/>
                <w:szCs w:val="22"/>
              </w:rPr>
            </w:pPr>
            <w:r w:rsidRPr="00446840">
              <w:rPr>
                <w:rFonts w:ascii="宋体" w:hAnsi="宋体" w:hint="eastAsia"/>
                <w:color w:val="000000"/>
                <w:szCs w:val="22"/>
              </w:rPr>
              <w:t>持有基金份额比例达到或者超过20%的时间区间</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宋体" w:hAnsi="宋体"/>
                <w:b/>
                <w:bCs/>
                <w:color w:val="000000"/>
                <w:szCs w:val="22"/>
              </w:rPr>
            </w:pPr>
            <w:r w:rsidRPr="00446840">
              <w:rPr>
                <w:rFonts w:ascii="宋体" w:hAnsi="宋体" w:hint="eastAsia"/>
                <w:color w:val="000000"/>
                <w:szCs w:val="22"/>
              </w:rPr>
              <w:t>期初份额</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宋体" w:hAnsi="宋体"/>
                <w:b/>
                <w:bCs/>
                <w:color w:val="000000"/>
                <w:szCs w:val="22"/>
              </w:rPr>
            </w:pPr>
            <w:r w:rsidRPr="00446840">
              <w:rPr>
                <w:rFonts w:ascii="宋体" w:hAnsi="宋体" w:hint="eastAsia"/>
                <w:color w:val="000000"/>
                <w:szCs w:val="22"/>
              </w:rPr>
              <w:t>申购份额</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宋体" w:hAnsi="宋体"/>
                <w:b/>
                <w:bCs/>
                <w:color w:val="000000"/>
                <w:szCs w:val="22"/>
              </w:rPr>
            </w:pPr>
            <w:r w:rsidRPr="00446840">
              <w:rPr>
                <w:rFonts w:ascii="宋体" w:hAnsi="宋体" w:hint="eastAsia"/>
                <w:color w:val="000000"/>
                <w:szCs w:val="22"/>
              </w:rPr>
              <w:t>赎回份额</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autoSpaceDE w:val="0"/>
              <w:autoSpaceDN w:val="0"/>
              <w:jc w:val="center"/>
              <w:rPr>
                <w:rFonts w:ascii="宋体" w:hAnsi="宋体"/>
                <w:b/>
                <w:bCs/>
                <w:color w:val="000000"/>
                <w:szCs w:val="22"/>
              </w:rPr>
            </w:pPr>
            <w:r w:rsidRPr="00446840">
              <w:rPr>
                <w:rFonts w:ascii="宋体" w:hAnsi="宋体" w:hint="eastAsia"/>
                <w:color w:val="000000"/>
                <w:szCs w:val="22"/>
              </w:rPr>
              <w:t>持有份额</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autoSpaceDE w:val="0"/>
              <w:autoSpaceDN w:val="0"/>
              <w:jc w:val="center"/>
              <w:rPr>
                <w:rFonts w:ascii="宋体" w:hAnsi="宋体"/>
                <w:b/>
                <w:bCs/>
                <w:color w:val="000000"/>
                <w:szCs w:val="22"/>
              </w:rPr>
            </w:pPr>
            <w:r w:rsidRPr="00446840">
              <w:rPr>
                <w:rFonts w:ascii="宋体" w:hAnsi="宋体" w:hint="eastAsia"/>
                <w:color w:val="000000"/>
                <w:szCs w:val="22"/>
              </w:rPr>
              <w:t>份额占比</w:t>
            </w:r>
          </w:p>
        </w:tc>
      </w:tr>
      <w:tr w:rsidR="00446840" w:rsidRPr="00446840" w:rsidTr="00C0514B">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46840" w:rsidRPr="00446840" w:rsidRDefault="00446840" w:rsidP="00446840">
            <w:pPr>
              <w:rPr>
                <w:szCs w:val="22"/>
              </w:rPr>
            </w:pPr>
          </w:p>
          <w:p w:rsidR="00446840" w:rsidRPr="00446840" w:rsidRDefault="00446840" w:rsidP="00446840">
            <w:pPr>
              <w:rPr>
                <w:rFonts w:ascii="Calibri" w:hAnsi="Calibri" w:cs="宋体"/>
                <w:szCs w:val="22"/>
              </w:rPr>
            </w:pPr>
            <w:r w:rsidRPr="00446840">
              <w:rPr>
                <w:rFonts w:ascii="宋体" w:hAnsi="宋体" w:hint="eastAsia"/>
                <w:color w:val="000000"/>
                <w:szCs w:val="22"/>
              </w:rPr>
              <w:t>机构</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2020/4/1-2020/6/30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3,687,373,494.06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18,138,917.75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2,760,617,434.26</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944,894,977.55</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12.50%</w:t>
            </w:r>
          </w:p>
        </w:tc>
      </w:tr>
      <w:tr w:rsidR="00446840" w:rsidRPr="00446840" w:rsidTr="00C0514B">
        <w:tc>
          <w:tcPr>
            <w:tcW w:w="0" w:type="auto"/>
            <w:vMerge/>
            <w:tcBorders>
              <w:top w:val="nil"/>
              <w:left w:val="single" w:sz="8" w:space="0" w:color="auto"/>
              <w:bottom w:val="single" w:sz="8" w:space="0" w:color="auto"/>
              <w:right w:val="single" w:sz="8" w:space="0" w:color="auto"/>
            </w:tcBorders>
            <w:vAlign w:val="center"/>
            <w:hideMark/>
          </w:tcPr>
          <w:p w:rsidR="00446840" w:rsidRPr="00446840" w:rsidRDefault="00446840" w:rsidP="00446840">
            <w:pPr>
              <w:jc w:val="left"/>
              <w:rPr>
                <w:rFonts w:ascii="Calibri" w:hAnsi="Calibri" w:cs="宋体"/>
                <w:szCs w:val="21"/>
              </w:rPr>
            </w:pP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2020/4/1-2020/6/30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1,901,170,622.14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10,704,597.96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400,000,000.00</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1,511,875,220.10</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20.00%</w:t>
            </w:r>
          </w:p>
        </w:tc>
      </w:tr>
      <w:tr w:rsidR="00446840" w:rsidRPr="00446840" w:rsidTr="00C0514B">
        <w:tc>
          <w:tcPr>
            <w:tcW w:w="0" w:type="auto"/>
            <w:vMerge/>
            <w:tcBorders>
              <w:top w:val="nil"/>
              <w:left w:val="single" w:sz="8" w:space="0" w:color="auto"/>
              <w:bottom w:val="single" w:sz="8" w:space="0" w:color="auto"/>
              <w:right w:val="single" w:sz="8" w:space="0" w:color="auto"/>
            </w:tcBorders>
            <w:vAlign w:val="center"/>
            <w:hideMark/>
          </w:tcPr>
          <w:p w:rsidR="00446840" w:rsidRPr="00446840" w:rsidRDefault="00446840" w:rsidP="00446840">
            <w:pPr>
              <w:jc w:val="left"/>
              <w:rPr>
                <w:rFonts w:ascii="Calibri" w:hAnsi="Calibri" w:cs="宋体"/>
                <w:szCs w:val="21"/>
              </w:rPr>
            </w:pP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2020/4/1-2020/6/30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2,174,710,217.98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13,536,100.53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1,606,610.14</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2,186,639,708.37</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jc w:val="center"/>
              <w:rPr>
                <w:rFonts w:ascii="Calibri" w:hAnsi="Calibri"/>
                <w:szCs w:val="22"/>
              </w:rPr>
            </w:pPr>
            <w:r w:rsidRPr="00446840">
              <w:rPr>
                <w:rFonts w:ascii="宋体" w:hAnsi="宋体" w:hint="eastAsia"/>
                <w:color w:val="000000"/>
                <w:szCs w:val="22"/>
              </w:rPr>
              <w:t>28.92%</w:t>
            </w:r>
          </w:p>
        </w:tc>
      </w:tr>
      <w:tr w:rsidR="00446840" w:rsidRPr="00446840" w:rsidTr="00C0514B">
        <w:tc>
          <w:tcPr>
            <w:tcW w:w="921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autoSpaceDE w:val="0"/>
              <w:autoSpaceDN w:val="0"/>
              <w:jc w:val="center"/>
              <w:rPr>
                <w:rFonts w:ascii="宋体" w:hAnsi="宋体"/>
                <w:szCs w:val="22"/>
              </w:rPr>
            </w:pPr>
            <w:r w:rsidRPr="00446840">
              <w:rPr>
                <w:rFonts w:ascii="宋体" w:hAnsi="宋体" w:hint="eastAsia"/>
                <w:color w:val="000000"/>
                <w:szCs w:val="22"/>
              </w:rPr>
              <w:t>产品特有风险</w:t>
            </w:r>
          </w:p>
        </w:tc>
      </w:tr>
      <w:tr w:rsidR="00446840" w:rsidRPr="00446840" w:rsidTr="00C0514B">
        <w:tc>
          <w:tcPr>
            <w:tcW w:w="921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6840" w:rsidRPr="00446840" w:rsidRDefault="00446840" w:rsidP="00446840">
            <w:pPr>
              <w:autoSpaceDE w:val="0"/>
              <w:autoSpaceDN w:val="0"/>
              <w:jc w:val="left"/>
              <w:rPr>
                <w:rFonts w:ascii="宋体" w:hAnsi="宋体"/>
                <w:szCs w:val="22"/>
              </w:rPr>
            </w:pPr>
            <w:r w:rsidRPr="00446840">
              <w:rPr>
                <w:rFonts w:ascii="宋体" w:hAnsi="宋体" w:hint="eastAsia"/>
                <w:szCs w:val="22"/>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446840" w:rsidRPr="00446840" w:rsidRDefault="00446840" w:rsidP="003D1E1A">
      <w:pPr>
        <w:autoSpaceDE w:val="0"/>
        <w:autoSpaceDN w:val="0"/>
        <w:adjustRightInd w:val="0"/>
        <w:spacing w:line="360" w:lineRule="auto"/>
        <w:jc w:val="left"/>
        <w:rPr>
          <w:rFonts w:ascii="宋体" w:hAnsi="宋体" w:hint="eastAsia"/>
          <w:b/>
          <w:bCs/>
          <w:color w:val="000000"/>
          <w:kern w:val="0"/>
          <w:sz w:val="24"/>
        </w:rPr>
      </w:pPr>
    </w:p>
    <w:p w:rsidR="003D1E1A" w:rsidRDefault="003D1E1A" w:rsidP="003D1E1A">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8.2 影响投资者决策的其他重要信息</w:t>
      </w:r>
    </w:p>
    <w:p w:rsidR="003D1E1A" w:rsidRDefault="003D1E1A" w:rsidP="003D1E1A">
      <w:pPr>
        <w:spacing w:line="360" w:lineRule="auto"/>
        <w:ind w:firstLineChars="200" w:firstLine="420"/>
        <w:rPr>
          <w:rFonts w:ascii="宋体" w:hAnsi="宋体"/>
          <w:color w:val="000000"/>
          <w:szCs w:val="21"/>
        </w:rPr>
      </w:pPr>
      <w:r>
        <w:rPr>
          <w:rFonts w:ascii="宋体" w:hAnsi="宋体" w:hint="eastAsia"/>
          <w:color w:val="000000"/>
          <w:szCs w:val="21"/>
        </w:rPr>
        <w:t>本基金管理人于2020年5月22日起至2020年6月22日17：00止以通讯方式召开本基金的基金份额持有人大会，就本基金转型及基金合同修改有关事项的议案进行表决。本次基金份额持有人大会于2020年6月23日表决通过了《关于交银施罗德理财21天债券型证券投资基金转型及修改基金合同有关事项的议案》，本次基金份额持有人大会决议自该日起生效，正式实施转型日为2020年7月28日。详情请查阅本基金管理人于2020年6月24日发布的《交银施罗德基金管理有限公司关于交银施罗德理财21天债券型证券投资基金基金份额持有人大会表决结果暨决议生效的公告》。</w:t>
      </w:r>
    </w:p>
    <w:p w:rsidR="001B3FBF" w:rsidRPr="000E4C40" w:rsidRDefault="001B3FBF" w:rsidP="00281564">
      <w:pPr>
        <w:spacing w:before="29" w:line="288" w:lineRule="auto"/>
        <w:ind w:firstLineChars="200" w:firstLine="480"/>
        <w:rPr>
          <w:color w:val="000000"/>
          <w:sz w:val="24"/>
        </w:rPr>
      </w:pPr>
    </w:p>
    <w:p w:rsidR="00C03EF8" w:rsidRPr="009268A2" w:rsidRDefault="009D74FC" w:rsidP="00841EB4">
      <w:pPr>
        <w:pStyle w:val="1"/>
        <w:spacing w:beforeLines="100" w:before="312" w:afterLines="100" w:after="312" w:line="288" w:lineRule="auto"/>
        <w:jc w:val="center"/>
        <w:rPr>
          <w:color w:val="000000"/>
          <w:kern w:val="0"/>
          <w:sz w:val="24"/>
          <w:szCs w:val="24"/>
        </w:rPr>
      </w:pPr>
      <w:r w:rsidRPr="000E4C40">
        <w:rPr>
          <w:color w:val="000000"/>
          <w:kern w:val="0"/>
          <w:sz w:val="24"/>
          <w:szCs w:val="24"/>
        </w:rPr>
        <w:lastRenderedPageBreak/>
        <w:t>§</w:t>
      </w:r>
      <w:r w:rsidR="00DA5831" w:rsidRPr="000E4C40">
        <w:rPr>
          <w:color w:val="000000"/>
          <w:kern w:val="0"/>
          <w:sz w:val="24"/>
          <w:szCs w:val="24"/>
        </w:rPr>
        <w:t>9</w:t>
      </w:r>
      <w:r w:rsidRPr="000E4C40">
        <w:rPr>
          <w:rFonts w:hAnsi="宋体"/>
          <w:color w:val="000000"/>
          <w:kern w:val="0"/>
          <w:sz w:val="24"/>
          <w:szCs w:val="24"/>
        </w:rPr>
        <w:t>备查文件目录</w:t>
      </w: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rsidR="00226301" w:rsidRDefault="00EA0F91">
      <w:pPr>
        <w:spacing w:before="29" w:line="288" w:lineRule="auto"/>
        <w:ind w:firstLineChars="200" w:firstLine="480"/>
        <w:rPr>
          <w:color w:val="000000"/>
          <w:sz w:val="24"/>
        </w:rPr>
      </w:pPr>
      <w:r>
        <w:rPr>
          <w:color w:val="000000"/>
          <w:sz w:val="24"/>
        </w:rPr>
        <w:t>1</w:t>
      </w:r>
      <w:r>
        <w:rPr>
          <w:color w:val="000000"/>
          <w:sz w:val="24"/>
        </w:rPr>
        <w:t>、中国证监会批准交银施罗德理财</w:t>
      </w:r>
      <w:r>
        <w:rPr>
          <w:color w:val="000000"/>
          <w:sz w:val="24"/>
        </w:rPr>
        <w:t>21</w:t>
      </w:r>
      <w:r>
        <w:rPr>
          <w:color w:val="000000"/>
          <w:sz w:val="24"/>
        </w:rPr>
        <w:t>天债券型证券投资基金募集的文件；</w:t>
      </w:r>
      <w:r>
        <w:rPr>
          <w:color w:val="000000"/>
          <w:sz w:val="24"/>
        </w:rPr>
        <w:t xml:space="preserve"> </w:t>
      </w:r>
    </w:p>
    <w:p w:rsidR="00226301" w:rsidRDefault="00EA0F91">
      <w:pPr>
        <w:spacing w:before="29" w:line="288" w:lineRule="auto"/>
        <w:ind w:firstLineChars="200" w:firstLine="480"/>
        <w:rPr>
          <w:color w:val="000000"/>
          <w:sz w:val="24"/>
        </w:rPr>
      </w:pPr>
      <w:r>
        <w:rPr>
          <w:color w:val="000000"/>
          <w:sz w:val="24"/>
        </w:rPr>
        <w:t>2</w:t>
      </w:r>
      <w:r>
        <w:rPr>
          <w:color w:val="000000"/>
          <w:sz w:val="24"/>
        </w:rPr>
        <w:t>、《交银施罗德理财</w:t>
      </w:r>
      <w:r>
        <w:rPr>
          <w:color w:val="000000"/>
          <w:sz w:val="24"/>
        </w:rPr>
        <w:t>21</w:t>
      </w:r>
      <w:r>
        <w:rPr>
          <w:color w:val="000000"/>
          <w:sz w:val="24"/>
        </w:rPr>
        <w:t>天债券型证券投资基金基金合同》；</w:t>
      </w:r>
      <w:r>
        <w:rPr>
          <w:color w:val="000000"/>
          <w:sz w:val="24"/>
        </w:rPr>
        <w:t xml:space="preserve"> </w:t>
      </w:r>
    </w:p>
    <w:p w:rsidR="00226301" w:rsidRDefault="00EA0F91">
      <w:pPr>
        <w:spacing w:before="29" w:line="288" w:lineRule="auto"/>
        <w:ind w:firstLineChars="200" w:firstLine="480"/>
        <w:rPr>
          <w:color w:val="000000"/>
          <w:sz w:val="24"/>
        </w:rPr>
      </w:pPr>
      <w:r>
        <w:rPr>
          <w:color w:val="000000"/>
          <w:sz w:val="24"/>
        </w:rPr>
        <w:t>3</w:t>
      </w:r>
      <w:r>
        <w:rPr>
          <w:color w:val="000000"/>
          <w:sz w:val="24"/>
        </w:rPr>
        <w:t>、《交银施罗德理财</w:t>
      </w:r>
      <w:r>
        <w:rPr>
          <w:color w:val="000000"/>
          <w:sz w:val="24"/>
        </w:rPr>
        <w:t>21</w:t>
      </w:r>
      <w:r>
        <w:rPr>
          <w:color w:val="000000"/>
          <w:sz w:val="24"/>
        </w:rPr>
        <w:t>天债券型证券投资基金招募说明书》；</w:t>
      </w:r>
      <w:r>
        <w:rPr>
          <w:color w:val="000000"/>
          <w:sz w:val="24"/>
        </w:rPr>
        <w:t xml:space="preserve"> </w:t>
      </w:r>
    </w:p>
    <w:p w:rsidR="00226301" w:rsidRDefault="00EA0F91">
      <w:pPr>
        <w:spacing w:before="29" w:line="288" w:lineRule="auto"/>
        <w:ind w:firstLineChars="200" w:firstLine="480"/>
        <w:rPr>
          <w:color w:val="000000"/>
          <w:sz w:val="24"/>
        </w:rPr>
      </w:pPr>
      <w:r>
        <w:rPr>
          <w:color w:val="000000"/>
          <w:sz w:val="24"/>
        </w:rPr>
        <w:t>4</w:t>
      </w:r>
      <w:r>
        <w:rPr>
          <w:color w:val="000000"/>
          <w:sz w:val="24"/>
        </w:rPr>
        <w:t>、《交银施罗德理财</w:t>
      </w:r>
      <w:r>
        <w:rPr>
          <w:color w:val="000000"/>
          <w:sz w:val="24"/>
        </w:rPr>
        <w:t>21</w:t>
      </w:r>
      <w:r>
        <w:rPr>
          <w:color w:val="000000"/>
          <w:sz w:val="24"/>
        </w:rPr>
        <w:t>天债券型证券投资基金托管协议》；</w:t>
      </w:r>
      <w:r>
        <w:rPr>
          <w:color w:val="000000"/>
          <w:sz w:val="24"/>
        </w:rPr>
        <w:t xml:space="preserve"> </w:t>
      </w:r>
    </w:p>
    <w:p w:rsidR="00226301" w:rsidRDefault="00EA0F91">
      <w:pPr>
        <w:spacing w:before="29" w:line="288" w:lineRule="auto"/>
        <w:ind w:firstLineChars="200" w:firstLine="480"/>
        <w:rPr>
          <w:color w:val="000000"/>
          <w:sz w:val="24"/>
        </w:rPr>
      </w:pPr>
      <w:r>
        <w:rPr>
          <w:color w:val="000000"/>
          <w:sz w:val="24"/>
        </w:rPr>
        <w:t>5</w:t>
      </w:r>
      <w:r>
        <w:rPr>
          <w:color w:val="000000"/>
          <w:sz w:val="24"/>
        </w:rPr>
        <w:t>、关于募集交银施罗德理财</w:t>
      </w:r>
      <w:r>
        <w:rPr>
          <w:color w:val="000000"/>
          <w:sz w:val="24"/>
        </w:rPr>
        <w:t>21</w:t>
      </w:r>
      <w:r>
        <w:rPr>
          <w:color w:val="000000"/>
          <w:sz w:val="24"/>
        </w:rPr>
        <w:t>天债券型证券投资基金之法律意见书；</w:t>
      </w:r>
      <w:r>
        <w:rPr>
          <w:color w:val="000000"/>
          <w:sz w:val="24"/>
        </w:rPr>
        <w:t xml:space="preserve"> </w:t>
      </w:r>
    </w:p>
    <w:p w:rsidR="00226301" w:rsidRDefault="00EA0F91">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226301" w:rsidRDefault="00EA0F91">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AB373C" w:rsidRPr="000E4C40" w:rsidRDefault="00AB373C" w:rsidP="00281564">
      <w:pPr>
        <w:spacing w:before="29" w:line="288" w:lineRule="auto"/>
        <w:ind w:firstLineChars="200" w:firstLine="480"/>
        <w:rPr>
          <w:color w:val="000000"/>
          <w:sz w:val="24"/>
        </w:rPr>
      </w:pPr>
      <w:r w:rsidRPr="000E4C40">
        <w:rPr>
          <w:color w:val="000000"/>
          <w:sz w:val="24"/>
        </w:rPr>
        <w:t>8</w:t>
      </w:r>
      <w:r w:rsidRPr="000E4C40">
        <w:rPr>
          <w:color w:val="000000"/>
          <w:sz w:val="24"/>
        </w:rPr>
        <w:t>、报告期内交银施罗德理财</w:t>
      </w:r>
      <w:r w:rsidRPr="000E4C40">
        <w:rPr>
          <w:color w:val="000000"/>
          <w:sz w:val="24"/>
        </w:rPr>
        <w:t>21</w:t>
      </w:r>
      <w:r w:rsidRPr="000E4C40">
        <w:rPr>
          <w:color w:val="000000"/>
          <w:sz w:val="24"/>
        </w:rPr>
        <w:t>天债券型证券投资基金在指定报刊上各项公告的原稿。</w:t>
      </w:r>
    </w:p>
    <w:p w:rsidR="00162222" w:rsidRPr="000E4C40" w:rsidRDefault="00162222" w:rsidP="00281564">
      <w:pPr>
        <w:spacing w:before="29" w:line="288" w:lineRule="auto"/>
        <w:ind w:firstLineChars="200" w:firstLine="480"/>
        <w:rPr>
          <w:color w:val="000000"/>
          <w:sz w:val="24"/>
        </w:rPr>
      </w:pP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R="00AB373C" w:rsidRPr="000E4C40" w:rsidRDefault="00AB373C" w:rsidP="00281564">
      <w:pPr>
        <w:spacing w:before="29" w:line="288" w:lineRule="auto"/>
        <w:ind w:firstLineChars="200" w:firstLine="480"/>
        <w:rPr>
          <w:color w:val="000000"/>
          <w:sz w:val="24"/>
        </w:rPr>
      </w:pPr>
      <w:r w:rsidRPr="000E4C40">
        <w:rPr>
          <w:color w:val="000000"/>
          <w:sz w:val="24"/>
        </w:rPr>
        <w:t>备查文件存放于基金管理人的办公场所。</w:t>
      </w:r>
    </w:p>
    <w:p w:rsidR="00162222" w:rsidRPr="000E4C40" w:rsidRDefault="00162222" w:rsidP="00281564">
      <w:pPr>
        <w:spacing w:before="29" w:line="288" w:lineRule="auto"/>
        <w:ind w:firstLineChars="200" w:firstLine="480"/>
        <w:rPr>
          <w:color w:val="000000"/>
          <w:sz w:val="24"/>
        </w:rPr>
      </w:pPr>
    </w:p>
    <w:p w:rsidR="00AB373C" w:rsidRPr="000E4C40" w:rsidRDefault="00DA5831" w:rsidP="00281564">
      <w:pPr>
        <w:autoSpaceDE w:val="0"/>
        <w:autoSpaceDN w:val="0"/>
        <w:adjustRightInd w:val="0"/>
        <w:spacing w:before="29" w:line="288" w:lineRule="auto"/>
        <w:jc w:val="left"/>
        <w:rPr>
          <w:b/>
          <w:bCs/>
          <w:color w:val="000000"/>
          <w:kern w:val="0"/>
          <w:sz w:val="24"/>
        </w:rPr>
      </w:pP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rsidR="00226301" w:rsidRDefault="00EA0F91">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9D74FC" w:rsidRPr="000E4C40" w:rsidRDefault="00AB373C" w:rsidP="00281564">
      <w:pPr>
        <w:spacing w:before="29" w:line="288" w:lineRule="auto"/>
        <w:ind w:firstLineChars="200" w:firstLine="480"/>
        <w:rPr>
          <w:color w:val="000000"/>
          <w:sz w:val="24"/>
        </w:rPr>
      </w:pPr>
      <w:r w:rsidRPr="000E4C40">
        <w:rPr>
          <w:color w:val="000000"/>
          <w:sz w:val="24"/>
        </w:rPr>
        <w:t>投资者对本报告书如有疑问，可咨询本基金管理人交银施罗德基金管理有限公司。本公司客户服务中心电话：</w:t>
      </w:r>
      <w:r w:rsidRPr="000E4C40">
        <w:rPr>
          <w:color w:val="000000"/>
          <w:sz w:val="24"/>
        </w:rPr>
        <w:t>400-700-5000</w:t>
      </w:r>
      <w:r w:rsidRPr="000E4C40">
        <w:rPr>
          <w:color w:val="000000"/>
          <w:sz w:val="24"/>
        </w:rPr>
        <w:t>（免长途话费），</w:t>
      </w:r>
      <w:r w:rsidRPr="000E4C40">
        <w:rPr>
          <w:color w:val="000000"/>
          <w:sz w:val="24"/>
        </w:rPr>
        <w:t>021-61055000</w:t>
      </w:r>
      <w:r w:rsidRPr="000E4C40">
        <w:rPr>
          <w:color w:val="000000"/>
          <w:sz w:val="24"/>
        </w:rPr>
        <w:t>，电子邮件：</w:t>
      </w:r>
      <w:r w:rsidRPr="000E4C40">
        <w:rPr>
          <w:color w:val="000000"/>
          <w:sz w:val="24"/>
        </w:rPr>
        <w:t>services@jysld.com</w:t>
      </w:r>
      <w:r w:rsidRPr="000E4C40">
        <w:rPr>
          <w:color w:val="000000"/>
          <w:sz w:val="24"/>
        </w:rPr>
        <w:t>。</w:t>
      </w:r>
    </w:p>
    <w:p w:rsidR="003B6DC6" w:rsidRPr="000E4C40" w:rsidRDefault="003B6DC6" w:rsidP="00281564">
      <w:pPr>
        <w:spacing w:before="29" w:line="288" w:lineRule="auto"/>
        <w:ind w:right="480"/>
        <w:rPr>
          <w:b/>
          <w:bCs/>
          <w:sz w:val="24"/>
        </w:rPr>
      </w:pPr>
    </w:p>
    <w:sectPr w:rsidR="003B6DC6" w:rsidRPr="000E4C40" w:rsidSect="00075BBB">
      <w:pgSz w:w="11926" w:h="15840"/>
      <w:pgMar w:top="1420" w:right="1420" w:bottom="852" w:left="1420" w:header="851" w:footer="992" w:gutter="0"/>
      <w:cols w:space="720"/>
      <w:noEndnote/>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91" w:rsidRDefault="00EA0F91">
      <w:r>
        <w:separator/>
      </w:r>
    </w:p>
  </w:endnote>
  <w:endnote w:type="continuationSeparator" w:id="0">
    <w:p w:rsidR="00EA0F91" w:rsidRDefault="00EA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Pr="001D0DB0" w:rsidRDefault="00FE3EEE" w:rsidP="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46840">
      <w:rPr>
        <w:noProof/>
        <w:kern w:val="0"/>
        <w:szCs w:val="21"/>
      </w:rPr>
      <w:t>14</w:t>
    </w:r>
    <w:r>
      <w:rPr>
        <w:kern w:val="0"/>
        <w:szCs w:val="21"/>
      </w:rPr>
      <w:fldChar w:fldCharType="end"/>
    </w:r>
    <w:r>
      <w:rPr>
        <w:rFonts w:hint="eastAsia"/>
        <w:kern w:val="0"/>
        <w:szCs w:val="21"/>
      </w:rPr>
      <w:t>页共</w:t>
    </w:r>
    <w:r>
      <w:rPr>
        <w:rFonts w:hint="eastAsia"/>
        <w:kern w:val="0"/>
        <w:szCs w:val="21"/>
      </w:rPr>
      <w:fldChar w:fldCharType="begin"/>
    </w:r>
    <w:r>
      <w:rPr>
        <w:kern w:val="0"/>
        <w:szCs w:val="21"/>
      </w:rPr>
      <w:instrText xml:space="preserve"> NUMPAGES </w:instrText>
    </w:r>
    <w:r>
      <w:rPr>
        <w:rFonts w:hint="eastAsia"/>
        <w:kern w:val="0"/>
        <w:szCs w:val="21"/>
      </w:rPr>
      <w:fldChar w:fldCharType="separate"/>
    </w:r>
    <w:r w:rsidR="00446840">
      <w:rPr>
        <w:noProof/>
        <w:kern w:val="0"/>
        <w:szCs w:val="21"/>
      </w:rPr>
      <w:t>15</w:t>
    </w:r>
    <w:r>
      <w:rPr>
        <w:rFonts w:hint="eastAsia"/>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91" w:rsidRDefault="00EA0F91">
      <w:r>
        <w:separator/>
      </w:r>
    </w:p>
  </w:footnote>
  <w:footnote w:type="continuationSeparator" w:id="0">
    <w:p w:rsidR="00EA0F91" w:rsidRDefault="00EA0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Pr="00841EB4" w:rsidRDefault="00FE3EEE" w:rsidP="008379E2">
    <w:pPr>
      <w:pStyle w:val="a4"/>
      <w:pBdr>
        <w:bottom w:val="single" w:sz="6" w:space="0" w:color="auto"/>
      </w:pBdr>
      <w:jc w:val="right"/>
      <w:rPr>
        <w:sz w:val="24"/>
        <w:szCs w:val="24"/>
      </w:rPr>
    </w:pPr>
    <w:r w:rsidRPr="003E676C">
      <w:rPr>
        <w:sz w:val="24"/>
        <w:szCs w:val="24"/>
      </w:rPr>
      <w:t>交银施罗德理财</w:t>
    </w:r>
    <w:r w:rsidRPr="003E676C">
      <w:rPr>
        <w:sz w:val="24"/>
        <w:szCs w:val="24"/>
      </w:rPr>
      <w:t>21</w:t>
    </w:r>
    <w:r w:rsidRPr="003E676C">
      <w:rPr>
        <w:sz w:val="24"/>
        <w:szCs w:val="24"/>
      </w:rPr>
      <w:t>天债券型证券投资基金</w:t>
    </w:r>
    <w:r w:rsidRPr="003E676C">
      <w:rPr>
        <w:sz w:val="24"/>
        <w:szCs w:val="24"/>
      </w:rPr>
      <w:t>2020</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EE" w:rsidRDefault="00FE3E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1E90"/>
    <w:rsid w:val="000A2D74"/>
    <w:rsid w:val="000A6084"/>
    <w:rsid w:val="000A6B57"/>
    <w:rsid w:val="000A7480"/>
    <w:rsid w:val="000B2044"/>
    <w:rsid w:val="000B2266"/>
    <w:rsid w:val="000B6615"/>
    <w:rsid w:val="000C469F"/>
    <w:rsid w:val="000D0F44"/>
    <w:rsid w:val="000D6294"/>
    <w:rsid w:val="000D66F0"/>
    <w:rsid w:val="000E0F6E"/>
    <w:rsid w:val="000E4C40"/>
    <w:rsid w:val="000E5695"/>
    <w:rsid w:val="000F1795"/>
    <w:rsid w:val="000F2D88"/>
    <w:rsid w:val="000F2DA3"/>
    <w:rsid w:val="000F3C21"/>
    <w:rsid w:val="000F4826"/>
    <w:rsid w:val="000F4B69"/>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87BE0"/>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263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46DC3"/>
    <w:rsid w:val="0035022C"/>
    <w:rsid w:val="0035215C"/>
    <w:rsid w:val="00362E2A"/>
    <w:rsid w:val="00363ED1"/>
    <w:rsid w:val="00371E26"/>
    <w:rsid w:val="00373AAB"/>
    <w:rsid w:val="00380B76"/>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46840"/>
    <w:rsid w:val="00451FCA"/>
    <w:rsid w:val="004527E3"/>
    <w:rsid w:val="00452D31"/>
    <w:rsid w:val="00457CD3"/>
    <w:rsid w:val="00460000"/>
    <w:rsid w:val="00460350"/>
    <w:rsid w:val="00461A70"/>
    <w:rsid w:val="0046349D"/>
    <w:rsid w:val="00464ABB"/>
    <w:rsid w:val="00466D57"/>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1830"/>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560C"/>
    <w:rsid w:val="005E6FA5"/>
    <w:rsid w:val="005F05D6"/>
    <w:rsid w:val="005F17EC"/>
    <w:rsid w:val="005F35D8"/>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2D25"/>
    <w:rsid w:val="00673BA5"/>
    <w:rsid w:val="006767A8"/>
    <w:rsid w:val="00684A5A"/>
    <w:rsid w:val="0069018A"/>
    <w:rsid w:val="006911A1"/>
    <w:rsid w:val="00693EE6"/>
    <w:rsid w:val="006A1E40"/>
    <w:rsid w:val="006A2D00"/>
    <w:rsid w:val="006B4C67"/>
    <w:rsid w:val="006C671E"/>
    <w:rsid w:val="006C7553"/>
    <w:rsid w:val="006D1D53"/>
    <w:rsid w:val="006D27DD"/>
    <w:rsid w:val="006D4647"/>
    <w:rsid w:val="006D4C22"/>
    <w:rsid w:val="006E13AB"/>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244F"/>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3415"/>
    <w:rsid w:val="008E4638"/>
    <w:rsid w:val="008E71D2"/>
    <w:rsid w:val="008F34CE"/>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5453F"/>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3C6C"/>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1578"/>
    <w:rsid w:val="00B12EB2"/>
    <w:rsid w:val="00B13F60"/>
    <w:rsid w:val="00B2239A"/>
    <w:rsid w:val="00B25119"/>
    <w:rsid w:val="00B26FE5"/>
    <w:rsid w:val="00B27004"/>
    <w:rsid w:val="00B33F45"/>
    <w:rsid w:val="00B33FA5"/>
    <w:rsid w:val="00B34175"/>
    <w:rsid w:val="00B40443"/>
    <w:rsid w:val="00B415B8"/>
    <w:rsid w:val="00B420AC"/>
    <w:rsid w:val="00B4354A"/>
    <w:rsid w:val="00B54CC5"/>
    <w:rsid w:val="00B60E27"/>
    <w:rsid w:val="00B64D62"/>
    <w:rsid w:val="00B6632C"/>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3669"/>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1F37"/>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539A"/>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D6F2F"/>
    <w:rsid w:val="00DE7C60"/>
    <w:rsid w:val="00DF1198"/>
    <w:rsid w:val="00DF2D90"/>
    <w:rsid w:val="00E12082"/>
    <w:rsid w:val="00E21589"/>
    <w:rsid w:val="00E24D9E"/>
    <w:rsid w:val="00E257C8"/>
    <w:rsid w:val="00E26581"/>
    <w:rsid w:val="00E269C1"/>
    <w:rsid w:val="00E2722E"/>
    <w:rsid w:val="00E27752"/>
    <w:rsid w:val="00E3447D"/>
    <w:rsid w:val="00E428F6"/>
    <w:rsid w:val="00E431CE"/>
    <w:rsid w:val="00E445F8"/>
    <w:rsid w:val="00E503E4"/>
    <w:rsid w:val="00E5134D"/>
    <w:rsid w:val="00E55E02"/>
    <w:rsid w:val="00E571C4"/>
    <w:rsid w:val="00E5775C"/>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97D49"/>
    <w:rsid w:val="00EA0F91"/>
    <w:rsid w:val="00EA3D96"/>
    <w:rsid w:val="00EA4C82"/>
    <w:rsid w:val="00EA6B69"/>
    <w:rsid w:val="00EA6B7B"/>
    <w:rsid w:val="00EB25E4"/>
    <w:rsid w:val="00EB3D8B"/>
    <w:rsid w:val="00ED1B77"/>
    <w:rsid w:val="00ED1E31"/>
    <w:rsid w:val="00ED5511"/>
    <w:rsid w:val="00ED57D1"/>
    <w:rsid w:val="00EE2130"/>
    <w:rsid w:val="00EE7A0B"/>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365C9"/>
    <w:rsid w:val="00F406E3"/>
    <w:rsid w:val="00F40C82"/>
    <w:rsid w:val="00F41AA6"/>
    <w:rsid w:val="00F5114E"/>
    <w:rsid w:val="00F53B1A"/>
    <w:rsid w:val="00F54568"/>
    <w:rsid w:val="00F57249"/>
    <w:rsid w:val="00F60094"/>
    <w:rsid w:val="00F6042F"/>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3236"/>
    <w:rsid w:val="00FC57A1"/>
    <w:rsid w:val="00FD3820"/>
    <w:rsid w:val="00FE2508"/>
    <w:rsid w:val="00FE3301"/>
    <w:rsid w:val="00FE3EEE"/>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CE9F10A-D266-40C6-AA50-04DD113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Char"/>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link w:val="Char1"/>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 w:type="character" w:customStyle="1" w:styleId="Char1">
    <w:name w:val="纯文本 Char"/>
    <w:link w:val="a6"/>
    <w:uiPriority w:val="99"/>
    <w:rsid w:val="00E63B3D"/>
    <w:rPr>
      <w:rFonts w:ascii="宋体" w:hAnsi="Courier New"/>
      <w:kern w:val="2"/>
      <w:sz w:val="21"/>
      <w:szCs w:val="21"/>
    </w:rPr>
  </w:style>
  <w:style w:type="paragraph" w:styleId="a8">
    <w:name w:val="Balloon Text"/>
    <w:basedOn w:val="a"/>
    <w:link w:val="Char2"/>
    <w:rsid w:val="00E63B3D"/>
    <w:rPr>
      <w:sz w:val="18"/>
      <w:szCs w:val="18"/>
    </w:rPr>
  </w:style>
  <w:style w:type="character" w:customStyle="1" w:styleId="Char2">
    <w:name w:val="批注框文本 Char"/>
    <w:basedOn w:val="a1"/>
    <w:link w:val="a8"/>
    <w:rsid w:val="00E63B3D"/>
    <w:rPr>
      <w:kern w:val="2"/>
      <w:sz w:val="18"/>
      <w:szCs w:val="18"/>
    </w:rPr>
  </w:style>
  <w:style w:type="paragraph" w:styleId="a9">
    <w:name w:val="List Paragraph"/>
    <w:basedOn w:val="a"/>
    <w:uiPriority w:val="34"/>
    <w:qFormat/>
    <w:rsid w:val="005F668B"/>
    <w:pPr>
      <w:ind w:firstLineChars="200" w:firstLine="420"/>
    </w:pPr>
  </w:style>
  <w:style w:type="table" w:styleId="aa">
    <w:name w:val="Table Grid"/>
    <w:basedOn w:val="a2"/>
    <w:qFormat/>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Char">
    <w:name w:val="页眉 Char"/>
    <w:basedOn w:val="a1"/>
    <w:link w:val="a4"/>
    <w:uiPriority w:val="99"/>
    <w:rsid w:val="008379E2"/>
    <w:rPr>
      <w:kern w:val="2"/>
      <w:sz w:val="18"/>
      <w:szCs w:val="18"/>
    </w:rPr>
  </w:style>
  <w:style w:type="character" w:customStyle="1" w:styleId="1Char">
    <w:name w:val="标题 1 Char"/>
    <w:basedOn w:val="a1"/>
    <w:link w:val="1"/>
    <w:rsid w:val="00CA65DD"/>
    <w:rPr>
      <w:b/>
      <w:bCs/>
      <w:kern w:val="44"/>
      <w:sz w:val="44"/>
      <w:szCs w:val="44"/>
    </w:rPr>
  </w:style>
  <w:style w:type="paragraph" w:styleId="ac">
    <w:name w:val="Date"/>
    <w:basedOn w:val="a"/>
    <w:next w:val="a"/>
    <w:link w:val="Char3"/>
    <w:rsid w:val="00D66016"/>
    <w:rPr>
      <w:sz w:val="24"/>
      <w:szCs w:val="20"/>
    </w:rPr>
  </w:style>
  <w:style w:type="character" w:customStyle="1" w:styleId="Char3">
    <w:name w:val="日期 Char"/>
    <w:basedOn w:val="a1"/>
    <w:link w:val="ac"/>
    <w:rsid w:val="00D66016"/>
    <w:rPr>
      <w:kern w:val="2"/>
      <w:sz w:val="24"/>
    </w:rPr>
  </w:style>
  <w:style w:type="character" w:styleId="ad">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D89111-B5BC-469A-B626-3A52133C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15</Pages>
  <Words>1384</Words>
  <Characters>7889</Characters>
  <Application>Microsoft Office Word</Application>
  <DocSecurity>0</DocSecurity>
  <Lines>65</Lines>
  <Paragraphs>18</Paragraphs>
  <ScaleCrop>false</ScaleCrop>
  <Company>jysld</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337</cp:revision>
  <cp:lastPrinted>2009-01-22T10:11:00Z</cp:lastPrinted>
  <dcterms:created xsi:type="dcterms:W3CDTF">2012-11-21T05:49:00Z</dcterms:created>
  <dcterms:modified xsi:type="dcterms:W3CDTF">2020-07-17T05:38:00Z</dcterms:modified>
</cp:coreProperties>
</file>